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-611505</wp:posOffset>
            </wp:positionV>
            <wp:extent cx="8255" cy="612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4020820</wp:posOffset>
            </wp:positionH>
            <wp:positionV relativeFrom="paragraph">
              <wp:posOffset>-619760</wp:posOffset>
            </wp:positionV>
            <wp:extent cx="8255" cy="6203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4045585</wp:posOffset>
            </wp:positionH>
            <wp:positionV relativeFrom="paragraph">
              <wp:posOffset>-594995</wp:posOffset>
            </wp:positionV>
            <wp:extent cx="1266190" cy="5708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29845</wp:posOffset>
            </wp:positionV>
            <wp:extent cx="6967220" cy="17621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Tutas David A.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2801 EAST BELTLINE NE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RAPIDS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3840" w:type="dxa"/>
            <w:vAlign w:val="bottom"/>
          </w:tcPr>
          <w:p>
            <w:pPr>
              <w:ind w:left="80"/>
              <w:spacing w:after="0" w:line="204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6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  <w:w w:val="96"/>
                </w:rPr>
                <w:t>UNIVERSAL FOREST PRODUCTS INC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6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[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3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8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Chief Comp Off, Gen Csl, Secty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03/31/2020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22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-2435225</wp:posOffset>
            </wp:positionH>
            <wp:positionV relativeFrom="paragraph">
              <wp:posOffset>211455</wp:posOffset>
            </wp:positionV>
            <wp:extent cx="6967220" cy="8851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-15875</wp:posOffset>
            </wp:positionV>
            <wp:extent cx="7033260" cy="21101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03/31/2020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37.19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16,136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1-for-1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740" w:firstLine="3"/>
        <w:spacing w:after="0" w:line="253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-10795</wp:posOffset>
            </wp:positionV>
            <wp:extent cx="11918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David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04/01/2020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188849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Tutas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234950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567995" TargetMode="External"/><Relationship Id="rId14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2020-04-01T13:18:25Z</dcterms:created>
  <dcterms:modified xsi:type="dcterms:W3CDTF">2020-04-01T13:18:25Z</dcterms:modified>
</cp:coreProperties>
</file>