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6, 2022</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588010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Effective December 6, 2022, the Registrant amended their unsecured revolving credit facility with a syndicate of banks led by JPMorgan Chase Bank, N.A., as administrative agent, Wells Fargo Bank, N.A., as syndication agent, and PNC Bank, National Association as documentation agent. The facility size was increased from $550 million to $750 million, extends the expiration to December 6, 2027, and includes up to $60 million which may be advanced in the form of letters of credit, and up to $100 million (U.S. dollar equivalent) which may be advanced in Canadian dollars, Australian dollars, and such other foreign currencies as may subsequently be agreed upon among the parties. There were approximately $5 million of borrowings outstanding on that revolving credit facility as of December 6, 2022, and Letters of Credit aggregating approximately $3 million. Cash borrowings are charged interest based upon an index selected by the Registrant, plus a margin that is determined based upon the index selected and upon the financial performance of the Registrant and certain of its subsidiaries. The Registrant is charged a facility fee on the entire amount of the lending commitment, at a per annum rate ranging from 15.0 to 30.0 basis points, also determined based upon the Registrant's performance. The facility fee is payable quarterly in arrears.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copy of the Credit Agreement Amendment is attached as Exhibit 10(l) to this Current Report.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337"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color w:val="auto"/>
        </w:rPr>
        <w:t>10(l)</w:t>
        <w:tab/>
        <w:t>Credit Agreement Amendment dated December 6, 2022.</w:t>
      </w:r>
    </w:p>
    <w:p>
      <w:pPr>
        <w:spacing w:after="0" w:line="225" w:lineRule="exact"/>
        <w:rPr>
          <w:sz w:val="20"/>
          <w:szCs w:val="20"/>
          <w:color w:val="auto"/>
        </w:rPr>
      </w:pPr>
    </w:p>
    <w:p>
      <w:pPr>
        <w:ind w:left="1280" w:hanging="582"/>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bottom w:val="single" w:sz="8" w:color="auto"/>
            </w:tcBorders>
          </w:tcPr>
          <w:p>
            <w:pPr>
              <w:spacing w:after="0"/>
              <w:rPr>
                <w:sz w:val="24"/>
                <w:szCs w:val="24"/>
                <w:color w:val="auto"/>
              </w:rPr>
            </w:pPr>
          </w:p>
        </w:tc>
        <w:tc>
          <w:tcPr>
            <w:tcW w:w="3740" w:type="dxa"/>
            <w:vAlign w:val="bottom"/>
            <w:tcBorders>
              <w:bottom w:val="single" w:sz="8" w:color="auto"/>
            </w:tcBorders>
            <w:gridSpan w:val="2"/>
          </w:tcPr>
          <w:p>
            <w:pPr>
              <w:spacing w:after="0"/>
              <w:rPr>
                <w:sz w:val="24"/>
                <w:szCs w:val="24"/>
                <w:color w:val="auto"/>
              </w:rPr>
            </w:pPr>
          </w:p>
        </w:tc>
      </w:tr>
      <w:tr>
        <w:trPr>
          <w:trHeight w:val="29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10(l)</w:t>
            </w: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Credit Agreement Amendment dated December 6, 2022.</w:t>
            </w:r>
          </w:p>
        </w:tc>
      </w:tr>
      <w:tr>
        <w:trPr>
          <w:trHeight w:val="20"/>
        </w:trPr>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4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4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UNIVERSAL FOREST PRODUCTS, INC.</w:t>
            </w:r>
          </w:p>
        </w:tc>
      </w:tr>
      <w:tr>
        <w:trPr>
          <w:trHeight w:val="256"/>
        </w:trPr>
        <w:tc>
          <w:tcPr>
            <w:tcW w:w="3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12, 2022</w:t>
            </w:r>
          </w:p>
        </w:tc>
        <w:tc>
          <w:tcPr>
            <w:tcW w:w="4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3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3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3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4" w:name="page5"/>
    <w:bookmarkEnd w:id="4"/>
    <w:p>
      <w:pPr>
        <w:ind w:left="7740"/>
        <w:spacing w:after="0"/>
        <w:rPr>
          <w:sz w:val="20"/>
          <w:szCs w:val="20"/>
          <w:color w:val="auto"/>
        </w:rPr>
      </w:pPr>
      <w:r>
        <w:rPr>
          <w:rFonts w:ascii="Times New Roman" w:cs="Times New Roman" w:eastAsia="Times New Roman" w:hAnsi="Times New Roman"/>
          <w:sz w:val="19"/>
          <w:szCs w:val="19"/>
          <w:b w:val="1"/>
          <w:bCs w:val="1"/>
          <w:color w:val="auto"/>
        </w:rPr>
        <w:t>Exhibit 10(l)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SECOND AMENDMENT TO CREDIT AGREEMENT</w:t>
      </w:r>
    </w:p>
    <w:p>
      <w:pPr>
        <w:spacing w:after="0" w:line="355" w:lineRule="exact"/>
        <w:rPr>
          <w:sz w:val="20"/>
          <w:szCs w:val="20"/>
          <w:color w:val="auto"/>
        </w:rPr>
      </w:pPr>
    </w:p>
    <w:p>
      <w:pPr>
        <w:ind w:left="200" w:right="619"/>
        <w:spacing w:after="0" w:line="296" w:lineRule="auto"/>
        <w:rPr>
          <w:sz w:val="20"/>
          <w:szCs w:val="20"/>
          <w:color w:val="auto"/>
        </w:rPr>
      </w:pPr>
      <w:r>
        <w:rPr>
          <w:rFonts w:ascii="Times New Roman" w:cs="Times New Roman" w:eastAsia="Times New Roman" w:hAnsi="Times New Roman"/>
          <w:sz w:val="20"/>
          <w:szCs w:val="20"/>
          <w:color w:val="auto"/>
        </w:rPr>
        <w:t>This Second Amendment to Credit Agreement, dated as of December 6, 2022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among UFP INDUSTRIES, INC., a Michigan corporation, the Foreign Subsidiary Borrowers, the other Loan Parties party hereto, the Lenders party hereto, and JPMORGAN CHASE BANK, N.A., as Administrative Agent.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RECITAL</w:t>
      </w:r>
    </w:p>
    <w:p>
      <w:pPr>
        <w:spacing w:after="0" w:line="34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0"/>
          <w:szCs w:val="20"/>
          <w:color w:val="auto"/>
        </w:rPr>
        <w:t>UFP Industries, Inc. (f/k/a Universal Forest Products, Inc.), a Michigan corporation (the "Company"), the Foreign Subsidiary Borrowers party thereto from time to time (the “Foreign Subsidiary Borrowers” and collectively referred to with the Company as the "Borrowers", and each of them individually as a "Borrower"), the lenders party thereto from time to time (such lenders, together with any other lenders now or hereafter parties to the Credit Agreement, collectively referred to as the "Lenders"), and JPMorgan Chase Bank, N.A., as administrative agent for the Lenders (in such capacity, together with any successors or assigns, the "Administrative Agent") are parties to a Credit Agreement dated as of November 1, 2018 (as may be amended or modified from time to time, the "Credit Agreement"). The Borrowers desire to amend the Credit Agreement as set forth herein and the Lenders are willing to do so in accordance with the terms hereof. Capitalized terms used herein, but not otherwise defined shall have the meanings ascribed to them in the Credit Agreement.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TERMS</w:t>
      </w:r>
    </w:p>
    <w:p>
      <w:pPr>
        <w:spacing w:after="0" w:line="32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In consideration of the premises and of the mutual agreements herein contained, the parties agree as follows: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21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19"/>
          <w:szCs w:val="19"/>
          <w:color w:val="auto"/>
        </w:rPr>
        <w:t>Upon the Second Amendment Effective Date (as defined below), the parties hereto agree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that the Credit Agreement (including the Schedules and Exhibits thereto) is hereby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9"/>
          <w:szCs w:val="19"/>
          <w:u w:val="single" w:color="auto"/>
          <w:color w:val="0000FF"/>
        </w:rPr>
        <w:t>double-underlined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text</w:t>
      </w:r>
      <w:r>
        <w:rPr>
          <w:rFonts w:ascii="Times New Roman" w:cs="Times New Roman" w:eastAsia="Times New Roman" w:hAnsi="Times New Roman"/>
          <w:sz w:val="19"/>
          <w:szCs w:val="19"/>
          <w:color w:val="000000"/>
        </w:rPr>
        <w:t>) as set forth in the amended Credit Agreement attached as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Exhibit 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hereto (the “</w:t>
      </w:r>
      <w:r>
        <w:rPr>
          <w:rFonts w:ascii="Times New Roman" w:cs="Times New Roman" w:eastAsia="Times New Roman" w:hAnsi="Times New Roman"/>
          <w:sz w:val="19"/>
          <w:szCs w:val="19"/>
          <w:u w:val="single" w:color="auto"/>
          <w:color w:val="000000"/>
        </w:rPr>
        <w:t>Amended Credit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Agreement</w:t>
      </w:r>
      <w:r>
        <w:rPr>
          <w:rFonts w:ascii="Times New Roman" w:cs="Times New Roman" w:eastAsia="Times New Roman" w:hAnsi="Times New Roman"/>
          <w:sz w:val="19"/>
          <w:szCs w:val="19"/>
          <w:color w:val="000000"/>
        </w:rPr>
        <w:t xml:space="preserve">”), and any term or provision of the Credit Agreement (including the Exhibits and Schedules thereto) which is different from that set forth on </w:t>
      </w:r>
      <w:r>
        <w:rPr>
          <w:rFonts w:ascii="Times New Roman" w:cs="Times New Roman" w:eastAsia="Times New Roman" w:hAnsi="Times New Roman"/>
          <w:sz w:val="19"/>
          <w:szCs w:val="19"/>
          <w:u w:val="single" w:color="auto"/>
          <w:color w:val="000000"/>
        </w:rPr>
        <w:t>Exhibit A</w:t>
      </w:r>
      <w:r>
        <w:rPr>
          <w:rFonts w:ascii="Times New Roman" w:cs="Times New Roman" w:eastAsia="Times New Roman" w:hAnsi="Times New Roman"/>
          <w:sz w:val="19"/>
          <w:szCs w:val="19"/>
          <w:color w:val="000000"/>
        </w:rPr>
        <w:t xml:space="preserve"> hereto shall be replaced in all respects by the terms and provisions on </w:t>
      </w:r>
      <w:r>
        <w:rPr>
          <w:rFonts w:ascii="Times New Roman" w:cs="Times New Roman" w:eastAsia="Times New Roman" w:hAnsi="Times New Roman"/>
          <w:sz w:val="19"/>
          <w:szCs w:val="19"/>
          <w:u w:val="single" w:color="auto"/>
          <w:color w:val="000000"/>
        </w:rPr>
        <w:t>Exhibit A</w:t>
      </w:r>
      <w:r>
        <w:rPr>
          <w:rFonts w:ascii="Times New Roman" w:cs="Times New Roman" w:eastAsia="Times New Roman" w:hAnsi="Times New Roman"/>
          <w:sz w:val="19"/>
          <w:szCs w:val="19"/>
          <w:color w:val="000000"/>
        </w:rPr>
        <w:t xml:space="preserve"> hereto.</w:t>
      </w:r>
    </w:p>
    <w:p>
      <w:pPr>
        <w:spacing w:after="0" w:line="17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u w:val="single" w:color="auto"/>
          <w:color w:val="auto"/>
        </w:rPr>
        <w:t>Existing Loans</w:t>
      </w:r>
      <w:r>
        <w:rPr>
          <w:rFonts w:ascii="Times New Roman" w:cs="Times New Roman" w:eastAsia="Times New Roman" w:hAnsi="Times New Roman"/>
          <w:sz w:val="20"/>
          <w:szCs w:val="20"/>
          <w:color w:val="auto"/>
        </w:rPr>
        <w:t>. Notwithstanding anything to the contrary in the Amended Credit Agreement, any Loans based on the Adjusted LIBO Rate, Adjusted EURIBOR Rate, AUD Bank Bill Reference Rate or CDOR Rate (each as defined in the Credit Agreement before giving effect to this Amendment) that are outstanding as of the Second Amendment Effective Date (the “</w:t>
      </w:r>
      <w:r>
        <w:rPr>
          <w:rFonts w:ascii="Times New Roman" w:cs="Times New Roman" w:eastAsia="Times New Roman" w:hAnsi="Times New Roman"/>
          <w:sz w:val="20"/>
          <w:szCs w:val="20"/>
          <w:u w:val="single" w:color="auto"/>
          <w:color w:val="auto"/>
        </w:rPr>
        <w:t>Existing Loans</w:t>
      </w:r>
      <w:r>
        <w:rPr>
          <w:rFonts w:ascii="Times New Roman" w:cs="Times New Roman" w:eastAsia="Times New Roman" w:hAnsi="Times New Roman"/>
          <w:sz w:val="20"/>
          <w:szCs w:val="20"/>
          <w:color w:val="auto"/>
        </w:rPr>
        <w:t>”) shall continue as Loans based on the Adjusted LIBO Rate, Adjusted EURIBOR Rate, AUD Bank Bill Reference Rate or CDOR Rate, as applicable, through and until the end of the applicable Interest Period, and all definitions terms and conditions, each as set forth in the Credit Agreement prior to giving effect to this Amendment, shall continue solely with respect to such Loans. From and after the last day of the Interest Period for the Existing Loans, such Loans shall bear interest determined by reference to the Adjusted Reference Rate, the Adjusted Daily Simple SOFR Rate, and the Alternate Base Rate, as applicable, in accordance with the 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REPRESENTATIONS.</w:t>
      </w:r>
    </w:p>
    <w:p>
      <w:pPr>
        <w:spacing w:after="0" w:line="200" w:lineRule="exact"/>
        <w:rPr>
          <w:sz w:val="20"/>
          <w:szCs w:val="20"/>
          <w:color w:val="auto"/>
        </w:rPr>
      </w:pPr>
    </w:p>
    <w:p>
      <w:pPr>
        <w:spacing w:after="0" w:line="237"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In order to induce the Lenders and the Administrative Agent to enter into this Amendment, each Loan Party represents and warrants to each Lender and the Administrative Agent that the following statements are true, correct and complete as of the Second Amendment Effective Date:</w:t>
      </w:r>
    </w:p>
    <w:p>
      <w:pPr>
        <w:spacing w:after="0" w:line="177" w:lineRule="exact"/>
        <w:rPr>
          <w:sz w:val="20"/>
          <w:szCs w:val="20"/>
          <w:color w:val="auto"/>
        </w:rPr>
      </w:pPr>
    </w:p>
    <w:p>
      <w:pPr>
        <w:jc w:val="both"/>
        <w:ind w:left="200" w:right="219" w:firstLine="648"/>
        <w:spacing w:after="0" w:line="264"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19"/>
          <w:szCs w:val="19"/>
          <w:color w:val="auto"/>
        </w:rPr>
        <w:t>The execution, delivery and performance of this Amendment are within its powers, have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been duly authorized by existing board resolutions or other necessary company and corporate action, as applicable, and are not in contravention of any statute, law or regulation or of any terms of its operating agreement, articles of incorporation, certificate of incorporation, by-laws or other charter documents, or of any material agreement or undertaking to which it is a party or by which it is bound.</w:t>
      </w:r>
    </w:p>
    <w:p>
      <w:pPr>
        <w:spacing w:after="0" w:line="16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This Amendment is the legal, valid and binding obligation of it, enforceable against it in accordance with the terms hereof, except as enforceability may be limited by bankruptcy, insolvency or similar laws affecting the enforcement of creditors' rights generally and by general principles of equity.</w:t>
      </w:r>
    </w:p>
    <w:p>
      <w:pPr>
        <w:spacing w:after="0" w:line="190"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19"/>
          <w:szCs w:val="19"/>
          <w:color w:val="auto"/>
        </w:rPr>
        <w:t>Immediately before and after giving effect to the amendments contained herein,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representations and warranties contained in Article III of the Credit Agreement are true and correct in all material respects on and as of the date hereof with the same force and effect as if made on and as of the date hereof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87"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After giving effect to the amendments contained herein, no Default exists or has occurred and is continuing.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CONDITIONS PRECEDENT.</w:t>
      </w:r>
    </w:p>
    <w:p>
      <w:pPr>
        <w:spacing w:after="0" w:line="221" w:lineRule="exact"/>
        <w:rPr>
          <w:sz w:val="20"/>
          <w:szCs w:val="20"/>
          <w:color w:val="auto"/>
        </w:rPr>
      </w:pPr>
    </w:p>
    <w:p>
      <w:pPr>
        <w:ind w:left="200" w:right="359" w:firstLine="648"/>
        <w:spacing w:after="0" w:line="340" w:lineRule="auto"/>
        <w:rPr>
          <w:sz w:val="20"/>
          <w:szCs w:val="20"/>
          <w:color w:val="auto"/>
        </w:rPr>
      </w:pPr>
      <w:r>
        <w:rPr>
          <w:rFonts w:ascii="Times New Roman" w:cs="Times New Roman" w:eastAsia="Times New Roman" w:hAnsi="Times New Roman"/>
          <w:sz w:val="19"/>
          <w:szCs w:val="19"/>
          <w:color w:val="auto"/>
        </w:rPr>
        <w:t>The Amendments to the Credit Agreement in Article 1 hereof shall become effective as of the date hereof (the “Second Amendment Effective Date”) when each of the following conditions is satisfied:</w:t>
      </w:r>
    </w:p>
    <w:p>
      <w:pPr>
        <w:spacing w:after="0" w:line="92" w:lineRule="exact"/>
        <w:rPr>
          <w:sz w:val="20"/>
          <w:szCs w:val="20"/>
          <w:color w:val="auto"/>
        </w:rPr>
      </w:pPr>
    </w:p>
    <w:p>
      <w:pPr>
        <w:ind w:left="200" w:right="219" w:firstLine="648"/>
        <w:spacing w:after="0" w:line="27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19"/>
          <w:szCs w:val="19"/>
          <w:color w:val="auto"/>
        </w:rPr>
        <w:t>The Borrowers, the Lenders and the Administrative Agent shall have executed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Amendment and the Guarantors shall have executed the Consent and Agreement hereto.</w:t>
      </w:r>
    </w:p>
    <w:p>
      <w:pPr>
        <w:spacing w:after="0" w:line="189" w:lineRule="exact"/>
        <w:rPr>
          <w:sz w:val="20"/>
          <w:szCs w:val="20"/>
          <w:color w:val="auto"/>
        </w:rPr>
      </w:pPr>
    </w:p>
    <w:p>
      <w:pPr>
        <w:ind w:left="200" w:right="259" w:firstLine="648"/>
        <w:spacing w:after="0" w:line="340" w:lineRule="auto"/>
        <w:rPr>
          <w:sz w:val="20"/>
          <w:szCs w:val="20"/>
          <w:color w:val="auto"/>
        </w:rPr>
      </w:pPr>
      <w:r>
        <w:rPr>
          <w:rFonts w:ascii="Times New Roman" w:cs="Times New Roman" w:eastAsia="Times New Roman" w:hAnsi="Times New Roman"/>
          <w:sz w:val="19"/>
          <w:szCs w:val="19"/>
          <w:color w:val="auto"/>
        </w:rPr>
        <w:t>3.2 The Administrative Agent and Lenders shall have received all fees and other amounts required to be paid by the Company in connection with this Amendments as of the Second Amendment Effective Date.</w:t>
      </w:r>
    </w:p>
    <w:p>
      <w:pPr>
        <w:spacing w:after="0" w:line="96" w:lineRule="exact"/>
        <w:rPr>
          <w:sz w:val="20"/>
          <w:szCs w:val="20"/>
          <w:color w:val="auto"/>
        </w:rPr>
      </w:pPr>
    </w:p>
    <w:p>
      <w:pPr>
        <w:ind w:left="200" w:right="339" w:firstLine="648"/>
        <w:spacing w:after="0" w:line="311" w:lineRule="auto"/>
        <w:rPr>
          <w:sz w:val="20"/>
          <w:szCs w:val="20"/>
          <w:color w:val="auto"/>
        </w:rPr>
      </w:pPr>
      <w:r>
        <w:rPr>
          <w:rFonts w:ascii="Times New Roman" w:cs="Times New Roman" w:eastAsia="Times New Roman" w:hAnsi="Times New Roman"/>
          <w:sz w:val="19"/>
          <w:szCs w:val="19"/>
          <w:color w:val="auto"/>
        </w:rPr>
        <w:t>3.3 The Administrative Agent shall have received and be reasonably satisfied with such other documents, and the Loan Parties shall have satisfied such other conditions, as disclosed on the closing list delivered to the Company prior to the date hereof, including closing certificates, the joinder documents, and an opinion of the Loan Parties’ counsel, each satisfactory in form and substance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598170</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6" w:name="page7"/>
    <w:bookmarkEnd w:id="6"/>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16"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19"/>
          <w:szCs w:val="19"/>
          <w:color w:val="auto"/>
        </w:rPr>
        <w:t>References in the Credit Agreement or in any other Loan Document to the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Agreement shall be deemed to be references to the Credit Agreement as amended hereby and as further amended from time to time. This Amendment shall constitute a Loan Document.</w:t>
      </w:r>
    </w:p>
    <w:p>
      <w:pPr>
        <w:spacing w:after="0" w:line="16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Without limiting any amounts payable under the Loan Documents, the Loan Parties, jointly and severally, agree to pay all reasonable and documented out of pocket expenses, including the reasonable fees, charges and disbursements of counsel, of the Administrative Agent in connection with this Amendment and the transaction in connection herewith.</w:t>
      </w:r>
    </w:p>
    <w:p>
      <w:pPr>
        <w:spacing w:after="0" w:line="181"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19"/>
          <w:szCs w:val="19"/>
          <w:color w:val="auto"/>
        </w:rPr>
        <w:t>Except as expressly amended hereby, each of the Loan Parties agrees that the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Agreement and the other Loan Documents are ratified and confirmed, as amended hereby, and shall remain in full force and effect in accordance with their terms and that they are not aware of any set off, counterclaim, defense or other claim or dispute with respect to any of the foregoing. The execution, delivery and effectiveness of this Amendment shall not operate as a waiver of any right, power or remedy of any Lender or the Administrative Agent under any of the Loan Documents, nor constitute a waiver of any provision of any of the Loan Documents. Nothing herein shall be deemed to entitle any Loan Party to any future consent to, or waiver, amendment, modification or other change of, any of the terms, conditions, obligations, covenants or agreements contained in the Credit Agreement or any other Loan Document in similar or different circumstances. The Loan Parties acknowledge and agree that, without limiting the terms of any Loan Documents, all Secured Obligations are unconditionally owing by the Loan Parties and their applicable Subsidiaries without setoff, recoupment, defense, or counterclaim, in law or in equity, of any kind or character, and all Secured Obligations are and will continue to be secured by valid, perfected, indefeasible Liens in, among other things, the Collateral, as applicable, and each of the Loan Parties reaffirms its obligations and duties under the Loan Documents and the Liens in the Collateral that it granted to Administrative Agent under the Loan Documents, as applicable, to secure the Secured Obligations.</w:t>
      </w:r>
    </w:p>
    <w:p>
      <w:pPr>
        <w:spacing w:after="0" w:line="17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Each Loan Party represents and warrants that it is not aware of any claims or causes of action against any Lender, the Administrative Agent or any of their respective affiliates, successors or assigns, it has not assigned any claim, set off, or defense with respect to the Secured Obligations, the Administrative Agent, any Lender, or the Loan Documents and that it has no defenses, offsets or counterclaims with respect to the Secured Obligations. Notwithstanding this representation and as further consideration for the agreements and understandings herein, each Loan Party, on behalf of itself and its employees, agents, executors, heirs, successors and assigns (the “Releasing Parties”), hereby releases each Lender, the Administrative Agent and their respective predecessors, officers, directors, employees, agents, attorneys, affiliates, subsidiaries, successors and assigns (the “Released Parties”), from any liability, claim, right or cause of action which now exists or hereafter arises as a result of acts, omissions or events occurring on or prior to the date hereof, whether known or unknown, arising from or in any way related to the Credit Agreement, the other Loan Documents, all transactions relating to the Credit Agreement or any of the other Loan Documents or the business relationship among, or any other transactions or dealings among, the Releasing Parties or any of them and the Released Parties or any of them relating to the Credit Agreement or any of the other Loan Documents.</w:t>
      </w:r>
    </w:p>
    <w:p>
      <w:pPr>
        <w:spacing w:after="0" w:line="212"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19"/>
          <w:szCs w:val="19"/>
          <w:color w:val="auto"/>
        </w:rPr>
        <w:t>This Amendment may be signed upon any number of counterparts with the same effect as 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signatures thereto and hereto were upon the same instrument, and signatures sent by telecopy or other electronic imaging shall be effective as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7" w:name="page8"/>
    <w:bookmarkEnd w:id="7"/>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22"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This Amendment shall be governed by, and construed in accordance with, the laws of the State of Michigan.</w:t>
      </w:r>
    </w:p>
    <w:p>
      <w:pPr>
        <w:spacing w:after="0" w:line="18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19"/>
          <w:szCs w:val="19"/>
          <w:color w:val="auto"/>
        </w:rPr>
        <w:t>Any provision of this Amendment which is prohibited or unenforceable in any jurisdiction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shall, as to such jurisdiction, be ineffective to the extent of such prohibition or unenforceability without invalidating the remaining provisions hereof or affecting the validity or enforceability of such provision in any other jurisdiction.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Signature Pages Follow</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668020</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8" w:name="page9"/>
    <w:bookmarkEnd w:id="8"/>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22"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date first above written.</w:t>
      </w:r>
    </w:p>
    <w:p>
      <w:pPr>
        <w:spacing w:after="0" w:line="200" w:lineRule="exact"/>
        <w:rPr>
          <w:sz w:val="20"/>
          <w:szCs w:val="20"/>
          <w:color w:val="auto"/>
        </w:rPr>
      </w:pPr>
    </w:p>
    <w:p>
      <w:pPr>
        <w:spacing w:after="0" w:line="3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 xml:space="preserve">UFP INDUSTRIES, INC., </w:t>
      </w:r>
      <w:r>
        <w:rPr>
          <w:rFonts w:ascii="Times New Roman" w:cs="Times New Roman" w:eastAsia="Times New Roman" w:hAnsi="Times New Roman"/>
          <w:sz w:val="20"/>
          <w:szCs w:val="20"/>
          <w:color w:val="auto"/>
        </w:rPr>
        <w:t>f/k/a Universal Forest</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Products, Inc., as Company and a Borrower</w:t>
      </w:r>
    </w:p>
    <w:p>
      <w:pPr>
        <w:spacing w:after="0" w:line="200" w:lineRule="exact"/>
        <w:rPr>
          <w:sz w:val="20"/>
          <w:szCs w:val="20"/>
          <w:color w:val="auto"/>
        </w:rPr>
      </w:pPr>
    </w:p>
    <w:p>
      <w:pPr>
        <w:spacing w:after="0" w:line="38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Michael R. Cole</w:t>
      </w:r>
    </w:p>
    <w:p>
      <w:pPr>
        <w:spacing w:after="0" w:line="5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3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 xml:space="preserve">UFP CANADA, INC., </w:t>
      </w:r>
      <w:r>
        <w:rPr>
          <w:rFonts w:ascii="Times New Roman" w:cs="Times New Roman" w:eastAsia="Times New Roman" w:hAnsi="Times New Roman"/>
          <w:sz w:val="20"/>
          <w:szCs w:val="20"/>
          <w:color w:val="auto"/>
        </w:rPr>
        <w:t>as a Foreign Subsidiary Borrower</w:t>
      </w:r>
    </w:p>
    <w:p>
      <w:pPr>
        <w:spacing w:after="0" w:line="200" w:lineRule="exact"/>
        <w:rPr>
          <w:sz w:val="20"/>
          <w:szCs w:val="20"/>
          <w:color w:val="auto"/>
        </w:rPr>
      </w:pPr>
    </w:p>
    <w:p>
      <w:pPr>
        <w:spacing w:after="0" w:line="38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Michael R. Cole</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3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 xml:space="preserve">UFP AUSTRALIA PTY LTD., </w:t>
      </w:r>
      <w:r>
        <w:rPr>
          <w:rFonts w:ascii="Times New Roman" w:cs="Times New Roman" w:eastAsia="Times New Roman" w:hAnsi="Times New Roman"/>
          <w:sz w:val="20"/>
          <w:szCs w:val="20"/>
          <w:color w:val="auto"/>
        </w:rPr>
        <w:t>as a Foreign Subsidiary</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Borrower</w:t>
      </w:r>
    </w:p>
    <w:p>
      <w:pPr>
        <w:spacing w:after="0" w:line="200" w:lineRule="exact"/>
        <w:rPr>
          <w:sz w:val="20"/>
          <w:szCs w:val="20"/>
          <w:color w:val="auto"/>
        </w:rPr>
      </w:pPr>
    </w:p>
    <w:p>
      <w:pPr>
        <w:spacing w:after="0" w:line="39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Michael R. Cole</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1111250</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9" w:name="page10"/>
    <w:bookmarkEnd w:id="9"/>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JPMORGAN CHASE</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 xml:space="preserve">BANK, N.A., </w:t>
      </w:r>
      <w:r>
        <w:rPr>
          <w:rFonts w:ascii="Times New Roman" w:cs="Times New Roman" w:eastAsia="Times New Roman" w:hAnsi="Times New Roman"/>
          <w:sz w:val="20"/>
          <w:szCs w:val="20"/>
          <w:color w:val="auto"/>
        </w:rPr>
        <w:t>as a Lender and</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Jonathan Bennett</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708660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0" w:name="page11"/>
    <w:bookmarkEnd w:id="10"/>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JPMORGAN CHASE BANK, NATIONAL</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ASSOCIATION, TORONTO BRANCH</w:t>
      </w:r>
      <w:r>
        <w:rPr>
          <w:rFonts w:ascii="Times New Roman" w:cs="Times New Roman" w:eastAsia="Times New Roman" w:hAnsi="Times New Roman"/>
          <w:sz w:val="20"/>
          <w:szCs w:val="20"/>
          <w:color w:val="auto"/>
        </w:rPr>
        <w:t>, as the</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Applicable Lending Installation and Related Party</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designated by JPMorgan Chase Bank, N.A. for Loans to</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any Borrower in Canada or in Canadian Dollars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Jeffrey Coleman</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537210</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1" w:name="page12"/>
    <w:bookmarkEnd w:id="11"/>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WELLS FARGO BANK, N.A</w:t>
      </w:r>
      <w:r>
        <w:rPr>
          <w:rFonts w:ascii="Times New Roman" w:cs="Times New Roman" w:eastAsia="Times New Roman" w:hAnsi="Times New Roman"/>
          <w:sz w:val="20"/>
          <w:szCs w:val="20"/>
          <w:color w:val="auto"/>
        </w:rPr>
        <w:t>., as a Lender and as</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Syndication Agent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835660</wp:posOffset>
            </wp:positionV>
            <wp:extent cx="54521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2" w:name="page13"/>
    <w:bookmarkEnd w:id="12"/>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right="359"/>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PNC BANK, NATIONAL ASSOCIATION </w:t>
      </w:r>
      <w:r>
        <w:rPr>
          <w:rFonts w:ascii="Times New Roman" w:cs="Times New Roman" w:eastAsia="Times New Roman" w:hAnsi="Times New Roman"/>
          <w:sz w:val="20"/>
          <w:szCs w:val="20"/>
          <w:color w:val="auto"/>
        </w:rPr>
        <w:t>as a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 Documentation Agent</w:t>
      </w:r>
    </w:p>
    <w:p>
      <w:pPr>
        <w:spacing w:after="0" w:line="200" w:lineRule="exact"/>
        <w:rPr>
          <w:sz w:val="20"/>
          <w:szCs w:val="20"/>
          <w:color w:val="auto"/>
        </w:rPr>
      </w:pPr>
    </w:p>
    <w:p>
      <w:pPr>
        <w:spacing w:after="0" w:line="37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835660</wp:posOffset>
            </wp:positionV>
            <wp:extent cx="54521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3" w:name="page14"/>
    <w:bookmarkEnd w:id="13"/>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THE HUNTINGTON NATIONAL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544195</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4" w:name="page15"/>
    <w:bookmarkEnd w:id="1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835660</wp:posOffset>
            </wp:positionV>
            <wp:extent cx="54521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5" w:name="page16"/>
    <w:bookmarkEnd w:id="15"/>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(Canada branch) as the</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Applicable Lending Installation and Related Party</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designated by Bank of America, N.A. for Loans to any</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Borrower in Canada or in Canadian Dollars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544195</wp:posOffset>
            </wp:positionV>
            <wp:extent cx="5452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6" w:name="page17"/>
    <w:bookmarkEnd w:id="16"/>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COBANK, FBC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372745</wp:posOffset>
            </wp:positionV>
            <wp:extent cx="54521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7" w:name="page18"/>
    <w:bookmarkEnd w:id="17"/>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10(l)</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GREENSTONE FARM CREDIT SERVICES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852805</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8" w:name="page19"/>
    <w:bookmarkEnd w:id="1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10(l)</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AND AGREEMENT</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As of the date and year first above written, each of the undersigned hereby:</w:t>
      </w:r>
    </w:p>
    <w:p>
      <w:pPr>
        <w:spacing w:after="0" w:line="229" w:lineRule="exact"/>
        <w:rPr>
          <w:sz w:val="20"/>
          <w:szCs w:val="20"/>
          <w:color w:val="auto"/>
        </w:rPr>
      </w:pPr>
    </w:p>
    <w:p>
      <w:pPr>
        <w:ind w:left="200" w:right="299" w:firstLine="751"/>
        <w:spacing w:after="0" w:line="296" w:lineRule="auto"/>
        <w:tabs>
          <w:tab w:leader="none" w:pos="131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consents to the terms and provisions of the above Amendment and the consummation of the transactions contemplated thereby and agrees to be bound by the provisions applicable to it (including representations, warranties, and agreements, as applicable);</w:t>
      </w:r>
    </w:p>
    <w:p>
      <w:pPr>
        <w:spacing w:after="0" w:line="134" w:lineRule="exact"/>
        <w:rPr>
          <w:rFonts w:ascii="Times New Roman" w:cs="Times New Roman" w:eastAsia="Times New Roman" w:hAnsi="Times New Roman"/>
          <w:sz w:val="20"/>
          <w:szCs w:val="20"/>
          <w:color w:val="auto"/>
        </w:rPr>
      </w:pPr>
    </w:p>
    <w:p>
      <w:pPr>
        <w:ind w:left="200" w:right="399" w:firstLine="751"/>
        <w:spacing w:after="0" w:line="304" w:lineRule="auto"/>
        <w:tabs>
          <w:tab w:leader="none" w:pos="1321"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each Loan Document to which it is a party is hereby ratified and confirmed and shall remain in full force and effect, and acknowledges that it has no setoff, counterclaim, defense or other</w:t>
      </w:r>
    </w:p>
    <w:p>
      <w:pPr>
        <w:ind w:left="200" w:right="919"/>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claim or dispute with respect to any such Loan Document to which it is a party and each other Loan Document to which it is a party;</w:t>
      </w:r>
    </w:p>
    <w:p>
      <w:pPr>
        <w:spacing w:after="0" w:line="119" w:lineRule="exact"/>
        <w:rPr>
          <w:rFonts w:ascii="Times New Roman" w:cs="Times New Roman" w:eastAsia="Times New Roman" w:hAnsi="Times New Roman"/>
          <w:sz w:val="19"/>
          <w:szCs w:val="19"/>
          <w:color w:val="auto"/>
        </w:rPr>
      </w:pPr>
    </w:p>
    <w:p>
      <w:pPr>
        <w:ind w:left="200" w:right="319" w:firstLine="751"/>
        <w:spacing w:after="0" w:line="296" w:lineRule="auto"/>
        <w:tabs>
          <w:tab w:leader="none" w:pos="131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its consent and agreement hereto is a condition to the Lenders obligations under the above Amendment and it is in its interest and to its financial benefit to execute this Consent and Agreement; and</w:t>
      </w:r>
    </w:p>
    <w:p>
      <w:pPr>
        <w:spacing w:after="0" w:line="148" w:lineRule="exact"/>
        <w:rPr>
          <w:rFonts w:ascii="Times New Roman" w:cs="Times New Roman" w:eastAsia="Times New Roman" w:hAnsi="Times New Roman"/>
          <w:sz w:val="20"/>
          <w:szCs w:val="20"/>
          <w:color w:val="auto"/>
        </w:rPr>
      </w:pPr>
    </w:p>
    <w:p>
      <w:pPr>
        <w:ind w:left="200" w:right="339" w:firstLine="751"/>
        <w:spacing w:after="0" w:line="289" w:lineRule="auto"/>
        <w:tabs>
          <w:tab w:leader="none" w:pos="132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and warrants to the Administrative Agent and the Lenders that this Consent and Agreement is the legal, valid and binding obligation of it, enforceable against it in accordance with the terms hereof, it is not aware of any claims or causes of action against the Administrative Agent, the Lenders, or any of their affiliates, successors or assigns, and that it has no defense, offsets or counterclaims with respect to any of the Secured Obligations.</w:t>
      </w:r>
    </w:p>
    <w:p>
      <w:pPr>
        <w:spacing w:after="0" w:line="200" w:lineRule="exact"/>
        <w:rPr>
          <w:sz w:val="20"/>
          <w:szCs w:val="20"/>
          <w:color w:val="auto"/>
        </w:rPr>
      </w:pPr>
    </w:p>
    <w:p>
      <w:pPr>
        <w:spacing w:after="0" w:line="40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Guarantors: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By: ________________________________</w:t>
      </w: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Michael R. Cole</w:t>
      </w:r>
    </w:p>
    <w:p>
      <w:pPr>
        <w:spacing w:after="0" w:line="4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Title: Authorized Signer of each Guarantor listed</w:t>
      </w:r>
    </w:p>
    <w:p>
      <w:pPr>
        <w:spacing w:after="0" w:line="4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on Schedule 1, on behalf of each Guarantor listed</w:t>
      </w:r>
    </w:p>
    <w:p>
      <w:pPr>
        <w:spacing w:after="0" w:line="4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on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631190</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9" w:name="page20"/>
    <w:bookmarkEnd w:id="1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Schedule 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List of Guarantors</w:t>
      </w:r>
    </w:p>
    <w:p>
      <w:pPr>
        <w:sectPr>
          <w:pgSz w:w="11900" w:h="16838" w:orient="portrait"/>
          <w:cols w:equalWidth="0" w:num="1">
            <w:col w:w="9019"/>
          </w:cols>
          <w:pgMar w:left="1440" w:top="657" w:right="1440" w:bottom="1440" w:gutter="0" w:footer="0" w:header="0"/>
        </w:sectPr>
      </w:pPr>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234 Springs Rd., LLC</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2875 Needmore Rd., LLC</w:t>
      </w:r>
    </w:p>
    <w:p>
      <w:pPr>
        <w:ind w:left="200"/>
        <w:spacing w:after="0"/>
        <w:rPr>
          <w:sz w:val="20"/>
          <w:szCs w:val="20"/>
          <w:color w:val="auto"/>
        </w:rPr>
      </w:pPr>
      <w:r>
        <w:rPr>
          <w:rFonts w:ascii="Times New Roman" w:cs="Times New Roman" w:eastAsia="Times New Roman" w:hAnsi="Times New Roman"/>
          <w:sz w:val="20"/>
          <w:szCs w:val="20"/>
          <w:color w:val="auto"/>
        </w:rPr>
        <w:t>621 Hall St.,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Advantage Label and Packaging, Inc.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Aljoma Holding Company,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Aljoma Lumber, Inc.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Caliper Building Systems, LLC</w:t>
      </w:r>
    </w:p>
    <w:p>
      <w:pPr>
        <w:spacing w:after="0" w:line="6" w:lineRule="exact"/>
        <w:rPr>
          <w:sz w:val="20"/>
          <w:szCs w:val="20"/>
          <w:color w:val="auto"/>
        </w:rPr>
      </w:pPr>
    </w:p>
    <w:p>
      <w:pPr>
        <w:ind w:left="200" w:right="120"/>
        <w:spacing w:after="0" w:line="259" w:lineRule="auto"/>
        <w:rPr>
          <w:sz w:val="20"/>
          <w:szCs w:val="20"/>
          <w:color w:val="auto"/>
        </w:rPr>
      </w:pPr>
      <w:r>
        <w:rPr>
          <w:rFonts w:ascii="Times New Roman" w:cs="Times New Roman" w:eastAsia="Times New Roman" w:hAnsi="Times New Roman"/>
          <w:sz w:val="19"/>
          <w:szCs w:val="19"/>
          <w:color w:val="auto"/>
        </w:rPr>
        <w:t xml:space="preserve">Deckorators, Inc. </w:t>
      </w:r>
      <w:r>
        <w:rPr>
          <w:rFonts w:ascii="Times New Roman" w:cs="Times New Roman" w:eastAsia="Times New Roman" w:hAnsi="Times New Roman"/>
          <w:sz w:val="19"/>
          <w:szCs w:val="19"/>
          <w:i w:val="1"/>
          <w:iCs w:val="1"/>
          <w:color w:val="auto"/>
        </w:rPr>
        <w:t>(f/k/a Universal Consumer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Products, Inc.; successor by merger with Maine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Ornamental,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Eovations, LLC</w:t>
      </w:r>
    </w:p>
    <w:p>
      <w:pPr>
        <w:ind w:left="200"/>
        <w:spacing w:after="0"/>
        <w:rPr>
          <w:sz w:val="20"/>
          <w:szCs w:val="20"/>
          <w:color w:val="auto"/>
        </w:rPr>
      </w:pPr>
      <w:r>
        <w:rPr>
          <w:rFonts w:ascii="Times New Roman" w:cs="Times New Roman" w:eastAsia="Times New Roman" w:hAnsi="Times New Roman"/>
          <w:sz w:val="20"/>
          <w:szCs w:val="20"/>
          <w:color w:val="auto"/>
        </w:rPr>
        <w:t>Idaho Western, Inc.</w:t>
      </w:r>
    </w:p>
    <w:p>
      <w:pPr>
        <w:spacing w:after="0" w:line="6" w:lineRule="exact"/>
        <w:rPr>
          <w:sz w:val="20"/>
          <w:szCs w:val="20"/>
          <w:color w:val="auto"/>
        </w:rPr>
      </w:pPr>
    </w:p>
    <w:p>
      <w:pPr>
        <w:ind w:left="200" w:right="40"/>
        <w:spacing w:after="0" w:line="246" w:lineRule="auto"/>
        <w:rPr>
          <w:sz w:val="20"/>
          <w:szCs w:val="20"/>
          <w:color w:val="auto"/>
        </w:rPr>
      </w:pPr>
      <w:r>
        <w:rPr>
          <w:rFonts w:ascii="Times New Roman" w:cs="Times New Roman" w:eastAsia="Times New Roman" w:hAnsi="Times New Roman"/>
          <w:sz w:val="20"/>
          <w:szCs w:val="20"/>
          <w:color w:val="auto"/>
        </w:rPr>
        <w:t xml:space="preserve">idx Corporation </w:t>
      </w:r>
      <w:r>
        <w:rPr>
          <w:rFonts w:ascii="Times New Roman" w:cs="Times New Roman" w:eastAsia="Times New Roman" w:hAnsi="Times New Roman"/>
          <w:sz w:val="20"/>
          <w:szCs w:val="20"/>
          <w:i w:val="1"/>
          <w:iCs w:val="1"/>
          <w:color w:val="auto"/>
        </w:rPr>
        <w:t>(successor by merger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Horizon Terra, Incorporated, idX Chicago, LLC, idX Dallas, LLC, idX Dayton, LLC, idX Impressions, LLC, idX Los Angeles, LLC</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idX Holdings, Inc.</w:t>
      </w:r>
    </w:p>
    <w:p>
      <w:pPr>
        <w:spacing w:after="0" w:line="6" w:lineRule="exact"/>
        <w:rPr>
          <w:sz w:val="20"/>
          <w:szCs w:val="20"/>
          <w:color w:val="auto"/>
        </w:rPr>
      </w:pPr>
    </w:p>
    <w:p>
      <w:pPr>
        <w:ind w:left="200" w:right="980"/>
        <w:spacing w:after="0" w:line="245" w:lineRule="auto"/>
        <w:rPr>
          <w:sz w:val="20"/>
          <w:szCs w:val="20"/>
          <w:color w:val="auto"/>
        </w:rPr>
      </w:pPr>
      <w:r>
        <w:rPr>
          <w:rFonts w:ascii="Times New Roman" w:cs="Times New Roman" w:eastAsia="Times New Roman" w:hAnsi="Times New Roman"/>
          <w:sz w:val="20"/>
          <w:szCs w:val="20"/>
          <w:color w:val="auto"/>
        </w:rPr>
        <w:t>Metaworld Technologies, LLC North Atlantic Framing, LLC PR Distribution, LLC Shawnlee Construction LLC Shepardville Construction, LLC Store Fixtures Canada Holdings, Inc. Tresstar, LLC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Triangle Systems, Inc.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Ashburn,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Auburndale, LLC</w:t>
      </w:r>
    </w:p>
    <w:p>
      <w:pPr>
        <w:ind w:left="200"/>
        <w:spacing w:after="0"/>
        <w:rPr>
          <w:sz w:val="20"/>
          <w:szCs w:val="20"/>
          <w:color w:val="auto"/>
        </w:rPr>
      </w:pPr>
      <w:r>
        <w:rPr>
          <w:rFonts w:ascii="Times New Roman" w:cs="Times New Roman" w:eastAsia="Times New Roman" w:hAnsi="Times New Roman"/>
          <w:sz w:val="20"/>
          <w:szCs w:val="20"/>
          <w:color w:val="auto"/>
        </w:rPr>
        <w:t>UFP Aurora,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Barnesville,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Belchertown,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Berlin,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Biscoe,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Blanchester,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Bonner, LLC</w:t>
      </w:r>
    </w:p>
    <w:p>
      <w:pPr>
        <w:ind w:left="200"/>
        <w:spacing w:after="0"/>
        <w:rPr>
          <w:sz w:val="20"/>
          <w:szCs w:val="20"/>
          <w:color w:val="auto"/>
        </w:rPr>
      </w:pPr>
      <w:r>
        <w:rPr>
          <w:rFonts w:ascii="Times New Roman" w:cs="Times New Roman" w:eastAsia="Times New Roman" w:hAnsi="Times New Roman"/>
          <w:sz w:val="20"/>
          <w:szCs w:val="20"/>
          <w:color w:val="auto"/>
        </w:rPr>
        <w:t>UFP Caldwell,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Cameron,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Chandler,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Chicago,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Concrete Forming Solutions, Inc.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Construction,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Craft and Hobby,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Dallas, LLC</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UFP Distribution, LLC</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Eagan, LLC</w:t>
      </w:r>
    </w:p>
    <w:p>
      <w:pPr>
        <w:spacing w:after="0" w:line="22" w:lineRule="exact"/>
        <w:rPr>
          <w:sz w:val="20"/>
          <w:szCs w:val="20"/>
          <w:color w:val="auto"/>
        </w:rPr>
      </w:pPr>
    </w:p>
    <w:p>
      <w:pPr>
        <w:ind w:right="359"/>
        <w:spacing w:after="0" w:line="245" w:lineRule="auto"/>
        <w:rPr>
          <w:sz w:val="20"/>
          <w:szCs w:val="20"/>
          <w:color w:val="auto"/>
        </w:rPr>
      </w:pPr>
      <w:r>
        <w:rPr>
          <w:rFonts w:ascii="Times New Roman" w:cs="Times New Roman" w:eastAsia="Times New Roman" w:hAnsi="Times New Roman"/>
          <w:sz w:val="20"/>
          <w:szCs w:val="20"/>
          <w:color w:val="auto"/>
        </w:rPr>
        <w:t>UFP Eastern Division, Inc. (</w:t>
      </w:r>
      <w:r>
        <w:rPr>
          <w:rFonts w:ascii="Times New Roman" w:cs="Times New Roman" w:eastAsia="Times New Roman" w:hAnsi="Times New Roman"/>
          <w:sz w:val="20"/>
          <w:szCs w:val="20"/>
          <w:i w:val="1"/>
          <w:iCs w:val="1"/>
          <w:color w:val="auto"/>
        </w:rPr>
        <w:t>successor by merger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UFP Atlantic, LLC, UFP East Central, LLC, UFP Great Lakes, LLC, UFP Gulf, LLC, UFP North Atlantic, LLC, UFP Northeast, LLC, and UFP Southeast, LLC</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Eatonton,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Elizabeth City,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Elkwood,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UFP Financial Services, Inc. </w:t>
      </w:r>
      <w:r>
        <w:rPr>
          <w:rFonts w:ascii="Times New Roman" w:cs="Times New Roman" w:eastAsia="Times New Roman" w:hAnsi="Times New Roman"/>
          <w:sz w:val="19"/>
          <w:szCs w:val="19"/>
          <w:i w:val="1"/>
          <w:iCs w:val="1"/>
          <w:color w:val="auto"/>
        </w:rPr>
        <w:t>(f/k/a UFP National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Enterprises II, Inc.)</w:t>
      </w:r>
    </w:p>
    <w:p>
      <w:pPr>
        <w:spacing w:after="0"/>
        <w:rPr>
          <w:sz w:val="20"/>
          <w:szCs w:val="20"/>
          <w:color w:val="auto"/>
        </w:rPr>
      </w:pPr>
      <w:r>
        <w:rPr>
          <w:rFonts w:ascii="Times New Roman" w:cs="Times New Roman" w:eastAsia="Times New Roman" w:hAnsi="Times New Roman"/>
          <w:sz w:val="20"/>
          <w:szCs w:val="20"/>
          <w:color w:val="auto"/>
        </w:rPr>
        <w:t>UFP Folkston,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Framing,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Franklinton,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Gainesville,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Gear,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Gordon,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Grand Rapids, LLC</w:t>
      </w:r>
    </w:p>
    <w:p>
      <w:pPr>
        <w:spacing w:after="0"/>
        <w:rPr>
          <w:sz w:val="20"/>
          <w:szCs w:val="20"/>
          <w:color w:val="auto"/>
        </w:rPr>
      </w:pPr>
      <w:r>
        <w:rPr>
          <w:rFonts w:ascii="Times New Roman" w:cs="Times New Roman" w:eastAsia="Times New Roman" w:hAnsi="Times New Roman"/>
          <w:sz w:val="20"/>
          <w:szCs w:val="20"/>
          <w:color w:val="auto"/>
        </w:rPr>
        <w:t>UFP Grandview,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Granger,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Haleyville,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Hamilton,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Hampton Holding Company,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Harrisonville,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Hartford,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Hillsboro,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Industrial, LLC</w:t>
      </w:r>
    </w:p>
    <w:p>
      <w:pPr>
        <w:spacing w:after="0"/>
        <w:rPr>
          <w:sz w:val="20"/>
          <w:szCs w:val="20"/>
          <w:color w:val="auto"/>
        </w:rPr>
      </w:pPr>
      <w:r>
        <w:rPr>
          <w:rFonts w:ascii="Times New Roman" w:cs="Times New Roman" w:eastAsia="Times New Roman" w:hAnsi="Times New Roman"/>
          <w:sz w:val="20"/>
          <w:szCs w:val="20"/>
          <w:color w:val="auto"/>
        </w:rPr>
        <w:t>UFP International Employment Services,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International,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Janesville,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Kyle,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Lafayette,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Lansing,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Magna, LLC</w:t>
      </w:r>
    </w:p>
    <w:p>
      <w:pPr>
        <w:spacing w:after="0"/>
        <w:rPr>
          <w:sz w:val="20"/>
          <w:szCs w:val="20"/>
          <w:color w:val="auto"/>
        </w:rPr>
      </w:pPr>
      <w:r>
        <w:rPr>
          <w:rFonts w:ascii="Times New Roman" w:cs="Times New Roman" w:eastAsia="Times New Roman" w:hAnsi="Times New Roman"/>
          <w:sz w:val="20"/>
          <w:szCs w:val="20"/>
          <w:color w:val="auto"/>
        </w:rPr>
        <w:t>UFP McMinnville,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Mexico Proyectos,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Mid-Atlantic,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Milwaukee,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Minneota,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Morristown,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Moultrie,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UFP NAC,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990600</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2">
            <w:col w:w="4120" w:space="720"/>
            <w:col w:w="4179"/>
          </w:cols>
          <w:pgMar w:left="1440" w:top="657" w:right="1440" w:bottom="1440" w:gutter="0" w:footer="0" w:header="0"/>
          <w:type w:val="continuous"/>
        </w:sectPr>
      </w:pPr>
    </w:p>
    <w:bookmarkStart w:id="20" w:name="page21"/>
    <w:bookmarkEnd w:id="20"/>
    <w:tbl>
      <w:tblPr>
        <w:tblLayout w:type="fixed"/>
        <w:tblInd w:w="20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w w:val="97"/>
              </w:rPr>
              <w:t>Exhibit 10(l)</w:t>
            </w:r>
          </w:p>
        </w:tc>
      </w:tr>
      <w:tr>
        <w:trPr>
          <w:trHeight w:val="63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Nappanee,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UFP Site Built, LLC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New London,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Inc.</w:t>
            </w:r>
          </w:p>
        </w:tc>
      </w:tr>
      <w:tr>
        <w:trPr>
          <w:trHeight w:val="22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New Waverly,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Maine, Inc.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New Windsor,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Energy LLC</w:t>
            </w:r>
          </w:p>
        </w:tc>
      </w:tr>
      <w:tr>
        <w:trPr>
          <w:trHeight w:val="22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New York,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Wisconsin, Inc.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Orlando,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Wisconsin Manufacturing, LLC</w:t>
            </w:r>
          </w:p>
        </w:tc>
      </w:tr>
      <w:tr>
        <w:trPr>
          <w:trHeight w:val="22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Packaging,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Indiana, Inc.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Palm Beach,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Indiana Transportation, LLC</w:t>
            </w:r>
          </w:p>
        </w:tc>
      </w:tr>
      <w:tr>
        <w:trPr>
          <w:trHeight w:val="22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Parker,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North Carolina, Inc.</w:t>
            </w:r>
          </w:p>
        </w:tc>
      </w:tr>
      <w:tr>
        <w:trPr>
          <w:trHeight w:val="22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Purchasing, Inc.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P1 Catawba Development Company LLC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Ranson,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Florida, Inc.</w:t>
            </w:r>
          </w:p>
        </w:tc>
      </w:tr>
      <w:tr>
        <w:trPr>
          <w:trHeight w:val="22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Real Estate,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SunOne Logistics, LLC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Retail,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Virginia, LLC</w:t>
            </w:r>
          </w:p>
        </w:tc>
      </w:tr>
      <w:tr>
        <w:trPr>
          <w:trHeight w:val="225"/>
        </w:trPr>
        <w:tc>
          <w:tcPr>
            <w:tcW w:w="4280" w:type="dxa"/>
            <w:vAlign w:val="bottom"/>
            <w:gridSpan w:val="4"/>
          </w:tcPr>
          <w:p>
            <w:pPr>
              <w:spacing w:after="0" w:line="226" w:lineRule="exact"/>
              <w:rPr>
                <w:sz w:val="20"/>
                <w:szCs w:val="20"/>
                <w:color w:val="auto"/>
              </w:rPr>
            </w:pPr>
            <w:r>
              <w:rPr>
                <w:rFonts w:ascii="Times New Roman" w:cs="Times New Roman" w:eastAsia="Times New Roman" w:hAnsi="Times New Roman"/>
                <w:sz w:val="20"/>
                <w:szCs w:val="20"/>
                <w:color w:val="auto"/>
              </w:rPr>
              <w:t>UFP Riverside, LLC</w:t>
            </w:r>
          </w:p>
        </w:tc>
        <w:tc>
          <w:tcPr>
            <w:tcW w:w="4320" w:type="dxa"/>
            <w:vAlign w:val="bottom"/>
          </w:tcPr>
          <w:p>
            <w:pPr>
              <w:ind w:left="360"/>
              <w:spacing w:after="0" w:line="226" w:lineRule="exact"/>
              <w:rPr>
                <w:sz w:val="20"/>
                <w:szCs w:val="20"/>
                <w:color w:val="auto"/>
              </w:rPr>
            </w:pPr>
            <w:r>
              <w:rPr>
                <w:rFonts w:ascii="Times New Roman" w:cs="Times New Roman" w:eastAsia="Times New Roman" w:hAnsi="Times New Roman"/>
                <w:sz w:val="20"/>
                <w:szCs w:val="20"/>
                <w:color w:val="auto"/>
              </w:rPr>
              <w:t>PalletOne of Alabama, LLC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 xml:space="preserve">UFP RMS, LLC </w:t>
            </w:r>
            <w:r>
              <w:rPr>
                <w:rFonts w:ascii="Times New Roman" w:cs="Times New Roman" w:eastAsia="Times New Roman" w:hAnsi="Times New Roman"/>
                <w:sz w:val="20"/>
                <w:szCs w:val="20"/>
                <w:i w:val="1"/>
                <w:iCs w:val="1"/>
                <w:color w:val="auto"/>
              </w:rPr>
              <w:t>(f/k/a Universal Forest Products</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Sunbelt Acquisition Corp.</w:t>
            </w:r>
          </w:p>
        </w:tc>
      </w:tr>
      <w:tr>
        <w:trPr>
          <w:trHeight w:val="23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auto"/>
              </w:rPr>
              <w:t>RMS,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Sunbelt Forest Products Corporation</w:t>
            </w: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Rockwell,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Sunbelt Acquisition II Florida, LLC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Saginaw,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Sunbelt Acquisition III Alabama, LLC</w:t>
            </w: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Salisbury,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Sunbelt Forest Products Alabama, LLC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San Antonio,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Sunbelt Forest Georgia LLC</w:t>
            </w: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Sauk Rapids,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Texas Holdings, Inc.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Schertz,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Acquisition of Texas, Inc.</w:t>
            </w:r>
          </w:p>
        </w:tc>
      </w:tr>
      <w:tr>
        <w:trPr>
          <w:trHeight w:val="22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Shawnee,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Texas, L.P.</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Stafford,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Manufacturing of Texas, LLC</w:t>
            </w: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Stockertown,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NE Texas, LLC</w:t>
            </w: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Tampa, LLC</w:t>
            </w:r>
          </w:p>
        </w:tc>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PalletOne of Mobile, LLC</w:t>
            </w: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Thomaston, LLC</w:t>
            </w:r>
          </w:p>
        </w:tc>
        <w:tc>
          <w:tcPr>
            <w:tcW w:w="4320" w:type="dxa"/>
            <w:vAlign w:val="bottom"/>
          </w:tcPr>
          <w:p>
            <w:pPr>
              <w:spacing w:after="0"/>
              <w:rPr>
                <w:sz w:val="21"/>
                <w:szCs w:val="21"/>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Thornton, LLC</w:t>
            </w:r>
          </w:p>
        </w:tc>
        <w:tc>
          <w:tcPr>
            <w:tcW w:w="4320" w:type="dxa"/>
            <w:vAlign w:val="bottom"/>
          </w:tcPr>
          <w:p>
            <w:pPr>
              <w:spacing w:after="0"/>
              <w:rPr>
                <w:sz w:val="19"/>
                <w:szCs w:val="19"/>
                <w:color w:val="auto"/>
              </w:rPr>
            </w:pP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Transportation, Inc.</w:t>
            </w:r>
          </w:p>
        </w:tc>
        <w:tc>
          <w:tcPr>
            <w:tcW w:w="4320" w:type="dxa"/>
            <w:vAlign w:val="bottom"/>
          </w:tcPr>
          <w:p>
            <w:pPr>
              <w:spacing w:after="0"/>
              <w:rPr>
                <w:sz w:val="21"/>
                <w:szCs w:val="21"/>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Union City, LLC</w:t>
            </w:r>
          </w:p>
        </w:tc>
        <w:tc>
          <w:tcPr>
            <w:tcW w:w="4320" w:type="dxa"/>
            <w:vAlign w:val="bottom"/>
          </w:tcPr>
          <w:p>
            <w:pPr>
              <w:spacing w:after="0"/>
              <w:rPr>
                <w:sz w:val="19"/>
                <w:szCs w:val="19"/>
                <w:color w:val="auto"/>
              </w:rPr>
            </w:pP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Ventures II, Inc.</w:t>
            </w:r>
          </w:p>
        </w:tc>
        <w:tc>
          <w:tcPr>
            <w:tcW w:w="4320" w:type="dxa"/>
            <w:vAlign w:val="bottom"/>
          </w:tcPr>
          <w:p>
            <w:pPr>
              <w:spacing w:after="0"/>
              <w:rPr>
                <w:sz w:val="21"/>
                <w:szCs w:val="21"/>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Warranty Corporation</w:t>
            </w:r>
          </w:p>
        </w:tc>
        <w:tc>
          <w:tcPr>
            <w:tcW w:w="4320" w:type="dxa"/>
            <w:vAlign w:val="bottom"/>
          </w:tcPr>
          <w:p>
            <w:pPr>
              <w:spacing w:after="0"/>
              <w:rPr>
                <w:sz w:val="19"/>
                <w:szCs w:val="19"/>
                <w:color w:val="auto"/>
              </w:rPr>
            </w:pPr>
          </w:p>
        </w:tc>
      </w:tr>
      <w:tr>
        <w:trPr>
          <w:trHeight w:val="22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Warrens, LLC</w:t>
            </w:r>
          </w:p>
        </w:tc>
        <w:tc>
          <w:tcPr>
            <w:tcW w:w="4320" w:type="dxa"/>
            <w:vAlign w:val="bottom"/>
          </w:tcPr>
          <w:p>
            <w:pPr>
              <w:spacing w:after="0"/>
              <w:rPr>
                <w:sz w:val="19"/>
                <w:szCs w:val="19"/>
                <w:color w:val="auto"/>
              </w:rPr>
            </w:pPr>
          </w:p>
        </w:tc>
      </w:tr>
      <w:tr>
        <w:trPr>
          <w:trHeight w:val="239"/>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Washington, LLC</w:t>
            </w:r>
          </w:p>
        </w:tc>
        <w:tc>
          <w:tcPr>
            <w:tcW w:w="4320" w:type="dxa"/>
            <w:vAlign w:val="bottom"/>
          </w:tcPr>
          <w:p>
            <w:pPr>
              <w:spacing w:after="0"/>
              <w:rPr>
                <w:sz w:val="20"/>
                <w:szCs w:val="20"/>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Western Division, Inc. (</w:t>
            </w:r>
            <w:r>
              <w:rPr>
                <w:rFonts w:ascii="Times New Roman" w:cs="Times New Roman" w:eastAsia="Times New Roman" w:hAnsi="Times New Roman"/>
                <w:sz w:val="20"/>
                <w:szCs w:val="20"/>
                <w:i w:val="1"/>
                <w:iCs w:val="1"/>
                <w:color w:val="auto"/>
              </w:rPr>
              <w:t>successor by merger</w:t>
            </w:r>
          </w:p>
        </w:tc>
        <w:tc>
          <w:tcPr>
            <w:tcW w:w="4320" w:type="dxa"/>
            <w:vAlign w:val="bottom"/>
          </w:tcPr>
          <w:p>
            <w:pPr>
              <w:spacing w:after="0"/>
              <w:rPr>
                <w:sz w:val="19"/>
                <w:szCs w:val="19"/>
                <w:color w:val="auto"/>
              </w:rPr>
            </w:pP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auto"/>
              </w:rPr>
              <w:t>to UFP Central Plains, LLC, UFP Far West, LLC,</w:t>
            </w:r>
          </w:p>
        </w:tc>
        <w:tc>
          <w:tcPr>
            <w:tcW w:w="4320" w:type="dxa"/>
            <w:vAlign w:val="bottom"/>
          </w:tcPr>
          <w:p>
            <w:pPr>
              <w:spacing w:after="0"/>
              <w:rPr>
                <w:sz w:val="21"/>
                <w:szCs w:val="21"/>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auto"/>
              </w:rPr>
              <w:t>UFP Mountain West, LLC, and UFP Southwest,</w:t>
            </w:r>
          </w:p>
        </w:tc>
        <w:tc>
          <w:tcPr>
            <w:tcW w:w="4320" w:type="dxa"/>
            <w:vAlign w:val="bottom"/>
          </w:tcPr>
          <w:p>
            <w:pPr>
              <w:spacing w:after="0"/>
              <w:rPr>
                <w:sz w:val="19"/>
                <w:szCs w:val="19"/>
                <w:color w:val="auto"/>
              </w:rPr>
            </w:pPr>
          </w:p>
        </w:tc>
      </w:tr>
      <w:tr>
        <w:trPr>
          <w:trHeight w:val="247"/>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auto"/>
              </w:rPr>
              <w:t>LLC</w:t>
            </w:r>
            <w:r>
              <w:rPr>
                <w:rFonts w:ascii="Times New Roman" w:cs="Times New Roman" w:eastAsia="Times New Roman" w:hAnsi="Times New Roman"/>
                <w:sz w:val="20"/>
                <w:szCs w:val="20"/>
                <w:color w:val="auto"/>
              </w:rPr>
              <w:t>)</w:t>
            </w:r>
          </w:p>
        </w:tc>
        <w:tc>
          <w:tcPr>
            <w:tcW w:w="4320" w:type="dxa"/>
            <w:vAlign w:val="bottom"/>
          </w:tcPr>
          <w:p>
            <w:pPr>
              <w:spacing w:after="0"/>
              <w:rPr>
                <w:sz w:val="21"/>
                <w:szCs w:val="21"/>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White Bear Lake, LLC</w:t>
            </w:r>
          </w:p>
        </w:tc>
        <w:tc>
          <w:tcPr>
            <w:tcW w:w="4320" w:type="dxa"/>
            <w:vAlign w:val="bottom"/>
          </w:tcPr>
          <w:p>
            <w:pPr>
              <w:spacing w:after="0"/>
              <w:rPr>
                <w:sz w:val="19"/>
                <w:szCs w:val="19"/>
                <w:color w:val="auto"/>
              </w:rPr>
            </w:pP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Windsor, LLC</w:t>
            </w:r>
          </w:p>
        </w:tc>
        <w:tc>
          <w:tcPr>
            <w:tcW w:w="4320" w:type="dxa"/>
            <w:vAlign w:val="bottom"/>
          </w:tcPr>
          <w:p>
            <w:pPr>
              <w:spacing w:after="0"/>
              <w:rPr>
                <w:sz w:val="21"/>
                <w:szCs w:val="21"/>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Woodburn, LLC</w:t>
            </w:r>
          </w:p>
        </w:tc>
        <w:tc>
          <w:tcPr>
            <w:tcW w:w="4320" w:type="dxa"/>
            <w:vAlign w:val="bottom"/>
          </w:tcPr>
          <w:p>
            <w:pPr>
              <w:spacing w:after="0"/>
              <w:rPr>
                <w:sz w:val="19"/>
                <w:szCs w:val="19"/>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Ultra Aluminum Manufacturing, Inc.</w:t>
            </w:r>
          </w:p>
        </w:tc>
        <w:tc>
          <w:tcPr>
            <w:tcW w:w="4320" w:type="dxa"/>
            <w:vAlign w:val="bottom"/>
          </w:tcPr>
          <w:p>
            <w:pPr>
              <w:spacing w:after="0"/>
              <w:rPr>
                <w:sz w:val="19"/>
                <w:szCs w:val="19"/>
                <w:color w:val="auto"/>
              </w:rPr>
            </w:pP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Lumber &amp; Reman, LLC</w:t>
            </w:r>
          </w:p>
        </w:tc>
        <w:tc>
          <w:tcPr>
            <w:tcW w:w="4320" w:type="dxa"/>
            <w:vAlign w:val="bottom"/>
          </w:tcPr>
          <w:p>
            <w:pPr>
              <w:spacing w:after="0"/>
              <w:rPr>
                <w:sz w:val="21"/>
                <w:szCs w:val="21"/>
                <w:color w:val="auto"/>
              </w:rPr>
            </w:pPr>
          </w:p>
        </w:tc>
      </w:tr>
      <w:tr>
        <w:trPr>
          <w:trHeight w:val="230"/>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Universal Forest Products Texas LLC</w:t>
            </w:r>
          </w:p>
        </w:tc>
        <w:tc>
          <w:tcPr>
            <w:tcW w:w="4320" w:type="dxa"/>
            <w:vAlign w:val="bottom"/>
          </w:tcPr>
          <w:p>
            <w:pPr>
              <w:spacing w:after="0"/>
              <w:rPr>
                <w:sz w:val="19"/>
                <w:szCs w:val="19"/>
                <w:color w:val="auto"/>
              </w:rPr>
            </w:pPr>
          </w:p>
        </w:tc>
      </w:tr>
      <w:tr>
        <w:trPr>
          <w:trHeight w:val="243"/>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Upshur Forest Products, LLC</w:t>
            </w:r>
          </w:p>
        </w:tc>
        <w:tc>
          <w:tcPr>
            <w:tcW w:w="4320" w:type="dxa"/>
            <w:vAlign w:val="bottom"/>
          </w:tcPr>
          <w:p>
            <w:pPr>
              <w:spacing w:after="0"/>
              <w:rPr>
                <w:sz w:val="21"/>
                <w:szCs w:val="21"/>
                <w:color w:val="auto"/>
              </w:rPr>
            </w:pPr>
          </w:p>
        </w:tc>
      </w:tr>
      <w:tr>
        <w:trPr>
          <w:trHeight w:val="225"/>
        </w:trPr>
        <w:tc>
          <w:tcPr>
            <w:tcW w:w="4280" w:type="dxa"/>
            <w:vAlign w:val="bottom"/>
            <w:gridSpan w:val="4"/>
          </w:tcPr>
          <w:p>
            <w:pPr>
              <w:spacing w:after="0" w:line="226" w:lineRule="exact"/>
              <w:rPr>
                <w:sz w:val="20"/>
                <w:szCs w:val="20"/>
                <w:color w:val="auto"/>
              </w:rPr>
            </w:pPr>
            <w:r>
              <w:rPr>
                <w:rFonts w:ascii="Times New Roman" w:cs="Times New Roman" w:eastAsia="Times New Roman" w:hAnsi="Times New Roman"/>
                <w:sz w:val="20"/>
                <w:szCs w:val="20"/>
                <w:color w:val="auto"/>
              </w:rPr>
              <w:t>Yard &amp; Home, LLC</w:t>
            </w:r>
          </w:p>
        </w:tc>
        <w:tc>
          <w:tcPr>
            <w:tcW w:w="4320" w:type="dxa"/>
            <w:vAlign w:val="bottom"/>
          </w:tcPr>
          <w:p>
            <w:pPr>
              <w:spacing w:after="0"/>
              <w:rPr>
                <w:sz w:val="19"/>
                <w:szCs w:val="19"/>
                <w:color w:val="auto"/>
              </w:rPr>
            </w:pPr>
          </w:p>
        </w:tc>
      </w:tr>
      <w:tr>
        <w:trPr>
          <w:trHeight w:val="216"/>
        </w:trPr>
        <w:tc>
          <w:tcPr>
            <w:tcW w:w="4280" w:type="dxa"/>
            <w:vAlign w:val="bottom"/>
            <w:gridSpan w:val="4"/>
          </w:tcPr>
          <w:p>
            <w:pPr>
              <w:spacing w:after="0" w:line="216" w:lineRule="exact"/>
              <w:rPr>
                <w:sz w:val="20"/>
                <w:szCs w:val="20"/>
                <w:color w:val="auto"/>
              </w:rPr>
            </w:pPr>
            <w:r>
              <w:rPr>
                <w:rFonts w:ascii="Times New Roman" w:cs="Times New Roman" w:eastAsia="Times New Roman" w:hAnsi="Times New Roman"/>
                <w:sz w:val="20"/>
                <w:szCs w:val="20"/>
                <w:color w:val="auto"/>
              </w:rPr>
              <w:t xml:space="preserve">Performance Formulation Solutions, LLC </w:t>
            </w:r>
            <w:r>
              <w:rPr>
                <w:rFonts w:ascii="Times New Roman" w:cs="Times New Roman" w:eastAsia="Times New Roman" w:hAnsi="Times New Roman"/>
                <w:sz w:val="20"/>
                <w:szCs w:val="20"/>
                <w:i w:val="1"/>
                <w:iCs w:val="1"/>
                <w:color w:val="auto"/>
              </w:rPr>
              <w:t>(f/k/a</w:t>
            </w:r>
          </w:p>
        </w:tc>
        <w:tc>
          <w:tcPr>
            <w:tcW w:w="432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23"/>
        </w:trPr>
        <w:tc>
          <w:tcPr>
            <w:tcW w:w="428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Fire Retardant Chemical Technologies, LLC)</w:t>
            </w:r>
          </w:p>
        </w:tc>
        <w:tc>
          <w:tcPr>
            <w:tcW w:w="4320" w:type="dxa"/>
            <w:vAlign w:val="bottom"/>
          </w:tcPr>
          <w:p>
            <w:pPr>
              <w:spacing w:after="0"/>
              <w:rPr>
                <w:sz w:val="19"/>
                <w:szCs w:val="19"/>
                <w:color w:val="auto"/>
              </w:rPr>
            </w:pPr>
          </w:p>
        </w:tc>
      </w:tr>
      <w:tr>
        <w:trPr>
          <w:trHeight w:val="227"/>
        </w:trPr>
        <w:tc>
          <w:tcPr>
            <w:tcW w:w="3580" w:type="dxa"/>
            <w:vAlign w:val="bottom"/>
            <w:tcBorders>
              <w:top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UFP Londonderry, LLC</w:t>
            </w:r>
          </w:p>
        </w:tc>
        <w:tc>
          <w:tcPr>
            <w:tcW w:w="700" w:type="dxa"/>
            <w:vAlign w:val="bottom"/>
            <w:gridSpan w:val="2"/>
          </w:tcPr>
          <w:p>
            <w:pPr>
              <w:spacing w:after="0"/>
              <w:rPr>
                <w:sz w:val="19"/>
                <w:szCs w:val="19"/>
                <w:color w:val="auto"/>
              </w:rPr>
            </w:pPr>
          </w:p>
        </w:tc>
        <w:tc>
          <w:tcPr>
            <w:tcW w:w="4320" w:type="dxa"/>
            <w:vAlign w:val="bottom"/>
          </w:tcPr>
          <w:p>
            <w:pPr>
              <w:spacing w:after="0"/>
              <w:rPr>
                <w:sz w:val="19"/>
                <w:szCs w:val="19"/>
                <w:color w:val="auto"/>
              </w:rPr>
            </w:pPr>
          </w:p>
        </w:tc>
      </w:tr>
      <w:tr>
        <w:trPr>
          <w:trHeight w:val="258"/>
        </w:trPr>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UFP Rockingham, LLC</w:t>
            </w:r>
          </w:p>
        </w:tc>
        <w:tc>
          <w:tcPr>
            <w:tcW w:w="4320" w:type="dxa"/>
            <w:vAlign w:val="bottom"/>
          </w:tcPr>
          <w:p>
            <w:pPr>
              <w:spacing w:after="0"/>
              <w:rPr>
                <w:sz w:val="22"/>
                <w:szCs w:val="22"/>
                <w:color w:val="auto"/>
              </w:rPr>
            </w:pPr>
          </w:p>
        </w:tc>
      </w:tr>
      <w:tr>
        <w:trPr>
          <w:trHeight w:val="798"/>
        </w:trPr>
        <w:tc>
          <w:tcPr>
            <w:tcW w:w="3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6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2022-12-12T08:30:01Z</dcterms:created>
  <dcterms:modified xsi:type="dcterms:W3CDTF">2022-12-12T08:30:01Z</dcterms:modified>
</cp:coreProperties>
</file>