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254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71.58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 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71.58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1,576 shares previously held in deferred compensation plan which were distributed to the reporting person on February 17, 2022 and are now owned directly.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84 shares credited to account based on dividends paid on September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04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2022-11-03T14:23:22Z</dcterms:created>
  <dcterms:modified xsi:type="dcterms:W3CDTF">2022-11-03T14:23:22Z</dcterms:modified>
</cp:coreProperties>
</file>