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374650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96"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2023</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39" w:lineRule="exact"/>
        <w:rPr>
          <w:sz w:val="24"/>
          <w:szCs w:val="24"/>
          <w:color w:val="auto"/>
        </w:rPr>
      </w:pPr>
    </w:p>
    <w:p>
      <w:pPr>
        <w:ind w:left="3860" w:right="1280" w:hanging="3850"/>
        <w:spacing w:after="0" w:line="397" w:lineRule="auto"/>
        <w:tabs>
          <w:tab w:leader="none" w:pos="273"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UFP INDUSTRIES,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320" w:type="dxa"/>
            <w:vAlign w:val="bottom"/>
            <w:gridSpan w:val="4"/>
          </w:tcPr>
          <w:p>
            <w:pPr>
              <w:jc w:val="center"/>
              <w:ind w:right="1260"/>
              <w:spacing w:after="0"/>
              <w:rPr>
                <w:sz w:val="20"/>
                <w:szCs w:val="20"/>
                <w:color w:val="auto"/>
              </w:rPr>
            </w:pPr>
            <w:r>
              <w:rPr>
                <w:rFonts w:ascii="Arial" w:cs="Arial" w:eastAsia="Arial" w:hAnsi="Arial"/>
                <w:sz w:val="18"/>
                <w:szCs w:val="18"/>
                <w:color w:val="auto"/>
                <w:w w:val="97"/>
              </w:rPr>
              <w:t>Michigan</w:t>
            </w:r>
          </w:p>
        </w:tc>
        <w:tc>
          <w:tcPr>
            <w:tcW w:w="3920" w:type="dxa"/>
            <w:vAlign w:val="bottom"/>
          </w:tcPr>
          <w:p>
            <w:pPr>
              <w:jc w:val="right"/>
              <w:ind w:right="1570"/>
              <w:spacing w:after="0"/>
              <w:rPr>
                <w:sz w:val="20"/>
                <w:szCs w:val="20"/>
                <w:color w:val="auto"/>
              </w:rPr>
            </w:pPr>
            <w:r>
              <w:rPr>
                <w:rFonts w:ascii="Arial" w:cs="Arial" w:eastAsia="Arial" w:hAnsi="Arial"/>
                <w:sz w:val="18"/>
                <w:szCs w:val="18"/>
                <w:color w:val="auto"/>
              </w:rPr>
              <w:t>38-1465835</w:t>
            </w:r>
          </w:p>
        </w:tc>
      </w:tr>
      <w:tr>
        <w:trPr>
          <w:trHeight w:val="202"/>
        </w:trPr>
        <w:tc>
          <w:tcPr>
            <w:tcW w:w="41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Arial" w:cs="Arial" w:eastAsia="Arial" w:hAnsi="Arial"/>
                <w:sz w:val="18"/>
                <w:szCs w:val="18"/>
                <w:color w:val="auto"/>
                <w:w w:val="92"/>
              </w:rPr>
              <w:t>2801 East Beltline NE, Grand Rapids, Michigan</w:t>
            </w:r>
          </w:p>
        </w:tc>
        <w:tc>
          <w:tcPr>
            <w:tcW w:w="3920" w:type="dxa"/>
            <w:vAlign w:val="bottom"/>
          </w:tcPr>
          <w:p>
            <w:pPr>
              <w:jc w:val="right"/>
              <w:ind w:right="1790"/>
              <w:spacing w:after="0"/>
              <w:rPr>
                <w:sz w:val="20"/>
                <w:szCs w:val="20"/>
                <w:color w:val="auto"/>
              </w:rPr>
            </w:pPr>
            <w:r>
              <w:rPr>
                <w:rFonts w:ascii="Arial" w:cs="Arial" w:eastAsia="Arial" w:hAnsi="Arial"/>
                <w:sz w:val="18"/>
                <w:szCs w:val="18"/>
                <w:color w:val="auto"/>
              </w:rPr>
              <w:t>49525</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Arial" w:cs="Arial" w:eastAsia="Arial" w:hAnsi="Arial"/>
                <w:sz w:val="18"/>
                <w:szCs w:val="18"/>
                <w:color w:val="auto"/>
                <w:w w:val="94"/>
              </w:rPr>
              <w:t>(Zip Code)</w:t>
            </w:r>
          </w:p>
        </w:tc>
      </w:tr>
      <w:tr>
        <w:trPr>
          <w:trHeight w:val="364"/>
        </w:trPr>
        <w:tc>
          <w:tcPr>
            <w:tcW w:w="5320" w:type="dxa"/>
            <w:vAlign w:val="bottom"/>
            <w:gridSpan w:val="4"/>
          </w:tcPr>
          <w:p>
            <w:pPr>
              <w:ind w:left="460"/>
              <w:spacing w:after="0"/>
              <w:rPr>
                <w:sz w:val="20"/>
                <w:szCs w:val="20"/>
                <w:color w:val="auto"/>
              </w:rPr>
            </w:pPr>
            <w:r>
              <w:rPr>
                <w:rFonts w:ascii="Arial" w:cs="Arial" w:eastAsia="Arial" w:hAnsi="Arial"/>
                <w:sz w:val="18"/>
                <w:szCs w:val="18"/>
                <w:color w:val="auto"/>
                <w:w w:val="8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14605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30"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8" w:lineRule="exact"/>
        <w:rPr>
          <w:sz w:val="24"/>
          <w:szCs w:val="24"/>
          <w:color w:val="auto"/>
        </w:rPr>
      </w:pPr>
    </w:p>
    <w:p>
      <w:pPr>
        <w:jc w:val="both"/>
        <w:ind w:left="20" w:right="2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8" w:lineRule="exact"/>
        <w:rPr>
          <w:sz w:val="24"/>
          <w:szCs w:val="24"/>
          <w:color w:val="auto"/>
        </w:rPr>
      </w:pPr>
    </w:p>
    <w:p>
      <w:pPr>
        <w:jc w:val="both"/>
        <w:ind w:left="20" w:right="20"/>
        <w:spacing w:after="0" w:line="263"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92" w:right="819" w:bottom="1440" w:gutter="0" w:footer="0" w:header="0"/>
        </w:sectPr>
      </w:pPr>
    </w:p>
    <w:p>
      <w:pPr>
        <w:spacing w:after="0" w:line="44" w:lineRule="exact"/>
        <w:rPr>
          <w:sz w:val="24"/>
          <w:szCs w:val="24"/>
          <w:color w:val="auto"/>
        </w:rPr>
      </w:pPr>
    </w:p>
    <w:p>
      <w:pPr>
        <w:ind w:left="540"/>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228" w:lineRule="exact"/>
        <w:rPr>
          <w:sz w:val="20"/>
          <w:szCs w:val="20"/>
          <w:color w:val="auto"/>
        </w:rPr>
      </w:pPr>
      <w:r>
        <w:rPr>
          <w:rFonts w:ascii="Arial" w:cs="Arial" w:eastAsia="Arial" w:hAnsi="Arial"/>
          <w:sz w:val="17"/>
          <w:szCs w:val="17"/>
          <w:color w:val="auto"/>
        </w:rPr>
        <w:t xml:space="preserve">Non-Accelerated Filer </w:t>
      </w:r>
      <w:r>
        <w:rPr>
          <w:rFonts w:ascii="Arial Unicode MS" w:cs="Arial Unicode MS" w:eastAsia="Arial Unicode MS" w:hAnsi="Arial Unicode MS"/>
          <w:sz w:val="17"/>
          <w:szCs w:val="17"/>
          <w:color w:val="auto"/>
        </w:rPr>
        <w:t>☐</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jc w:val="both"/>
        <w:ind w:right="800"/>
        <w:spacing w:after="0" w:line="260" w:lineRule="exact"/>
        <w:rPr>
          <w:sz w:val="20"/>
          <w:szCs w:val="20"/>
          <w:color w:val="auto"/>
        </w:rPr>
      </w:pPr>
      <w:r>
        <w:rPr>
          <w:rFonts w:ascii="Arial" w:cs="Arial" w:eastAsia="Arial" w:hAnsi="Arial"/>
          <w:sz w:val="16"/>
          <w:szCs w:val="16"/>
          <w:color w:val="auto"/>
        </w:rPr>
        <w:t xml:space="preserve">Smaller Reporting Company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Emerging Growth Company </w:t>
      </w:r>
      <w:r>
        <w:rPr>
          <w:rFonts w:ascii="Arial Unicode MS" w:cs="Arial Unicode MS" w:eastAsia="Arial Unicode MS" w:hAnsi="Arial Unicode MS"/>
          <w:sz w:val="16"/>
          <w:szCs w:val="16"/>
          <w:color w:val="auto"/>
        </w:rPr>
        <w:t>☐</w:t>
      </w:r>
    </w:p>
    <w:p>
      <w:pPr>
        <w:spacing w:after="0" w:line="26" w:lineRule="exact"/>
        <w:rPr>
          <w:sz w:val="24"/>
          <w:szCs w:val="24"/>
          <w:color w:val="auto"/>
        </w:rPr>
      </w:pPr>
    </w:p>
    <w:p>
      <w:pPr>
        <w:sectPr>
          <w:pgSz w:w="11900" w:h="16838" w:orient="portrait"/>
          <w:cols w:equalWidth="0" w:num="4">
            <w:col w:w="2500" w:space="660"/>
            <w:col w:w="1440" w:space="280"/>
            <w:col w:w="1820" w:space="480"/>
            <w:col w:w="3080"/>
          </w:cols>
          <w:pgMar w:left="820" w:top="692" w:right="819" w:bottom="1440" w:gutter="0" w:footer="0" w:header="0"/>
          <w:type w:val="continuous"/>
        </w:sectPr>
      </w:pPr>
    </w:p>
    <w:p>
      <w:pPr>
        <w:ind w:left="20" w:right="2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21" w:lineRule="exact"/>
        <w:rPr>
          <w:sz w:val="24"/>
          <w:szCs w:val="24"/>
          <w:color w:val="auto"/>
        </w:rPr>
      </w:pPr>
    </w:p>
    <w:p>
      <w:pPr>
        <w:ind w:left="20"/>
        <w:spacing w:after="0" w:line="242" w:lineRule="exact"/>
        <w:tabs>
          <w:tab w:leader="none" w:pos="8800" w:val="left"/>
        </w:tabs>
        <w:rPr>
          <w:sz w:val="20"/>
          <w:szCs w:val="20"/>
          <w:color w:val="auto"/>
        </w:rPr>
      </w:pPr>
      <w:r>
        <w:rPr>
          <w:rFonts w:ascii="Arial" w:cs="Arial" w:eastAsia="Arial" w:hAnsi="Arial"/>
          <w:sz w:val="17"/>
          <w:szCs w:val="17"/>
          <w:color w:val="auto"/>
        </w:rPr>
        <w:t xml:space="preserve">Indicate by checkmark whether the registrant is a shell company (as defined by Rule 12b-2 of the Exchange Act). Yes </w:t>
      </w:r>
      <w:r>
        <w:rPr>
          <w:rFonts w:ascii="Arial Unicode MS" w:cs="Arial Unicode MS" w:eastAsia="Arial Unicode MS" w:hAnsi="Arial Unicode MS"/>
          <w:sz w:val="17"/>
          <w:szCs w:val="17"/>
          <w:color w:val="auto"/>
        </w:rPr>
        <w:t>☐</w:t>
      </w:r>
      <w:r>
        <w:rPr>
          <w:sz w:val="20"/>
          <w:szCs w:val="20"/>
          <w:color w:val="auto"/>
        </w:rPr>
        <w:tab/>
      </w:r>
      <w:r>
        <w:rPr>
          <w:rFonts w:ascii="Arial" w:cs="Arial" w:eastAsia="Arial" w:hAnsi="Arial"/>
          <w:sz w:val="18"/>
          <w:szCs w:val="18"/>
          <w:color w:val="auto"/>
        </w:rPr>
        <w:t xml:space="preserve">No </w:t>
      </w:r>
      <w:r>
        <w:rPr>
          <w:rFonts w:ascii="Arial Unicode MS" w:cs="Arial Unicode MS" w:eastAsia="Arial Unicode MS" w:hAnsi="Arial Unicode MS"/>
          <w:sz w:val="18"/>
          <w:szCs w:val="18"/>
          <w:color w:val="auto"/>
        </w:rPr>
        <w:t>⌧</w:t>
      </w:r>
    </w:p>
    <w:p>
      <w:pPr>
        <w:spacing w:after="0" w:line="127"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37"/>
        </w:trPr>
        <w:tc>
          <w:tcPr>
            <w:tcW w:w="5100" w:type="dxa"/>
            <w:vAlign w:val="bottom"/>
            <w:gridSpan w:val="2"/>
          </w:tcPr>
          <w:p>
            <w:pPr>
              <w:jc w:val="center"/>
              <w:ind w:right="1040"/>
              <w:spacing w:after="0"/>
              <w:rPr>
                <w:sz w:val="20"/>
                <w:szCs w:val="20"/>
                <w:color w:val="auto"/>
              </w:rPr>
            </w:pPr>
            <w:r>
              <w:rPr>
                <w:rFonts w:ascii="Arial" w:cs="Arial" w:eastAsia="Arial" w:hAnsi="Arial"/>
                <w:sz w:val="18"/>
                <w:szCs w:val="18"/>
                <w:color w:val="auto"/>
                <w:w w:val="84"/>
              </w:rPr>
              <w:t>Class</w:t>
            </w:r>
          </w:p>
        </w:tc>
        <w:tc>
          <w:tcPr>
            <w:tcW w:w="4140" w:type="dxa"/>
            <w:vAlign w:val="bottom"/>
          </w:tcPr>
          <w:p>
            <w:pPr>
              <w:jc w:val="center"/>
              <w:spacing w:after="0"/>
              <w:rPr>
                <w:sz w:val="20"/>
                <w:szCs w:val="20"/>
                <w:color w:val="auto"/>
              </w:rPr>
            </w:pPr>
            <w:r>
              <w:rPr>
                <w:rFonts w:ascii="Arial" w:cs="Arial" w:eastAsia="Arial" w:hAnsi="Arial"/>
                <w:sz w:val="18"/>
                <w:szCs w:val="18"/>
                <w:color w:val="auto"/>
                <w:w w:val="89"/>
              </w:rPr>
              <w:t>Outstanding as of September 30, 2023</w:t>
            </w:r>
          </w:p>
        </w:tc>
      </w:tr>
      <w:tr>
        <w:trPr>
          <w:trHeight w:val="230"/>
        </w:trPr>
        <w:tc>
          <w:tcPr>
            <w:tcW w:w="4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980" w:type="dxa"/>
            <w:vAlign w:val="bottom"/>
          </w:tcPr>
          <w:p>
            <w:pPr>
              <w:spacing w:after="0"/>
              <w:rPr>
                <w:sz w:val="20"/>
                <w:szCs w:val="20"/>
                <w:color w:val="auto"/>
              </w:rPr>
            </w:pPr>
          </w:p>
        </w:tc>
        <w:tc>
          <w:tcPr>
            <w:tcW w:w="4140" w:type="dxa"/>
            <w:vAlign w:val="bottom"/>
            <w:tcBorders>
              <w:top w:val="single" w:sz="8" w:color="auto"/>
            </w:tcBorders>
          </w:tcPr>
          <w:p>
            <w:pPr>
              <w:jc w:val="right"/>
              <w:ind w:right="1610"/>
              <w:spacing w:after="0"/>
              <w:rPr>
                <w:sz w:val="20"/>
                <w:szCs w:val="20"/>
                <w:color w:val="auto"/>
              </w:rPr>
            </w:pPr>
            <w:r>
              <w:rPr>
                <w:rFonts w:ascii="Arial" w:cs="Arial" w:eastAsia="Arial" w:hAnsi="Arial"/>
                <w:sz w:val="18"/>
                <w:szCs w:val="18"/>
                <w:color w:val="auto"/>
              </w:rPr>
              <w:t>61,812,538</w:t>
            </w:r>
          </w:p>
        </w:tc>
      </w:tr>
    </w:tbl>
    <w:p>
      <w:pPr>
        <w:spacing w:after="0" w:line="12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no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UFPI</w:t>
            </w:r>
          </w:p>
        </w:tc>
        <w:tc>
          <w:tcPr>
            <w:tcW w:w="5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49"/>
        </w:trPr>
        <w:tc>
          <w:tcPr>
            <w:tcW w:w="20" w:type="dxa"/>
            <w:vAlign w:val="bottom"/>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526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2860" w:type="dxa"/>
            <w:vAlign w:val="bottom"/>
            <w:tcBorders>
              <w:left w:val="single" w:sz="8" w:color="auto"/>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92"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Arial" w:cs="Arial" w:eastAsia="Arial" w:hAnsi="Arial"/>
                <w:sz w:val="18"/>
                <w:szCs w:val="18"/>
                <w:color w:val="0000EE"/>
              </w:rPr>
              <w:t>Table of Contents</w:t>
            </w: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9"/>
          </w:tcPr>
          <w:p>
            <w:pPr>
              <w:ind w:left="120"/>
              <w:spacing w:after="0"/>
              <w:rPr>
                <w:sz w:val="20"/>
                <w:szCs w:val="20"/>
                <w:color w:val="auto"/>
              </w:rPr>
            </w:pPr>
            <w:r>
              <w:rPr>
                <w:rFonts w:ascii="Arial" w:cs="Arial" w:eastAsia="Arial" w:hAnsi="Arial"/>
                <w:sz w:val="18"/>
                <w:szCs w:val="18"/>
                <w:b w:val="1"/>
                <w:bCs w:val="1"/>
                <w:color w:val="auto"/>
              </w:rPr>
              <w:t>UFP INDUSTRIES, INC.</w:t>
            </w: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9"/>
          </w:tcPr>
          <w:p>
            <w:pPr>
              <w:ind w:left="14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Arial" w:cs="Arial" w:eastAsia="Arial" w:hAnsi="Arial"/>
                <w:sz w:val="18"/>
                <w:szCs w:val="18"/>
                <w:b w:val="1"/>
                <w:bCs w:val="1"/>
                <w:color w:val="auto"/>
              </w:rPr>
              <w:t>PART I.</w:t>
            </w:r>
          </w:p>
        </w:tc>
        <w:tc>
          <w:tcPr>
            <w:tcW w:w="6560" w:type="dxa"/>
            <w:vAlign w:val="bottom"/>
            <w:gridSpan w:val="14"/>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1.</w:t>
            </w:r>
          </w:p>
        </w:tc>
        <w:tc>
          <w:tcPr>
            <w:tcW w:w="656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Financial Statements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75"/>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3"/>
            <w:shd w:val="clear" w:color="auto" w:fill="CCEEFF"/>
          </w:tcPr>
          <w:p>
            <w:pPr>
              <w:ind w:left="20"/>
              <w:spacing w:after="0" w:line="176" w:lineRule="exact"/>
              <w:rPr>
                <w:sz w:val="20"/>
                <w:szCs w:val="20"/>
                <w:color w:val="auto"/>
              </w:rPr>
            </w:pPr>
            <w:r>
              <w:rPr>
                <w:rFonts w:ascii="Arial" w:cs="Arial" w:eastAsia="Arial" w:hAnsi="Arial"/>
                <w:sz w:val="18"/>
                <w:szCs w:val="18"/>
                <w:color w:val="0000EE"/>
                <w:w w:val="89"/>
              </w:rPr>
              <w:t>Condensed Consolidated Balance Sheets at September 30, 2023, December 31, 2022 and</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4"/>
            <w:shd w:val="clear" w:color="auto" w:fill="CCEEFF"/>
          </w:tcPr>
          <w:p>
            <w:pPr>
              <w:ind w:left="20"/>
              <w:spacing w:after="0" w:line="196" w:lineRule="exact"/>
              <w:rPr>
                <w:sz w:val="20"/>
                <w:szCs w:val="20"/>
                <w:color w:val="auto"/>
              </w:rPr>
            </w:pPr>
            <w:r>
              <w:rPr>
                <w:rFonts w:ascii="Arial" w:cs="Arial" w:eastAsia="Arial" w:hAnsi="Arial"/>
                <w:sz w:val="18"/>
                <w:szCs w:val="18"/>
                <w:color w:val="0000EE"/>
              </w:rPr>
              <w:t>September 24, 2022</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color w:val="0000EE"/>
                <w:w w:val="95"/>
              </w:rPr>
              <w:t>Condensed Consolidated Statements of Earnings and Comprehensive Income for the</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2"/>
            <w:shd w:val="clear" w:color="auto" w:fill="CCEEFF"/>
          </w:tcPr>
          <w:p>
            <w:pPr>
              <w:ind w:left="20"/>
              <w:spacing w:after="0" w:line="196" w:lineRule="exact"/>
              <w:rPr>
                <w:sz w:val="20"/>
                <w:szCs w:val="20"/>
                <w:color w:val="auto"/>
              </w:rPr>
            </w:pPr>
            <w:r>
              <w:rPr>
                <w:rFonts w:ascii="Arial" w:cs="Arial" w:eastAsia="Arial" w:hAnsi="Arial"/>
                <w:sz w:val="18"/>
                <w:szCs w:val="18"/>
                <w:color w:val="0000EE"/>
              </w:rPr>
              <w:t>Three and Nine Months Ended September 30, 2023 and September 24, 2022</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3"/>
            <w:shd w:val="clear" w:color="auto" w:fill="CCEEFF"/>
          </w:tcPr>
          <w:p>
            <w:pPr>
              <w:ind w:left="20"/>
              <w:spacing w:after="0" w:line="176" w:lineRule="exact"/>
              <w:rPr>
                <w:sz w:val="20"/>
                <w:szCs w:val="20"/>
                <w:color w:val="auto"/>
              </w:rPr>
            </w:pPr>
            <w:r>
              <w:rPr>
                <w:rFonts w:ascii="Arial" w:cs="Arial" w:eastAsia="Arial" w:hAnsi="Arial"/>
                <w:sz w:val="18"/>
                <w:szCs w:val="18"/>
                <w:color w:val="0000EE"/>
                <w:w w:val="91"/>
              </w:rPr>
              <w:t>Condensed Consolidated Statements of Shareholders’ Equity for the Nine Months Ended</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4"/>
            <w:shd w:val="clear" w:color="auto" w:fill="CCEEFF"/>
          </w:tcPr>
          <w:p>
            <w:pPr>
              <w:ind w:left="20"/>
              <w:spacing w:after="0" w:line="196" w:lineRule="exact"/>
              <w:rPr>
                <w:sz w:val="20"/>
                <w:szCs w:val="20"/>
                <w:color w:val="auto"/>
              </w:rPr>
            </w:pPr>
            <w:r>
              <w:rPr>
                <w:rFonts w:ascii="Arial" w:cs="Arial" w:eastAsia="Arial" w:hAnsi="Arial"/>
                <w:sz w:val="18"/>
                <w:szCs w:val="18"/>
                <w:color w:val="0000EE"/>
              </w:rPr>
              <w:t>September 30, 2023 and September 24, 2022</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color w:val="0000EE"/>
                <w:w w:val="94"/>
              </w:rPr>
              <w:t>Condensed  Consolidated  Statements  of  Cash  Flows  for  the  Nine  Months  Ended</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2"/>
            <w:shd w:val="clear" w:color="auto" w:fill="CCEEFF"/>
          </w:tcPr>
          <w:p>
            <w:pPr>
              <w:ind w:left="20"/>
              <w:spacing w:after="0" w:line="196" w:lineRule="exact"/>
              <w:rPr>
                <w:sz w:val="20"/>
                <w:szCs w:val="20"/>
                <w:color w:val="auto"/>
              </w:rPr>
            </w:pPr>
            <w:r>
              <w:rPr>
                <w:rFonts w:ascii="Arial" w:cs="Arial" w:eastAsia="Arial" w:hAnsi="Arial"/>
                <w:sz w:val="18"/>
                <w:szCs w:val="18"/>
                <w:color w:val="0000EE"/>
              </w:rPr>
              <w:t>September 30, 2023 and September 24, 2022</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2.</w:t>
            </w:r>
          </w:p>
        </w:tc>
        <w:tc>
          <w:tcPr>
            <w:tcW w:w="656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color w:val="0000EE"/>
                <w:w w:val="92"/>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3.</w:t>
            </w:r>
          </w:p>
        </w:tc>
        <w:tc>
          <w:tcPr>
            <w:tcW w:w="656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4.</w:t>
            </w:r>
          </w:p>
        </w:tc>
        <w:tc>
          <w:tcPr>
            <w:tcW w:w="656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6560" w:type="dxa"/>
            <w:vAlign w:val="bottom"/>
            <w:gridSpan w:val="14"/>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1.</w:t>
            </w:r>
          </w:p>
        </w:tc>
        <w:tc>
          <w:tcPr>
            <w:tcW w:w="656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1A.</w:t>
            </w:r>
          </w:p>
        </w:tc>
        <w:tc>
          <w:tcPr>
            <w:tcW w:w="656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color w:val="0000EE"/>
              </w:rPr>
              <w:t>Risk Factors - NONE</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2.</w:t>
            </w:r>
          </w:p>
        </w:tc>
        <w:tc>
          <w:tcPr>
            <w:tcW w:w="656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3.</w:t>
            </w:r>
          </w:p>
        </w:tc>
        <w:tc>
          <w:tcPr>
            <w:tcW w:w="656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Arial" w:cs="Arial" w:eastAsia="Arial" w:hAnsi="Arial"/>
                <w:sz w:val="18"/>
                <w:szCs w:val="18"/>
                <w:color w:val="auto"/>
              </w:rPr>
              <w:t>Item 4.</w:t>
            </w:r>
          </w:p>
        </w:tc>
        <w:tc>
          <w:tcPr>
            <w:tcW w:w="6560" w:type="dxa"/>
            <w:vAlign w:val="bottom"/>
            <w:gridSpan w:val="14"/>
            <w:shd w:val="clear" w:color="auto" w:fill="CCEEFF"/>
          </w:tcPr>
          <w:p>
            <w:pPr>
              <w:ind w:left="20"/>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5.</w:t>
            </w:r>
          </w:p>
        </w:tc>
        <w:tc>
          <w:tcPr>
            <w:tcW w:w="656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color w:val="0000EE"/>
              </w:rPr>
              <w:t>Other Information</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Arial" w:cs="Arial" w:eastAsia="Arial" w:hAnsi="Arial"/>
                <w:sz w:val="18"/>
                <w:szCs w:val="18"/>
                <w:color w:val="0000EE"/>
              </w:rPr>
              <w:t>Item 6.</w:t>
            </w:r>
          </w:p>
        </w:tc>
        <w:tc>
          <w:tcPr>
            <w:tcW w:w="6560" w:type="dxa"/>
            <w:vAlign w:val="bottom"/>
            <w:gridSpan w:val="14"/>
            <w:shd w:val="clear" w:color="auto" w:fill="CCEEFF"/>
          </w:tcPr>
          <w:p>
            <w:pPr>
              <w:ind w:left="20"/>
              <w:spacing w:after="0" w:line="176" w:lineRule="exact"/>
              <w:rPr>
                <w:sz w:val="20"/>
                <w:szCs w:val="20"/>
                <w:color w:val="auto"/>
              </w:rPr>
            </w:pPr>
            <w:r>
              <w:rPr>
                <w:rFonts w:ascii="Arial" w:cs="Arial" w:eastAsia="Arial" w:hAnsi="Arial"/>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22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2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24,</w:t>
            </w:r>
          </w:p>
        </w:tc>
        <w:tc>
          <w:tcPr>
            <w:tcW w:w="0" w:type="dxa"/>
            <w:vAlign w:val="bottom"/>
          </w:tcPr>
          <w:p>
            <w:pPr>
              <w:spacing w:after="0"/>
              <w:rPr>
                <w:sz w:val="1"/>
                <w:szCs w:val="1"/>
                <w:color w:val="auto"/>
              </w:rPr>
            </w:pPr>
          </w:p>
        </w:tc>
      </w:tr>
      <w:tr>
        <w:trPr>
          <w:trHeight w:val="178"/>
        </w:trPr>
        <w:tc>
          <w:tcPr>
            <w:tcW w:w="52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44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957,092</w:t>
            </w:r>
          </w:p>
        </w:tc>
        <w:tc>
          <w:tcPr>
            <w:tcW w:w="420" w:type="dxa"/>
            <w:vAlign w:val="bottom"/>
            <w:gridSpan w:val="2"/>
            <w:shd w:val="clear" w:color="auto" w:fill="CCEEFF"/>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559,397</w:t>
            </w:r>
          </w:p>
        </w:tc>
        <w:tc>
          <w:tcPr>
            <w:tcW w:w="42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449,135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Investments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37,062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36,013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33,113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697,555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617,604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877,776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316,628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398,798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425,765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428,119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574,429</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581,118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5" w:lineRule="exact"/>
              <w:rPr>
                <w:sz w:val="20"/>
                <w:szCs w:val="20"/>
                <w:color w:val="auto"/>
              </w:rPr>
            </w:pPr>
            <w:r>
              <w:rPr>
                <w:rFonts w:ascii="Arial" w:cs="Arial" w:eastAsia="Arial" w:hAnsi="Arial"/>
                <w:sz w:val="14"/>
                <w:szCs w:val="14"/>
                <w:color w:val="auto"/>
              </w:rPr>
              <w:t>Total inventories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744,747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973,227</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1,006,883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Refundable income taxes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26,484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33,126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38,421</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42,520</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39,956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2,505,122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2,262,113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2,436,363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3,489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3,750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23,653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19,898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RIGHT OF USE ASSETS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106,506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107,517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101,001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150,351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101,262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328,221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337,320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319,183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7,316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OTHER INTANGIBLE ASSETS, NET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140,734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143,892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113,880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1,487,801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1,379,968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1,323,896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(749,109)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(690,986)</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(679,889)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00"/>
              <w:spacing w:after="0" w:line="135" w:lineRule="exact"/>
              <w:rPr>
                <w:sz w:val="20"/>
                <w:szCs w:val="20"/>
                <w:color w:val="auto"/>
              </w:rPr>
            </w:pPr>
            <w:r>
              <w:rPr>
                <w:rFonts w:ascii="Arial" w:cs="Arial" w:eastAsia="Arial" w:hAnsi="Arial"/>
                <w:sz w:val="14"/>
                <w:szCs w:val="14"/>
                <w:color w:val="auto"/>
              </w:rPr>
              <w:t>PROPERTY, PLANT AND EQUIPMENT, NET</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738,692</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688,982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644,007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4,004,084</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3,672,073</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3,738,547</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2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Cash overdraft</w:t>
            </w:r>
          </w:p>
        </w:tc>
        <w:tc>
          <w:tcPr>
            <w:tcW w:w="44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253,065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206,941</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323,404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244,214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296,120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298,384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78,691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80,255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111,596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portion of lease liability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24,326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25,577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23,767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20" w:type="dxa"/>
            <w:vAlign w:val="bottom"/>
            <w:tcBorders>
              <w:bottom w:val="single" w:sz="8" w:color="CCEEFF"/>
            </w:tcBorders>
          </w:tcPr>
          <w:p>
            <w:pPr>
              <w:ind w:left="100"/>
              <w:spacing w:after="0" w:line="149" w:lineRule="exact"/>
              <w:rPr>
                <w:sz w:val="20"/>
                <w:szCs w:val="20"/>
                <w:color w:val="auto"/>
              </w:rPr>
            </w:pPr>
            <w:r>
              <w:rPr>
                <w:rFonts w:ascii="Arial" w:cs="Arial" w:eastAsia="Arial" w:hAnsi="Arial"/>
                <w:sz w:val="14"/>
                <w:szCs w:val="14"/>
                <w:color w:val="auto"/>
              </w:rPr>
              <w:t>Current portion of long-term debt</w:t>
            </w: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1,539</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2,942</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41,536</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601,835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611,835</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802,861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273,308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275,154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275,417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LEASE LIABILITY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85,419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50,779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51,265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62,436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36,040</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44,697</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40,628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20" w:type="dxa"/>
            <w:vAlign w:val="bottom"/>
          </w:tcPr>
          <w:p>
            <w:pPr>
              <w:ind w:left="420"/>
              <w:spacing w:after="0" w:line="135" w:lineRule="exact"/>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1,048,533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1,068,370</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1,262,245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TEMPORARY EQUITY: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Redeemable noncontrolling interest</w:t>
            </w:r>
          </w:p>
        </w:tc>
        <w:tc>
          <w:tcPr>
            <w:tcW w:w="44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6,788</w:t>
            </w:r>
          </w:p>
        </w:tc>
        <w:tc>
          <w:tcPr>
            <w:tcW w:w="42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6,880</w:t>
            </w:r>
          </w:p>
        </w:tc>
        <w:tc>
          <w:tcPr>
            <w:tcW w:w="420" w:type="dxa"/>
            <w:vAlign w:val="bottom"/>
            <w:gridSpan w:val="2"/>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ind w:left="100"/>
              <w:spacing w:after="0" w:line="149" w:lineRule="exact"/>
              <w:rPr>
                <w:sz w:val="20"/>
                <w:szCs w:val="20"/>
                <w:color w:val="auto"/>
              </w:rPr>
            </w:pPr>
            <w:r>
              <w:rPr>
                <w:rFonts w:ascii="Arial" w:cs="Arial" w:eastAsia="Arial" w:hAnsi="Arial"/>
                <w:sz w:val="14"/>
                <w:szCs w:val="14"/>
                <w:color w:val="auto"/>
              </w:rPr>
              <w:t>Controlling interest shareholders’ equity:</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22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none</w:t>
            </w:r>
          </w:p>
        </w:tc>
        <w:tc>
          <w:tcPr>
            <w:tcW w:w="44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7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58"/>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5220" w:type="dxa"/>
            <w:vAlign w:val="bottom"/>
          </w:tcPr>
          <w:p>
            <w:pPr>
              <w:ind w:left="320"/>
              <w:spacing w:after="0" w:line="130" w:lineRule="exact"/>
              <w:rPr>
                <w:sz w:val="20"/>
                <w:szCs w:val="20"/>
                <w:color w:val="auto"/>
              </w:rPr>
            </w:pPr>
            <w:r>
              <w:rPr>
                <w:rFonts w:ascii="Arial" w:cs="Arial" w:eastAsia="Arial" w:hAnsi="Arial"/>
                <w:sz w:val="14"/>
                <w:szCs w:val="14"/>
                <w:color w:val="auto"/>
              </w:rPr>
              <w:t>Common stock, $1 par value; shares authorized 160,000,000; issued and</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220" w:type="dxa"/>
            <w:vAlign w:val="bottom"/>
          </w:tcPr>
          <w:p>
            <w:pPr>
              <w:ind w:left="320"/>
              <w:spacing w:after="0"/>
              <w:rPr>
                <w:sz w:val="20"/>
                <w:szCs w:val="20"/>
                <w:color w:val="auto"/>
              </w:rPr>
            </w:pPr>
            <w:r>
              <w:rPr>
                <w:rFonts w:ascii="Arial" w:cs="Arial" w:eastAsia="Arial" w:hAnsi="Arial"/>
                <w:sz w:val="14"/>
                <w:szCs w:val="14"/>
                <w:color w:val="auto"/>
              </w:rPr>
              <w:t>outstanding, 61,812,538 , 61,618,193 and 61,637,514</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61,813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61,618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61,638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345,399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294,029</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284,025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2,517,252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2,217,410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2,102,764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(5,083)</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(9,075)</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(11,348)</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220" w:type="dxa"/>
            <w:vAlign w:val="bottom"/>
          </w:tcPr>
          <w:p>
            <w:pPr>
              <w:ind w:left="420"/>
              <w:spacing w:after="0" w:line="135" w:lineRule="exact"/>
              <w:rPr>
                <w:sz w:val="20"/>
                <w:szCs w:val="20"/>
                <w:color w:val="auto"/>
              </w:rPr>
            </w:pPr>
            <w:r>
              <w:rPr>
                <w:rFonts w:ascii="Arial" w:cs="Arial" w:eastAsia="Arial" w:hAnsi="Arial"/>
                <w:sz w:val="14"/>
                <w:szCs w:val="14"/>
                <w:color w:val="auto"/>
              </w:rPr>
              <w:t>Total controlling interest shareholders’ equity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2,919,381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4"/>
                <w:szCs w:val="14"/>
                <w:color w:val="auto"/>
              </w:rPr>
              <w:t>2,563,982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2,437,079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220" w:type="dxa"/>
            <w:vAlign w:val="bottom"/>
            <w:tcBorders>
              <w:bottom w:val="single" w:sz="8" w:color="CCEEFF"/>
            </w:tcBorders>
            <w:shd w:val="clear" w:color="auto" w:fill="CCEEFF"/>
          </w:tcPr>
          <w:p>
            <w:pPr>
              <w:ind w:left="100"/>
              <w:spacing w:after="0" w:line="149" w:lineRule="exact"/>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29,382</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32,841</w:t>
            </w:r>
          </w:p>
        </w:tc>
        <w:tc>
          <w:tcPr>
            <w:tcW w:w="2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31,660</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220" w:type="dxa"/>
            <w:vAlign w:val="bottom"/>
            <w:tcBorders>
              <w:bottom w:val="single" w:sz="8" w:color="CCEEFF"/>
            </w:tcBorders>
          </w:tcPr>
          <w:p>
            <w:pPr>
              <w:ind w:left="420"/>
              <w:spacing w:after="0" w:line="135" w:lineRule="exact"/>
              <w:rPr>
                <w:sz w:val="20"/>
                <w:szCs w:val="20"/>
                <w:color w:val="auto"/>
              </w:rPr>
            </w:pPr>
            <w:r>
              <w:rPr>
                <w:rFonts w:ascii="Arial" w:cs="Arial" w:eastAsia="Arial" w:hAnsi="Arial"/>
                <w:sz w:val="14"/>
                <w:szCs w:val="14"/>
                <w:color w:val="auto"/>
              </w:rPr>
              <w:t>TOTAL SHAREHOLDERS’ EQUITY</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2,948,763</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2,596,823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2,468,739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LIABILITIES, TEMPORARY EQUITY AND SHAREHOLDERS’ EQUITY</w:t>
            </w:r>
          </w:p>
        </w:tc>
        <w:tc>
          <w:tcPr>
            <w:tcW w:w="2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4,004,084</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3,672,073</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3,738,547</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60" w:right="79"/>
        <w:spacing w:after="0" w:line="275" w:lineRule="auto"/>
        <w:rPr>
          <w:sz w:val="20"/>
          <w:szCs w:val="20"/>
          <w:color w:val="auto"/>
        </w:rPr>
      </w:pPr>
      <w:r>
        <w:rPr>
          <w:rFonts w:ascii="Arial" w:cs="Arial" w:eastAsia="Arial" w:hAnsi="Arial"/>
          <w:sz w:val="18"/>
          <w:szCs w:val="18"/>
          <w:b w:val="1"/>
          <w:bCs w:val="1"/>
          <w:color w:val="auto"/>
        </w:rPr>
        <w:t>CONDENSED CONSOLIDATED STATEMENTS OF EARNINGS AND COMPREHENSIVE INCOME (Unaudited)</w:t>
      </w: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32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5"/>
                <w:szCs w:val="15"/>
                <w:color w:val="auto"/>
              </w:rPr>
            </w:pPr>
          </w:p>
        </w:tc>
        <w:tc>
          <w:tcPr>
            <w:tcW w:w="2020" w:type="dxa"/>
            <w:vAlign w:val="bottom"/>
            <w:gridSpan w:val="3"/>
          </w:tcPr>
          <w:p>
            <w:pPr>
              <w:jc w:val="right"/>
              <w:ind w:right="27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5"/>
                <w:szCs w:val="15"/>
                <w:color w:val="auto"/>
              </w:rPr>
            </w:pPr>
          </w:p>
        </w:tc>
        <w:tc>
          <w:tcPr>
            <w:tcW w:w="222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4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1"/>
              </w:rPr>
              <w:t>September 24,</w:t>
            </w:r>
          </w:p>
        </w:tc>
        <w:tc>
          <w:tcPr>
            <w:tcW w:w="140" w:type="dxa"/>
            <w:vAlign w:val="bottom"/>
          </w:tcPr>
          <w:p>
            <w:pPr>
              <w:spacing w:after="0"/>
              <w:rPr>
                <w:sz w:val="10"/>
                <w:szCs w:val="10"/>
                <w:color w:val="auto"/>
              </w:rPr>
            </w:pPr>
          </w:p>
        </w:tc>
        <w:tc>
          <w:tcPr>
            <w:tcW w:w="92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200" w:type="dxa"/>
            <w:vAlign w:val="bottom"/>
          </w:tcPr>
          <w:p>
            <w:pPr>
              <w:spacing w:after="0"/>
              <w:rPr>
                <w:sz w:val="10"/>
                <w:szCs w:val="10"/>
                <w:color w:val="auto"/>
              </w:rPr>
            </w:pPr>
          </w:p>
        </w:tc>
      </w:tr>
      <w:tr>
        <w:trPr>
          <w:trHeight w:val="178"/>
        </w:trPr>
        <w:tc>
          <w:tcPr>
            <w:tcW w:w="4320" w:type="dxa"/>
            <w:vAlign w:val="bottom"/>
          </w:tcPr>
          <w:p>
            <w:pPr>
              <w:spacing w:after="0"/>
              <w:rPr>
                <w:sz w:val="15"/>
                <w:szCs w:val="15"/>
                <w:color w:val="auto"/>
              </w:rPr>
            </w:pPr>
          </w:p>
        </w:tc>
        <w:tc>
          <w:tcPr>
            <w:tcW w:w="110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12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06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10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5"/>
                <w:szCs w:val="15"/>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SALES</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$ 1,827,637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$ 2,322,855</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$ 5,694,031</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$ 7,713,042</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COST OF GOODS SOLD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1,463,237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1,872,679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4,571,235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6,281,051</w:t>
            </w:r>
          </w:p>
        </w:tc>
        <w:tc>
          <w:tcPr>
            <w:tcW w:w="200" w:type="dxa"/>
            <w:vAlign w:val="bottom"/>
          </w:tcPr>
          <w:p>
            <w:pPr>
              <w:spacing w:after="0"/>
              <w:rPr>
                <w:sz w:val="19"/>
                <w:szCs w:val="19"/>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450,176</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1,122,796</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1,431,991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195,649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214,327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595,035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649,015</w:t>
            </w:r>
          </w:p>
        </w:tc>
        <w:tc>
          <w:tcPr>
            <w:tcW w:w="200" w:type="dxa"/>
            <w:vAlign w:val="bottom"/>
          </w:tcPr>
          <w:p>
            <w:pPr>
              <w:spacing w:after="0"/>
              <w:rPr>
                <w:sz w:val="18"/>
                <w:szCs w:val="18"/>
                <w:color w:val="auto"/>
              </w:rPr>
            </w:pPr>
          </w:p>
        </w:tc>
      </w:tr>
      <w:tr>
        <w:trPr>
          <w:trHeight w:val="23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OTHER LOSSES (GAINS), NET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200" w:type="dxa"/>
            <w:vAlign w:val="bottom"/>
            <w:shd w:val="clear" w:color="auto" w:fill="CCEEFF"/>
          </w:tcPr>
          <w:p>
            <w:pPr>
              <w:spacing w:after="0"/>
              <w:rPr>
                <w:sz w:val="20"/>
                <w:szCs w:val="20"/>
                <w:color w:val="auto"/>
              </w:rPr>
            </w:pPr>
          </w:p>
        </w:tc>
      </w:tr>
      <w:tr>
        <w:trPr>
          <w:trHeight w:val="203"/>
        </w:trPr>
        <w:tc>
          <w:tcPr>
            <w:tcW w:w="43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EARNINGS FROM OPERATIONS</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167,332</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237,044</w:t>
            </w:r>
          </w:p>
        </w:tc>
        <w:tc>
          <w:tcPr>
            <w:tcW w:w="1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522,537</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781,635</w:t>
            </w:r>
          </w:p>
        </w:tc>
        <w:tc>
          <w:tcPr>
            <w:tcW w:w="200" w:type="dxa"/>
            <w:vAlign w:val="bottom"/>
            <w:tcBorders>
              <w:top w:val="single" w:sz="8" w:color="CCEEFF"/>
            </w:tcBorders>
          </w:tcPr>
          <w:p>
            <w:pPr>
              <w:spacing w:after="0"/>
              <w:rPr>
                <w:sz w:val="17"/>
                <w:szCs w:val="17"/>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10,213</w:t>
            </w:r>
          </w:p>
        </w:tc>
        <w:tc>
          <w:tcPr>
            <w:tcW w:w="2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6"/>
                <w:szCs w:val="16"/>
                <w:color w:val="auto"/>
              </w:rPr>
              <w:t>INTEREST AND INVESTMENT (INCOME) LOSS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(9,390)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1,658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(23,654)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6,905</w:t>
            </w:r>
          </w:p>
        </w:tc>
        <w:tc>
          <w:tcPr>
            <w:tcW w:w="200" w:type="dxa"/>
            <w:vAlign w:val="bottom"/>
          </w:tcPr>
          <w:p>
            <w:pPr>
              <w:spacing w:after="0"/>
              <w:rPr>
                <w:sz w:val="18"/>
                <w:szCs w:val="18"/>
                <w:color w:val="auto"/>
              </w:rPr>
            </w:pPr>
          </w:p>
        </w:tc>
      </w:tr>
      <w:tr>
        <w:trPr>
          <w:trHeight w:val="23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EQUITY IN LOSS OF INVESTEE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2,740</w:t>
            </w:r>
          </w:p>
        </w:tc>
        <w:tc>
          <w:tcPr>
            <w:tcW w:w="200" w:type="dxa"/>
            <w:vAlign w:val="bottom"/>
            <w:shd w:val="clear" w:color="auto" w:fill="CCEEFF"/>
          </w:tcPr>
          <w:p>
            <w:pPr>
              <w:spacing w:after="0"/>
              <w:rPr>
                <w:sz w:val="20"/>
                <w:szCs w:val="20"/>
                <w:color w:val="auto"/>
              </w:rPr>
            </w:pPr>
          </w:p>
        </w:tc>
      </w:tr>
      <w:tr>
        <w:trPr>
          <w:trHeight w:val="210"/>
        </w:trPr>
        <w:tc>
          <w:tcPr>
            <w:tcW w:w="43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color w:val="auto"/>
              </w:rPr>
              <w:t>INTEREST AND OTHER</w:t>
            </w: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(6,177)</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6,382</w:t>
            </w:r>
          </w:p>
        </w:tc>
        <w:tc>
          <w:tcPr>
            <w:tcW w:w="14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(13,043)</w:t>
            </w:r>
          </w:p>
        </w:tc>
        <w:tc>
          <w:tcPr>
            <w:tcW w:w="20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19,858</w:t>
            </w:r>
          </w:p>
        </w:tc>
        <w:tc>
          <w:tcPr>
            <w:tcW w:w="200" w:type="dxa"/>
            <w:vAlign w:val="bottom"/>
            <w:tcBorders>
              <w:top w:val="single" w:sz="8" w:color="CCEEFF"/>
              <w:bottom w:val="single" w:sz="8" w:color="CCEEFF"/>
            </w:tcBorders>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173,509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230,662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535,580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761,777</w:t>
            </w:r>
          </w:p>
        </w:tc>
        <w:tc>
          <w:tcPr>
            <w:tcW w:w="20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INCOME TAXES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39,326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58,561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125,031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188,692</w:t>
            </w:r>
          </w:p>
        </w:tc>
        <w:tc>
          <w:tcPr>
            <w:tcW w:w="200" w:type="dxa"/>
            <w:vAlign w:val="bottom"/>
          </w:tcPr>
          <w:p>
            <w:pPr>
              <w:spacing w:after="0"/>
              <w:rPr>
                <w:sz w:val="19"/>
                <w:szCs w:val="19"/>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134,183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172,101</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410,549</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573,085</w:t>
            </w:r>
          </w:p>
        </w:tc>
        <w:tc>
          <w:tcPr>
            <w:tcW w:w="2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9019"/>
          </w:cols>
          <w:pgMar w:left="1440" w:top="544" w:right="1440" w:bottom="1440" w:gutter="0" w:footer="0" w:header="0"/>
        </w:sectPr>
      </w:pPr>
    </w:p>
    <w:p>
      <w:pPr>
        <w:ind w:left="60" w:right="640"/>
        <w:spacing w:after="0" w:line="260" w:lineRule="auto"/>
        <w:rPr>
          <w:sz w:val="20"/>
          <w:szCs w:val="20"/>
          <w:color w:val="auto"/>
        </w:rPr>
      </w:pPr>
      <w:r>
        <w:rPr>
          <w:rFonts w:ascii="Arial" w:cs="Arial" w:eastAsia="Arial" w:hAnsi="Arial"/>
          <w:sz w:val="16"/>
          <w:szCs w:val="16"/>
          <w:color w:val="auto"/>
        </w:rPr>
        <w:t>NET (EARNINGS) LOSS ATTRIBUTABLE TO NONCONTROLLING INTEREST</w:t>
      </w:r>
    </w:p>
    <w:p>
      <w:pPr>
        <w:ind w:left="60"/>
        <w:spacing w:after="0" w:line="288" w:lineRule="auto"/>
        <w:rPr>
          <w:sz w:val="20"/>
          <w:szCs w:val="20"/>
          <w:color w:val="auto"/>
        </w:rPr>
      </w:pPr>
      <w:r>
        <w:rPr>
          <w:rFonts w:ascii="Arial" w:cs="Arial" w:eastAsia="Arial" w:hAnsi="Arial"/>
          <w:sz w:val="16"/>
          <w:szCs w:val="16"/>
          <w:color w:val="auto"/>
        </w:rPr>
        <w:t>NET EARNINGS ATTRIBUTABLE TO CONTROLLING INTEREST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both"/>
        <w:ind w:left="540"/>
        <w:spacing w:after="0"/>
        <w:tabs>
          <w:tab w:leader="none" w:pos="1480" w:val="left"/>
          <w:tab w:leader="none" w:pos="2760" w:val="left"/>
          <w:tab w:leader="none" w:pos="356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(4,860)</w:t>
      </w:r>
      <w:r>
        <w:rPr>
          <w:sz w:val="20"/>
          <w:szCs w:val="20"/>
          <w:color w:val="auto"/>
        </w:rPr>
        <w:tab/>
      </w:r>
      <w:r>
        <w:rPr>
          <w:rFonts w:ascii="Arial" w:cs="Arial" w:eastAsia="Arial" w:hAnsi="Arial"/>
          <w:sz w:val="18"/>
          <w:szCs w:val="18"/>
          <w:color w:val="auto"/>
        </w:rPr>
        <w:t>316</w:t>
      </w:r>
      <w:r>
        <w:rPr>
          <w:sz w:val="20"/>
          <w:szCs w:val="20"/>
          <w:color w:val="auto"/>
        </w:rPr>
        <w:tab/>
      </w:r>
      <w:r>
        <w:rPr>
          <w:rFonts w:ascii="Arial" w:cs="Arial" w:eastAsia="Arial" w:hAnsi="Arial"/>
          <w:sz w:val="16"/>
          <w:szCs w:val="16"/>
          <w:color w:val="auto"/>
        </w:rPr>
        <w:t>(13,023)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14605</wp:posOffset>
            </wp:positionV>
            <wp:extent cx="564896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8960" cy="265430"/>
                    </a:xfrm>
                    <a:prstGeom prst="rect">
                      <a:avLst/>
                    </a:prstGeom>
                    <a:noFill/>
                  </pic:spPr>
                </pic:pic>
              </a:graphicData>
            </a:graphic>
          </wp:anchor>
        </w:drawing>
      </w:r>
    </w:p>
    <w:p>
      <w:pPr>
        <w:spacing w:after="0" w:line="178" w:lineRule="exact"/>
        <w:rPr>
          <w:sz w:val="20"/>
          <w:szCs w:val="20"/>
          <w:color w:val="auto"/>
        </w:rPr>
      </w:pPr>
    </w:p>
    <w:p>
      <w:pPr>
        <w:spacing w:after="0"/>
        <w:tabs>
          <w:tab w:leader="none" w:pos="260" w:val="left"/>
          <w:tab w:leader="none" w:pos="1100" w:val="left"/>
          <w:tab w:leader="none" w:pos="1380" w:val="left"/>
          <w:tab w:leader="none" w:pos="2160" w:val="left"/>
          <w:tab w:leader="none" w:pos="2440" w:val="left"/>
          <w:tab w:leader="none" w:pos="3260" w:val="left"/>
          <w:tab w:leader="none" w:pos="3540" w:val="left"/>
        </w:tabs>
        <w:rPr>
          <w:sz w:val="20"/>
          <w:szCs w:val="20"/>
          <w:color w:val="auto"/>
        </w:rPr>
      </w:pPr>
      <w:r>
        <w:rPr>
          <w:rFonts w:ascii="Arial" w:cs="Arial" w:eastAsia="Arial" w:hAnsi="Arial"/>
          <w:sz w:val="18"/>
          <w:szCs w:val="18"/>
          <w:u w:val="single" w:color="auto"/>
          <w:color w:val="auto"/>
        </w:rPr>
        <w:t>$</w:t>
        <w:tab/>
        <w:t>134,035</w:t>
        <w:tab/>
        <w:t>$</w:t>
        <w:tab/>
        <w:t>167,241</w:t>
        <w:tab/>
        <w:t>$</w:t>
        <w:tab/>
        <w:t>410,865</w:t>
        <w:tab/>
        <w:t>$</w:t>
      </w:r>
      <w:r>
        <w:rPr>
          <w:sz w:val="20"/>
          <w:szCs w:val="20"/>
          <w:color w:val="auto"/>
        </w:rPr>
        <w:tab/>
      </w:r>
      <w:r>
        <w:rPr>
          <w:rFonts w:ascii="Arial" w:cs="Arial" w:eastAsia="Arial" w:hAnsi="Arial"/>
          <w:sz w:val="16"/>
          <w:szCs w:val="16"/>
          <w:u w:val="single" w:color="auto"/>
          <w:color w:val="auto"/>
        </w:rPr>
        <w:t>560,062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wp:posOffset>
            </wp:positionV>
            <wp:extent cx="26657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3900" w:space="660"/>
            <w:col w:w="4459"/>
          </w:cols>
          <w:pgMar w:left="1440" w:top="544" w:right="1440" w:bottom="1440" w:gutter="0" w:footer="0" w:header="0"/>
          <w:type w:val="continuous"/>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6.45</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134,183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172,101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410,549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573,085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COMPREHENSIVE INCOME (LOSS)</w:t>
            </w:r>
          </w:p>
        </w:tc>
        <w:tc>
          <w:tcPr>
            <w:tcW w:w="5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6,969</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020" w:type="dxa"/>
            <w:vAlign w:val="bottom"/>
          </w:tcPr>
          <w:p>
            <w:pPr>
              <w:spacing w:after="0"/>
              <w:rPr>
                <w:sz w:val="20"/>
                <w:szCs w:val="20"/>
                <w:color w:val="auto"/>
              </w:rPr>
            </w:pPr>
            <w:r>
              <w:rPr>
                <w:rFonts w:ascii="Arial" w:cs="Arial" w:eastAsia="Arial" w:hAnsi="Arial"/>
                <w:sz w:val="16"/>
                <w:szCs w:val="16"/>
                <w:color w:val="auto"/>
              </w:rPr>
              <w:t>COMPREHENSIVE INCOME ATTRIBUTABLE TO</w:t>
            </w: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820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(4,273)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(2,661)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(13,290)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NONCONTROLLING INTEREST</w:t>
            </w:r>
          </w:p>
        </w:tc>
        <w:tc>
          <w:tcPr>
            <w:tcW w:w="5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02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rPr>
              <w:t>COMPREHENSIVE INCOME ATTRIBUTABLE TO</w:t>
            </w: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131,242</w:t>
            </w:r>
          </w:p>
        </w:tc>
        <w:tc>
          <w:tcPr>
            <w:tcW w:w="3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163,351</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414,857</w:t>
            </w:r>
          </w:p>
        </w:tc>
        <w:tc>
          <w:tcPr>
            <w:tcW w:w="3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554,119</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CONTROLLING INTEREST</w:t>
            </w:r>
          </w:p>
        </w:tc>
        <w:tc>
          <w:tcPr>
            <w:tcW w:w="66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SHAREHOLDERS’ EQUITY</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9019"/>
          </w:cols>
          <w:pgMar w:left="1440" w:top="544" w:right="1440" w:bottom="1440" w:gutter="0" w:footer="0" w:header="0"/>
        </w:sectPr>
      </w:pPr>
    </w:p>
    <w:p>
      <w:pPr>
        <w:spacing w:after="0" w:line="9" w:lineRule="exact"/>
        <w:rPr>
          <w:sz w:val="20"/>
          <w:szCs w:val="20"/>
          <w:color w:val="auto"/>
        </w:rPr>
      </w:pPr>
    </w:p>
    <w:p>
      <w:pPr>
        <w:ind w:left="60"/>
        <w:spacing w:after="0" w:line="245" w:lineRule="auto"/>
        <w:rPr>
          <w:sz w:val="20"/>
          <w:szCs w:val="20"/>
          <w:color w:val="auto"/>
        </w:rPr>
      </w:pPr>
      <w:r>
        <w:rPr>
          <w:rFonts w:ascii="Arial" w:cs="Arial" w:eastAsia="Arial" w:hAnsi="Arial"/>
          <w:sz w:val="14"/>
          <w:szCs w:val="14"/>
          <w:b w:val="1"/>
          <w:bCs w:val="1"/>
          <w:color w:val="auto"/>
        </w:rPr>
        <w:t>(in thousands, except share and per share data)</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6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Controlling Interest Shareholders’ Equity</w:t>
            </w:r>
          </w:p>
        </w:tc>
        <w:tc>
          <w:tcPr>
            <w:tcW w:w="68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7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6"/>
              </w:rPr>
              <w:t>Additional</w:t>
            </w:r>
          </w:p>
        </w:tc>
        <w:tc>
          <w:tcPr>
            <w:tcW w:w="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Retained</w:t>
            </w:r>
          </w:p>
        </w:tc>
        <w:tc>
          <w:tcPr>
            <w:tcW w:w="13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Accumulated Other</w:t>
            </w:r>
          </w:p>
        </w:tc>
        <w:tc>
          <w:tcPr>
            <w:tcW w:w="11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Noncontrolling</w:t>
            </w:r>
          </w:p>
        </w:tc>
        <w:tc>
          <w:tcPr>
            <w:tcW w:w="68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Temporary</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80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vMerge w:val="continue"/>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Earnings</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Interest (NCI)</w:t>
            </w:r>
          </w:p>
        </w:tc>
        <w:tc>
          <w:tcPr>
            <w:tcW w:w="680" w:type="dxa"/>
            <w:vAlign w:val="bottom"/>
            <w:vMerge w:val="continue"/>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600" w:space="320"/>
            <w:col w:w="6099"/>
          </w:cols>
          <w:pgMar w:left="1440" w:top="544" w:right="1440" w:bottom="1440" w:gutter="0" w:footer="0" w:header="0"/>
          <w:type w:val="continuous"/>
        </w:sectPr>
      </w:pPr>
    </w:p>
    <w:tbl>
      <w:tblPr>
        <w:tblLayout w:type="fixed"/>
        <w:tblInd w:w="60" w:type="dxa"/>
        <w:tblCellMar>
          <w:top w:w="0" w:type="dxa"/>
          <w:left w:w="0" w:type="dxa"/>
          <w:bottom w:w="0" w:type="dxa"/>
          <w:right w:w="0" w:type="dxa"/>
        </w:tblCellMar>
      </w:tblPr>
      <w:tr>
        <w:trPr>
          <w:trHeight w:val="156"/>
        </w:trPr>
        <w:tc>
          <w:tcPr>
            <w:tcW w:w="28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on December 31, 2022</w:t>
            </w:r>
          </w:p>
        </w:tc>
        <w:tc>
          <w:tcPr>
            <w:tcW w:w="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1"/>
              </w:rPr>
              <w:t>$ 61,618</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3"/>
              </w:rPr>
              <w:t>$ 294,029</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89"/>
              </w:rPr>
              <w:t>$ 2,217,410</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(9,075)</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32,841</w:t>
            </w:r>
          </w:p>
        </w:tc>
        <w:tc>
          <w:tcPr>
            <w:tcW w:w="8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1"/>
              </w:rPr>
              <w:t>$ 2,596,823</w:t>
            </w: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6,880</w:t>
            </w: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Net earnings (loss)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126,069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(313)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125,756</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6,045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Unrealized gain on debt securities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NCI</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(4,859)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(4,859)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 $0.25 per share - quarterly</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(15,642)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(15,642)</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w w:val="91"/>
              </w:rPr>
              <w:t>Issuance of 10,140 shares under employee stock</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spacing w:after="0"/>
              <w:rPr>
                <w:sz w:val="20"/>
                <w:szCs w:val="20"/>
                <w:color w:val="auto"/>
              </w:rPr>
            </w:pPr>
            <w:r>
              <w:rPr>
                <w:rFonts w:ascii="Arial" w:cs="Arial" w:eastAsia="Arial" w:hAnsi="Arial"/>
                <w:sz w:val="14"/>
                <w:szCs w:val="14"/>
                <w:color w:val="auto"/>
              </w:rPr>
              <w:t>purchase plan</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675</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685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Issuance of 824,669 shares under stock grant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programs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14,356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15,187</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rPr>
              <w:t>Issuance of 93,165 shares under deferred</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spacing w:after="0"/>
              <w:rPr>
                <w:sz w:val="20"/>
                <w:szCs w:val="20"/>
                <w:color w:val="auto"/>
              </w:rPr>
            </w:pPr>
            <w:r>
              <w:rPr>
                <w:rFonts w:ascii="Arial" w:cs="Arial" w:eastAsia="Arial" w:hAnsi="Arial"/>
                <w:sz w:val="14"/>
                <w:szCs w:val="14"/>
                <w:color w:val="auto"/>
              </w:rPr>
              <w:t>compensation plans</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450,597 shares</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(34,818)</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(35,268)</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0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tcPr>
          <w:p>
            <w:pPr>
              <w:spacing w:after="0"/>
              <w:rPr>
                <w:sz w:val="20"/>
                <w:szCs w:val="20"/>
                <w:color w:val="auto"/>
              </w:rPr>
            </w:pPr>
            <w:r>
              <w:rPr>
                <w:rFonts w:ascii="Arial" w:cs="Arial" w:eastAsia="Arial" w:hAnsi="Arial"/>
                <w:sz w:val="14"/>
                <w:szCs w:val="14"/>
                <w:color w:val="auto"/>
              </w:rPr>
              <w:t>compensation arrangements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9,598</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9,598</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Accrued expense under deferred compensation</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7,165</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7,165</w:t>
            </w: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00" w:type="dxa"/>
            <w:vAlign w:val="bottom"/>
            <w:shd w:val="clear" w:color="auto" w:fill="CCEEFF"/>
          </w:tcPr>
          <w:p>
            <w:pPr>
              <w:spacing w:after="0"/>
              <w:rPr>
                <w:sz w:val="20"/>
                <w:szCs w:val="20"/>
                <w:color w:val="auto"/>
              </w:rPr>
            </w:pPr>
            <w:r>
              <w:rPr>
                <w:rFonts w:ascii="Arial" w:cs="Arial" w:eastAsia="Arial" w:hAnsi="Arial"/>
                <w:sz w:val="14"/>
                <w:szCs w:val="14"/>
                <w:color w:val="auto"/>
              </w:rPr>
              <w:t>plans</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-7620</wp:posOffset>
            </wp:positionV>
            <wp:extent cx="38404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40480" cy="1714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62"/>
        </w:trPr>
        <w:tc>
          <w:tcPr>
            <w:tcW w:w="2820" w:type="dxa"/>
            <w:vAlign w:val="bottom"/>
          </w:tcPr>
          <w:p>
            <w:pPr>
              <w:spacing w:after="0"/>
              <w:rPr>
                <w:sz w:val="20"/>
                <w:szCs w:val="20"/>
                <w:color w:val="auto"/>
              </w:rPr>
            </w:pPr>
            <w:r>
              <w:rPr>
                <w:rFonts w:ascii="Arial" w:cs="Arial" w:eastAsia="Arial" w:hAnsi="Arial"/>
                <w:sz w:val="14"/>
                <w:szCs w:val="14"/>
                <w:b w:val="1"/>
                <w:bCs w:val="1"/>
                <w:color w:val="auto"/>
              </w:rPr>
              <w:t>Balance on April 1, 2023</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3"/>
              </w:rPr>
              <w:t>62,096</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325,730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$ 2,293,025</w:t>
            </w:r>
          </w:p>
        </w:tc>
        <w:tc>
          <w:tcPr>
            <w:tcW w:w="520" w:type="dxa"/>
            <w:vAlign w:val="bottom"/>
            <w:gridSpan w:val="2"/>
          </w:tcPr>
          <w:p>
            <w:pPr>
              <w:jc w:val="right"/>
              <w:ind w:right="329"/>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(5,074)</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29,864</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$ 2,705,641</w:t>
            </w:r>
          </w:p>
        </w:tc>
        <w:tc>
          <w:tcPr>
            <w:tcW w:w="40" w:type="dxa"/>
            <w:vAlign w:val="bottom"/>
          </w:tcPr>
          <w:p>
            <w:pPr>
              <w:spacing w:after="0"/>
              <w:rPr>
                <w:sz w:val="14"/>
                <w:szCs w:val="14"/>
                <w:color w:val="auto"/>
              </w:rPr>
            </w:pPr>
          </w:p>
        </w:tc>
        <w:tc>
          <w:tcPr>
            <w:tcW w:w="200" w:type="dxa"/>
            <w:vAlign w:val="bottom"/>
            <w:gridSpan w:val="2"/>
          </w:tcPr>
          <w:p>
            <w:pPr>
              <w:jc w:val="right"/>
              <w:ind w:right="114"/>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6,801</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earnings (loss)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150,761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150,817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2,983</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1,694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4,677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debt securities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(427)</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(427)</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 $0.25 per share - quarterly</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(15,507)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(15,507)</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w w:val="94"/>
              </w:rPr>
              <w:t>Issuance of 9,253 shares under employee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Arial" w:cs="Arial" w:eastAsia="Arial" w:hAnsi="Arial"/>
                <w:sz w:val="14"/>
                <w:szCs w:val="14"/>
                <w:color w:val="auto"/>
              </w:rPr>
              <w:t>purchase plan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754</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763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Net forfeitures of 1,503 shares under stock grant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programs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rPr>
              <w:t>Issuance of 11,686 shares under deferred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Arial" w:cs="Arial" w:eastAsia="Arial" w:hAnsi="Arial"/>
                <w:sz w:val="14"/>
                <w:szCs w:val="14"/>
                <w:color w:val="auto"/>
              </w:rPr>
              <w:t>compensation plans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250,000 shares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(20,216)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Arial" w:cs="Arial" w:eastAsia="Arial" w:hAnsi="Arial"/>
                <w:sz w:val="14"/>
                <w:szCs w:val="14"/>
                <w:color w:val="auto"/>
              </w:rPr>
              <w:t>compensation arrangements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8,201</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8,201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Accrued expense under deferred compensation</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1,213</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2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plans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Borders>
              <w:top w:val="single" w:sz="8" w:color="CCEEFF"/>
              <w:bottom w:val="single" w:sz="8" w:color="CCEEFF"/>
            </w:tcBorders>
          </w:tcPr>
          <w:p>
            <w:pPr>
              <w:spacing w:after="0" w:line="135" w:lineRule="exact"/>
              <w:rPr>
                <w:sz w:val="20"/>
                <w:szCs w:val="20"/>
                <w:color w:val="auto"/>
              </w:rPr>
            </w:pPr>
            <w:r>
              <w:rPr>
                <w:rFonts w:ascii="Arial" w:cs="Arial" w:eastAsia="Arial" w:hAnsi="Arial"/>
                <w:sz w:val="14"/>
                <w:szCs w:val="14"/>
                <w:b w:val="1"/>
                <w:bCs w:val="1"/>
                <w:color w:val="auto"/>
              </w:rPr>
              <w:t>Balance on July 1, 2023</w:t>
            </w:r>
          </w:p>
        </w:tc>
        <w:tc>
          <w:tcPr>
            <w:tcW w:w="4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3"/>
              </w:rPr>
              <w:t>61,865</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4"/>
              </w:rPr>
              <w:t>335,494</w:t>
            </w:r>
          </w:p>
        </w:tc>
        <w:tc>
          <w:tcPr>
            <w:tcW w:w="80" w:type="dxa"/>
            <w:vAlign w:val="bottom"/>
            <w:tcBorders>
              <w:top w:val="single" w:sz="8" w:color="CCEEFF"/>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$ 2,408,314</w:t>
            </w:r>
          </w:p>
        </w:tc>
        <w:tc>
          <w:tcPr>
            <w:tcW w:w="80" w:type="dxa"/>
            <w:vAlign w:val="bottom"/>
            <w:tcBorders>
              <w:top w:val="single" w:sz="8" w:color="CCEEFF"/>
              <w:bottom w:val="single" w:sz="8" w:color="CCEEFF"/>
            </w:tcBorders>
          </w:tcPr>
          <w:p>
            <w:pPr>
              <w:spacing w:after="0"/>
              <w:rPr>
                <w:sz w:val="15"/>
                <w:szCs w:val="15"/>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(2,290)</w:t>
            </w:r>
          </w:p>
        </w:tc>
        <w:tc>
          <w:tcPr>
            <w:tcW w:w="80" w:type="dxa"/>
            <w:vAlign w:val="bottom"/>
            <w:tcBorders>
              <w:top w:val="single" w:sz="8" w:color="CCEEFF"/>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128"/>
              <w:spacing w:after="0" w:line="13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31,614</w:t>
            </w:r>
          </w:p>
        </w:tc>
        <w:tc>
          <w:tcPr>
            <w:tcW w:w="80" w:type="dxa"/>
            <w:vAlign w:val="bottom"/>
            <w:tcBorders>
              <w:top w:val="single" w:sz="8" w:color="CCEEFF"/>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$ 2,834,997</w:t>
            </w:r>
          </w:p>
        </w:tc>
        <w:tc>
          <w:tcPr>
            <w:tcW w:w="4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6,772</w:t>
            </w:r>
          </w:p>
        </w:tc>
        <w:tc>
          <w:tcPr>
            <w:tcW w:w="0" w:type="dxa"/>
            <w:vAlign w:val="bottom"/>
          </w:tcPr>
          <w:p>
            <w:pPr>
              <w:spacing w:after="0"/>
              <w:rPr>
                <w:sz w:val="1"/>
                <w:szCs w:val="1"/>
                <w:color w:val="auto"/>
              </w:rPr>
            </w:pPr>
          </w:p>
        </w:tc>
      </w:tr>
      <w:tr>
        <w:trPr>
          <w:trHeight w:val="129"/>
        </w:trPr>
        <w:tc>
          <w:tcPr>
            <w:tcW w:w="28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earnings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134,035</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134,054</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(2,619)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(685)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(3,304)</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930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780</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NCI</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line="149" w:lineRule="exact"/>
              <w:rPr>
                <w:sz w:val="20"/>
                <w:szCs w:val="20"/>
                <w:color w:val="auto"/>
              </w:rPr>
            </w:pPr>
            <w:r>
              <w:rPr>
                <w:rFonts w:ascii="Arial" w:cs="Arial" w:eastAsia="Arial" w:hAnsi="Arial"/>
                <w:sz w:val="14"/>
                <w:szCs w:val="14"/>
                <w:color w:val="auto"/>
              </w:rPr>
              <w:t>Redeemable NCI</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 $0.30 per share - quarterly</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(18,574)</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(18,574)</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w w:val="94"/>
              </w:rPr>
              <w:t>Issuance of 7,341 shares under employee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Arial" w:cs="Arial" w:eastAsia="Arial" w:hAnsi="Arial"/>
                <w:sz w:val="14"/>
                <w:szCs w:val="14"/>
                <w:color w:val="auto"/>
              </w:rPr>
              <w:t>purchase plans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632</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639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Net forfeitures of 3,368 shares under stock grant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shd w:val="clear" w:color="auto" w:fill="CCEEFF"/>
          </w:tcPr>
          <w:p>
            <w:pPr>
              <w:spacing w:after="0"/>
              <w:rPr>
                <w:sz w:val="20"/>
                <w:szCs w:val="20"/>
                <w:color w:val="auto"/>
              </w:rPr>
            </w:pPr>
            <w:r>
              <w:rPr>
                <w:rFonts w:ascii="Arial" w:cs="Arial" w:eastAsia="Arial" w:hAnsi="Arial"/>
                <w:sz w:val="14"/>
                <w:szCs w:val="14"/>
                <w:color w:val="auto"/>
              </w:rPr>
              <w:t>programs</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rPr>
              <w:t>Issuance of 9,774 shares under deferred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Arial" w:cs="Arial" w:eastAsia="Arial" w:hAnsi="Arial"/>
                <w:sz w:val="14"/>
                <w:szCs w:val="14"/>
                <w:color w:val="auto"/>
              </w:rPr>
              <w:t>compensation plans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66,215 shares</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(6,526)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(6,592)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82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20"/>
                <w:szCs w:val="20"/>
                <w:color w:val="auto"/>
              </w:rPr>
            </w:pPr>
            <w:r>
              <w:rPr>
                <w:rFonts w:ascii="Arial" w:cs="Arial" w:eastAsia="Arial" w:hAnsi="Arial"/>
                <w:sz w:val="14"/>
                <w:szCs w:val="14"/>
                <w:color w:val="auto"/>
              </w:rPr>
              <w:t>compensation arrangements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8,156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8,156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Accrued expense under deferred compensation</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82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plans</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820" w:type="dxa"/>
            <w:vAlign w:val="bottom"/>
            <w:tcBorders>
              <w:top w:val="single" w:sz="8" w:color="CCEEFF"/>
            </w:tcBorders>
          </w:tcPr>
          <w:p>
            <w:pPr>
              <w:spacing w:after="0" w:line="135" w:lineRule="exact"/>
              <w:rPr>
                <w:sz w:val="20"/>
                <w:szCs w:val="20"/>
                <w:color w:val="auto"/>
              </w:rPr>
            </w:pPr>
            <w:r>
              <w:rPr>
                <w:rFonts w:ascii="Arial" w:cs="Arial" w:eastAsia="Arial" w:hAnsi="Arial"/>
                <w:sz w:val="14"/>
                <w:szCs w:val="14"/>
                <w:b w:val="1"/>
                <w:bCs w:val="1"/>
                <w:color w:val="auto"/>
              </w:rPr>
              <w:t>Balance on September 30, 2023</w:t>
            </w:r>
          </w:p>
        </w:tc>
        <w:tc>
          <w:tcPr>
            <w:tcW w:w="40" w:type="dxa"/>
            <w:vAlign w:val="bottom"/>
            <w:tcBorders>
              <w:top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3"/>
              </w:rPr>
              <w:t>61,813</w:t>
            </w: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4"/>
              </w:rPr>
              <w:t>345,399</w:t>
            </w: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$ 2,517,252</w:t>
            </w:r>
          </w:p>
        </w:tc>
        <w:tc>
          <w:tcPr>
            <w:tcW w:w="80" w:type="dxa"/>
            <w:vAlign w:val="bottom"/>
            <w:tcBorders>
              <w:top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(5,083)</w:t>
            </w:r>
          </w:p>
        </w:tc>
        <w:tc>
          <w:tcPr>
            <w:tcW w:w="80" w:type="dxa"/>
            <w:vAlign w:val="bottom"/>
            <w:tcBorders>
              <w:top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jc w:val="right"/>
              <w:ind w:right="128"/>
              <w:spacing w:after="0" w:line="13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29,382</w:t>
            </w:r>
          </w:p>
        </w:tc>
        <w:tc>
          <w:tcPr>
            <w:tcW w:w="80" w:type="dxa"/>
            <w:vAlign w:val="bottom"/>
            <w:tcBorders>
              <w:top w:val="single" w:sz="8" w:color="CCEEFF"/>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$ 2,948,763</w:t>
            </w:r>
          </w:p>
        </w:tc>
        <w:tc>
          <w:tcPr>
            <w:tcW w:w="40" w:type="dxa"/>
            <w:vAlign w:val="bottom"/>
            <w:tcBorders>
              <w:top w:val="single" w:sz="8" w:color="CCEEFF"/>
            </w:tcBorders>
          </w:tcPr>
          <w:p>
            <w:pPr>
              <w:spacing w:after="0"/>
              <w:rPr>
                <w:sz w:val="11"/>
                <w:szCs w:val="11"/>
                <w:color w:val="auto"/>
              </w:rPr>
            </w:pPr>
          </w:p>
        </w:tc>
        <w:tc>
          <w:tcPr>
            <w:tcW w:w="20" w:type="dxa"/>
            <w:vAlign w:val="bottom"/>
            <w:tcBorders>
              <w:top w:val="single" w:sz="8" w:color="CCEEFF"/>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6,788</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left="2100"/>
        <w:spacing w:after="0" w:line="261" w:lineRule="auto"/>
        <w:rPr>
          <w:sz w:val="20"/>
          <w:szCs w:val="20"/>
          <w:color w:val="auto"/>
        </w:rPr>
      </w:pPr>
      <w:r>
        <w:rPr>
          <w:rFonts w:ascii="Arial" w:cs="Arial" w:eastAsia="Arial" w:hAnsi="Arial"/>
          <w:sz w:val="18"/>
          <w:szCs w:val="18"/>
          <w:b w:val="1"/>
          <w:bCs w:val="1"/>
          <w:color w:val="auto"/>
        </w:rPr>
        <w:t>CONDENSED CONSOLIDATED STATEMENTS OF SHAREHOLDERS’ EQUITY, CONTINUED (Unaudited)</w:t>
      </w:r>
    </w:p>
    <w:p>
      <w:pPr>
        <w:sectPr>
          <w:pgSz w:w="11900" w:h="16838" w:orient="portrait"/>
          <w:cols w:equalWidth="0" w:num="1">
            <w:col w:w="9019"/>
          </w:cols>
          <w:pgMar w:left="1440" w:top="544" w:right="1440" w:bottom="1440" w:gutter="0" w:footer="0" w:header="0"/>
        </w:sectPr>
      </w:pPr>
    </w:p>
    <w:p>
      <w:pPr>
        <w:ind w:left="60"/>
        <w:spacing w:after="0" w:line="245" w:lineRule="auto"/>
        <w:rPr>
          <w:sz w:val="20"/>
          <w:szCs w:val="20"/>
          <w:color w:val="auto"/>
        </w:rPr>
      </w:pPr>
      <w:r>
        <w:rPr>
          <w:rFonts w:ascii="Arial" w:cs="Arial" w:eastAsia="Arial" w:hAnsi="Arial"/>
          <w:sz w:val="14"/>
          <w:szCs w:val="14"/>
          <w:b w:val="1"/>
          <w:bCs w:val="1"/>
          <w:color w:val="auto"/>
        </w:rPr>
        <w:t>(in thousands, except share and per share data)</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6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Controlling Interest Shareholders’ Equity</w:t>
            </w:r>
          </w:p>
        </w:tc>
        <w:tc>
          <w:tcPr>
            <w:tcW w:w="70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7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Additional</w:t>
            </w: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13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Accumulated Other</w:t>
            </w:r>
          </w:p>
        </w:tc>
        <w:tc>
          <w:tcPr>
            <w:tcW w:w="11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2"/>
              </w:rPr>
              <w:t>Noncontrolling</w:t>
            </w:r>
          </w:p>
        </w:tc>
        <w:tc>
          <w:tcPr>
            <w:tcW w:w="700" w:type="dxa"/>
            <w:vAlign w:val="bottom"/>
          </w:tcPr>
          <w:p>
            <w:pPr>
              <w:spacing w:after="0"/>
              <w:rPr>
                <w:sz w:val="10"/>
                <w:szCs w:val="10"/>
                <w:color w:val="auto"/>
              </w:rPr>
            </w:pPr>
          </w:p>
        </w:tc>
        <w:tc>
          <w:tcPr>
            <w:tcW w:w="7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6"/>
              </w:rPr>
              <w:t>Temporary</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80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20" w:type="dxa"/>
            <w:vAlign w:val="bottom"/>
            <w:vMerge w:val="continue"/>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Earnings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112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Interest (NCI)</w:t>
            </w:r>
          </w:p>
        </w:tc>
        <w:tc>
          <w:tcPr>
            <w:tcW w:w="700" w:type="dxa"/>
            <w:vAlign w:val="bottom"/>
            <w:vMerge w:val="continue"/>
          </w:tcPr>
          <w:p>
            <w:pPr>
              <w:spacing w:after="0"/>
              <w:rPr>
                <w:sz w:val="14"/>
                <w:szCs w:val="14"/>
                <w:color w:val="auto"/>
              </w:rPr>
            </w:pPr>
          </w:p>
        </w:tc>
        <w:tc>
          <w:tcPr>
            <w:tcW w:w="78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600" w:space="260"/>
            <w:col w:w="6159"/>
          </w:cols>
          <w:pgMar w:left="1440" w:top="544" w:right="1440" w:bottom="1440" w:gutter="0" w:footer="0" w:header="0"/>
          <w:type w:val="continuous"/>
        </w:sectPr>
      </w:pPr>
    </w:p>
    <w:tbl>
      <w:tblPr>
        <w:tblLayout w:type="fixed"/>
        <w:tblInd w:w="60" w:type="dxa"/>
        <w:tblCellMar>
          <w:top w:w="0" w:type="dxa"/>
          <w:left w:w="0" w:type="dxa"/>
          <w:bottom w:w="0" w:type="dxa"/>
          <w:right w:w="0" w:type="dxa"/>
        </w:tblCellMar>
      </w:tblPr>
      <w:tr>
        <w:trPr>
          <w:trHeight w:val="156"/>
        </w:trPr>
        <w:tc>
          <w:tcPr>
            <w:tcW w:w="27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on December 25, 2021</w:t>
            </w:r>
          </w:p>
        </w:tc>
        <w:tc>
          <w:tcPr>
            <w:tcW w:w="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1"/>
              </w:rPr>
              <w:t>$ 61,902</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89"/>
              </w:rPr>
              <w:t>$ 243,995</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1"/>
              </w:rPr>
              <w:t>$ 1,678,121</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(5,405)</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37,956</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1"/>
              </w:rPr>
              <w:t>$ 2,016,569</w:t>
            </w:r>
          </w:p>
        </w:tc>
        <w:tc>
          <w:tcPr>
            <w:tcW w:w="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shd w:val="clear" w:color="auto" w:fill="CCEEFF"/>
          </w:tcPr>
          <w:p>
            <w:pPr>
              <w:ind w:left="220"/>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189,703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3,428</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193,131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(695)</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Distributions to NCI</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(2,053)</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(2,053)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color w:val="auto"/>
                <w:w w:val="99"/>
              </w:rPr>
              <w:t>Cash dividends - $0.20 per share - quarterly</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(12,541)</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(12,541)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Issuance of 9,734 shares under employee stock</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purchase plan</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w w:val="95"/>
              </w:rPr>
              <w:t>Issuance of 787,045 shares under stock grant</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4"/>
                <w:szCs w:val="14"/>
                <w:color w:val="auto"/>
              </w:rPr>
              <w:t>programs</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787</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8,959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9,746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79,973 shares under deferred</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compensation plans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Arial" w:cs="Arial" w:eastAsia="Arial" w:hAnsi="Arial"/>
                <w:sz w:val="14"/>
                <w:szCs w:val="14"/>
                <w:color w:val="auto"/>
              </w:rPr>
              <w:t>Repurchase of 44,442 shares</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(3,499)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(3,544)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compensation arrangements</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6,883</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6,883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w w:val="92"/>
              </w:rPr>
              <w:t>Accrued expense under deferred compensation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color w:val="auto"/>
              </w:rPr>
              <w:t>6,134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6,134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740" w:type="dxa"/>
            <w:vAlign w:val="bottom"/>
          </w:tcPr>
          <w:p>
            <w:pPr>
              <w:spacing w:after="0" w:line="154" w:lineRule="exact"/>
              <w:rPr>
                <w:sz w:val="20"/>
                <w:szCs w:val="20"/>
                <w:color w:val="auto"/>
              </w:rPr>
            </w:pPr>
            <w:r>
              <w:rPr>
                <w:rFonts w:ascii="Arial" w:cs="Arial" w:eastAsia="Arial" w:hAnsi="Arial"/>
                <w:sz w:val="14"/>
                <w:szCs w:val="14"/>
                <w:color w:val="auto"/>
              </w:rPr>
              <w:t>plans</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7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on March 26, 2022</w:t>
            </w:r>
          </w:p>
        </w:tc>
        <w:tc>
          <w:tcPr>
            <w:tcW w:w="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1"/>
              </w:rPr>
              <w:t>$ 62,734</w:t>
            </w: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89"/>
              </w:rPr>
              <w:t>$ 266,544</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1"/>
              </w:rPr>
              <w:t>$ 1,851,784</w:t>
            </w: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(3,170)</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40,280</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1"/>
              </w:rPr>
              <w:t>$ 2,218,172</w:t>
            </w: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203,118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4,735</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207,853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(3,755)</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(628)</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(628)</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Cash dividends - $0.25 per share - quarterly</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(15,474)</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(15,474)</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Issuance of 13,875 shares under employee</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4"/>
                <w:szCs w:val="14"/>
                <w:color w:val="auto"/>
              </w:rPr>
              <w:t>stock purchase plan</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781</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Issuance of 28,154 shares under stock grant</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programs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1,120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Issuance of 11,605 shares under deferred</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4"/>
                <w:szCs w:val="14"/>
                <w:color w:val="auto"/>
              </w:rPr>
              <w:t>compensation plans</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1,165,268 shares</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(1,165)</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(88,506)</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(89,671)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4"/>
                <w:szCs w:val="14"/>
                <w:color w:val="auto"/>
              </w:rPr>
              <w:t>compensation arrangements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5,556</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5,556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Accrued expense under deferred compensation</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1,100</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plans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tcBorders>
              <w:top w:val="single" w:sz="8" w:color="CCEEFF"/>
              <w:bottom w:val="single" w:sz="8" w:color="CCEEFF"/>
            </w:tcBorders>
          </w:tcPr>
          <w:p>
            <w:pPr>
              <w:spacing w:after="0" w:line="135" w:lineRule="exact"/>
              <w:rPr>
                <w:sz w:val="20"/>
                <w:szCs w:val="20"/>
                <w:color w:val="auto"/>
              </w:rPr>
            </w:pPr>
            <w:r>
              <w:rPr>
                <w:rFonts w:ascii="Arial" w:cs="Arial" w:eastAsia="Arial" w:hAnsi="Arial"/>
                <w:sz w:val="14"/>
                <w:szCs w:val="14"/>
                <w:b w:val="1"/>
                <w:bCs w:val="1"/>
                <w:color w:val="auto"/>
              </w:rPr>
              <w:t>Balance on June 25, 2022</w:t>
            </w:r>
          </w:p>
        </w:tc>
        <w:tc>
          <w:tcPr>
            <w:tcW w:w="60" w:type="dxa"/>
            <w:vAlign w:val="bottom"/>
            <w:tcBorders>
              <w:top w:val="single" w:sz="8" w:color="CCEEFF"/>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$ 61,623</w:t>
            </w:r>
          </w:p>
        </w:tc>
        <w:tc>
          <w:tcPr>
            <w:tcW w:w="80" w:type="dxa"/>
            <w:vAlign w:val="bottom"/>
            <w:tcBorders>
              <w:top w:val="single" w:sz="8" w:color="CCEEFF"/>
              <w:bottom w:val="single" w:sz="8" w:color="CCEEFF"/>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$ 275,061</w:t>
            </w:r>
          </w:p>
        </w:tc>
        <w:tc>
          <w:tcPr>
            <w:tcW w:w="80" w:type="dxa"/>
            <w:vAlign w:val="bottom"/>
            <w:tcBorders>
              <w:top w:val="single" w:sz="8" w:color="CCEEFF"/>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$ 1,950,922</w:t>
            </w:r>
          </w:p>
        </w:tc>
        <w:tc>
          <w:tcPr>
            <w:tcW w:w="80" w:type="dxa"/>
            <w:vAlign w:val="bottom"/>
            <w:tcBorders>
              <w:top w:val="single" w:sz="8" w:color="CCEEFF"/>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(7,458)</w:t>
            </w:r>
          </w:p>
        </w:tc>
        <w:tc>
          <w:tcPr>
            <w:tcW w:w="8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44,920</w:t>
            </w:r>
          </w:p>
        </w:tc>
        <w:tc>
          <w:tcPr>
            <w:tcW w:w="80" w:type="dxa"/>
            <w:vAlign w:val="bottom"/>
            <w:tcBorders>
              <w:top w:val="single" w:sz="8" w:color="CCEEFF"/>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$ 2,325,068</w:t>
            </w:r>
          </w:p>
        </w:tc>
        <w:tc>
          <w:tcPr>
            <w:tcW w:w="80" w:type="dxa"/>
            <w:vAlign w:val="bottom"/>
            <w:tcBorders>
              <w:top w:val="single" w:sz="8" w:color="CCEEFF"/>
              <w:bottom w:val="single" w:sz="8" w:color="CCEEFF"/>
            </w:tcBorders>
          </w:tcPr>
          <w:p>
            <w:pPr>
              <w:spacing w:after="0"/>
              <w:rPr>
                <w:sz w:val="15"/>
                <w:szCs w:val="15"/>
                <w:color w:val="auto"/>
              </w:rPr>
            </w:pPr>
          </w:p>
        </w:tc>
        <w:tc>
          <w:tcPr>
            <w:tcW w:w="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9"/>
        </w:trPr>
        <w:tc>
          <w:tcPr>
            <w:tcW w:w="27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earnings</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167,241</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4,380</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171,621</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(3,330)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149"/>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loss on debt securities</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Arial" w:cs="Arial" w:eastAsia="Arial" w:hAnsi="Arial"/>
                <w:sz w:val="14"/>
                <w:szCs w:val="14"/>
                <w:color w:val="auto"/>
              </w:rPr>
              <w:t>Distributions to NCI</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(9,970)</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(9,970)</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NCI</w:t>
            </w: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(7,641)</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(7,641)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7,641</w:t>
            </w: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color w:val="auto"/>
                <w:w w:val="99"/>
              </w:rPr>
              <w:t>Cash dividends - $0.25 per share - quarterly</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(15,405)</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(15,405)</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10,678 shares under employee</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stock purchase plans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652</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Net forfeitures of 6,396 shares under stock</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4"/>
                <w:szCs w:val="14"/>
                <w:color w:val="auto"/>
              </w:rPr>
              <w:t>grant programs</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10,705 shares under deferred</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compensation plans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tcPr>
          <w:p>
            <w:pPr>
              <w:spacing w:after="0" w:line="130" w:lineRule="exact"/>
              <w:rPr>
                <w:sz w:val="20"/>
                <w:szCs w:val="20"/>
                <w:color w:val="auto"/>
              </w:rPr>
            </w:pPr>
            <w:r>
              <w:rPr>
                <w:rFonts w:ascii="Arial" w:cs="Arial" w:eastAsia="Arial" w:hAnsi="Arial"/>
                <w:sz w:val="14"/>
                <w:szCs w:val="14"/>
                <w:color w:val="auto"/>
              </w:rPr>
              <w:t>Expense associated with share-based</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40" w:type="dxa"/>
            <w:vAlign w:val="bottom"/>
          </w:tcPr>
          <w:p>
            <w:pPr>
              <w:spacing w:after="0"/>
              <w:rPr>
                <w:sz w:val="20"/>
                <w:szCs w:val="20"/>
                <w:color w:val="auto"/>
              </w:rPr>
            </w:pPr>
            <w:r>
              <w:rPr>
                <w:rFonts w:ascii="Arial" w:cs="Arial" w:eastAsia="Arial" w:hAnsi="Arial"/>
                <w:sz w:val="14"/>
                <w:szCs w:val="14"/>
                <w:color w:val="auto"/>
              </w:rPr>
              <w:t>compensation arrangements</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7,407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7,407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Accrued expense under deferred compensation</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74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plans</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740" w:type="dxa"/>
            <w:vAlign w:val="bottom"/>
            <w:tcBorders>
              <w:top w:val="single" w:sz="8" w:color="CCEEFF"/>
            </w:tcBorders>
          </w:tcPr>
          <w:p>
            <w:pPr>
              <w:spacing w:after="0" w:line="135" w:lineRule="exact"/>
              <w:rPr>
                <w:sz w:val="20"/>
                <w:szCs w:val="20"/>
                <w:color w:val="auto"/>
              </w:rPr>
            </w:pPr>
            <w:r>
              <w:rPr>
                <w:rFonts w:ascii="Arial" w:cs="Arial" w:eastAsia="Arial" w:hAnsi="Arial"/>
                <w:sz w:val="14"/>
                <w:szCs w:val="14"/>
                <w:b w:val="1"/>
                <w:bCs w:val="1"/>
                <w:color w:val="auto"/>
              </w:rPr>
              <w:t>Balance on September 24, 2022</w:t>
            </w:r>
          </w:p>
        </w:tc>
        <w:tc>
          <w:tcPr>
            <w:tcW w:w="60" w:type="dxa"/>
            <w:vAlign w:val="bottom"/>
            <w:tcBorders>
              <w:top w:val="single" w:sz="8" w:color="CCEEFF"/>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$ 61,638</w:t>
            </w:r>
          </w:p>
        </w:tc>
        <w:tc>
          <w:tcPr>
            <w:tcW w:w="80" w:type="dxa"/>
            <w:vAlign w:val="bottom"/>
            <w:tcBorders>
              <w:top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$ 284,025</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$ 2,102,764</w:t>
            </w:r>
          </w:p>
        </w:tc>
        <w:tc>
          <w:tcPr>
            <w:tcW w:w="80" w:type="dxa"/>
            <w:vAlign w:val="bottom"/>
            <w:tcBorders>
              <w:top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(11,348)</w:t>
            </w:r>
          </w:p>
        </w:tc>
        <w:tc>
          <w:tcPr>
            <w:tcW w:w="80" w:type="dxa"/>
            <w:vAlign w:val="bottom"/>
            <w:tcBorders>
              <w:top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31,660</w:t>
            </w:r>
          </w:p>
        </w:tc>
        <w:tc>
          <w:tcPr>
            <w:tcW w:w="80" w:type="dxa"/>
            <w:vAlign w:val="bottom"/>
            <w:tcBorders>
              <w:top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91"/>
              </w:rPr>
              <w:t>$ 2,468,739</w:t>
            </w: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rPr>
              <w:t>7,563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410,549</w:t>
            </w:r>
          </w:p>
        </w:tc>
        <w:tc>
          <w:tcPr>
            <w:tcW w:w="38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573,085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used in operating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Depreciation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80,432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68,881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Amortization of intangibles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15,325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13,448</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26,068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19,979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Deferred income taxes (credit)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Unrealized loss on investments and other</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8,453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Equity in loss of investee</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Net (gain) loss on sale and disposition of assets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(465)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300"/>
              <w:spacing w:after="0" w:line="149" w:lineRule="exact"/>
              <w:rPr>
                <w:sz w:val="20"/>
                <w:szCs w:val="20"/>
                <w:color w:val="auto"/>
              </w:rPr>
            </w:pPr>
            <w:r>
              <w:rPr>
                <w:rFonts w:ascii="Arial" w:cs="Arial" w:eastAsia="Arial" w:hAnsi="Arial"/>
                <w:sz w:val="14"/>
                <w:szCs w:val="14"/>
                <w:color w:val="auto"/>
              </w:rPr>
              <w:t>Accounts receivable</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(82,883)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(137,607)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230,559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(36,259)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 and cash overdraft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49,093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(11,247)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60" w:type="dxa"/>
            <w:vAlign w:val="bottom"/>
            <w:tcBorders>
              <w:bottom w:val="single" w:sz="8" w:color="CCEEFF"/>
            </w:tcBorders>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(18,363)</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31,490</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60" w:type="dxa"/>
            <w:vAlign w:val="bottom"/>
          </w:tcPr>
          <w:p>
            <w:pPr>
              <w:ind w:left="80"/>
              <w:spacing w:after="0" w:line="135" w:lineRule="exact"/>
              <w:rPr>
                <w:sz w:val="20"/>
                <w:szCs w:val="20"/>
                <w:color w:val="auto"/>
              </w:rPr>
            </w:pPr>
            <w:r>
              <w:rPr>
                <w:rFonts w:ascii="Arial" w:cs="Arial" w:eastAsia="Arial" w:hAnsi="Arial"/>
                <w:sz w:val="14"/>
                <w:szCs w:val="14"/>
                <w:color w:val="auto"/>
              </w:rPr>
              <w:t>NET CASH FROM OPERATING ACTIVITIES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711,803</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533,046</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USED IN INVESTING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(130,947)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(113,725)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2,211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Acquisitions, net of cash received and purchase of equity method investment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(52,488)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(105,212)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investments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(26,333)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(16,925)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22,101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10,036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(2,092)</w:t>
            </w:r>
          </w:p>
        </w:tc>
        <w:tc>
          <w:tcPr>
            <w:tcW w:w="2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911</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60" w:type="dxa"/>
            <w:vAlign w:val="bottom"/>
          </w:tcPr>
          <w:p>
            <w:pPr>
              <w:ind w:left="80"/>
              <w:spacing w:after="0" w:line="135" w:lineRule="exact"/>
              <w:rPr>
                <w:sz w:val="20"/>
                <w:szCs w:val="20"/>
                <w:color w:val="auto"/>
              </w:rPr>
            </w:pPr>
            <w:r>
              <w:rPr>
                <w:rFonts w:ascii="Arial" w:cs="Arial" w:eastAsia="Arial" w:hAnsi="Arial"/>
                <w:sz w:val="14"/>
                <w:szCs w:val="14"/>
                <w:color w:val="auto"/>
              </w:rPr>
              <w:t>NET CASH USED IN INVESTING ACTIVITIES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(187,548)</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(222,612)</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USED IN FINANCING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18,915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570,700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(21,929)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(571,075)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Repayments of debt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(1,957)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Contingent consideration payments and other</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2,087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2,110</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to shareholders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(49,723)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(43,420)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(7,355)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(12,023)</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(62,076)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(93,215)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Other</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(210)</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CASH USED IN FINANCING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(126,224)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(151,654)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3,199</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 AND CASH EQUIVALENTS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401,230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158,641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4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559,623</w:t>
            </w:r>
          </w:p>
        </w:tc>
        <w:tc>
          <w:tcPr>
            <w:tcW w:w="2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291,223</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END OF PERIOD</w:t>
            </w:r>
          </w:p>
        </w:tc>
        <w:tc>
          <w:tcPr>
            <w:tcW w:w="4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960,853</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449,864</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559,397</w:t>
            </w:r>
          </w:p>
        </w:tc>
        <w:tc>
          <w:tcPr>
            <w:tcW w:w="38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286,662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4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226</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4,561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8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559,623</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291,223</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0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957,092</w:t>
            </w:r>
          </w:p>
        </w:tc>
        <w:tc>
          <w:tcPr>
            <w:tcW w:w="38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449,135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4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3,761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80" w:type="dxa"/>
            <w:vAlign w:val="bottom"/>
            <w:gridSpan w:val="2"/>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460" w:type="dxa"/>
            <w:vAlign w:val="bottom"/>
          </w:tcPr>
          <w:p>
            <w:pPr>
              <w:spacing w:after="0"/>
              <w:rPr>
                <w:sz w:val="15"/>
                <w:szCs w:val="15"/>
                <w:color w:val="auto"/>
              </w:rPr>
            </w:pP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960,853</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449,864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0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6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Interest paid</w:t>
            </w:r>
          </w:p>
        </w:tc>
        <w:tc>
          <w:tcPr>
            <w:tcW w:w="6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9,492</w:t>
            </w:r>
          </w:p>
        </w:tc>
        <w:tc>
          <w:tcPr>
            <w:tcW w:w="380" w:type="dxa"/>
            <w:vAlign w:val="bottom"/>
            <w:gridSpan w:val="2"/>
            <w:shd w:val="clear" w:color="auto" w:fill="CCEEFF"/>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Income taxes paid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118,403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213,117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INVESTING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tcPr>
          <w:p>
            <w:pPr>
              <w:ind w:left="80"/>
              <w:spacing w:after="0" w:line="149" w:lineRule="exact"/>
              <w:rPr>
                <w:sz w:val="20"/>
                <w:szCs w:val="20"/>
                <w:color w:val="auto"/>
              </w:rPr>
            </w:pPr>
            <w:r>
              <w:rPr>
                <w:rFonts w:ascii="Arial" w:cs="Arial" w:eastAsia="Arial" w:hAnsi="Arial"/>
                <w:sz w:val="14"/>
                <w:szCs w:val="14"/>
                <w:color w:val="auto"/>
              </w:rPr>
              <w:t>Capital expenditures included in accounts payable</w:t>
            </w:r>
          </w:p>
        </w:tc>
        <w:tc>
          <w:tcPr>
            <w:tcW w:w="6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3,427</w:t>
            </w:r>
          </w:p>
        </w:tc>
        <w:tc>
          <w:tcPr>
            <w:tcW w:w="38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3,211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60" w:type="dxa"/>
            <w:vAlign w:val="bottom"/>
          </w:tcPr>
          <w:p>
            <w:pPr>
              <w:ind w:left="80"/>
              <w:spacing w:after="0"/>
              <w:rPr>
                <w:sz w:val="20"/>
                <w:szCs w:val="20"/>
                <w:color w:val="auto"/>
              </w:rPr>
            </w:pPr>
            <w:r>
              <w:rPr>
                <w:rFonts w:ascii="Arial" w:cs="Arial" w:eastAsia="Arial" w:hAnsi="Arial"/>
                <w:sz w:val="14"/>
                <w:szCs w:val="14"/>
                <w:color w:val="auto"/>
              </w:rPr>
              <w:t>Common stock issued under deferred compensation plans</w:t>
            </w:r>
          </w:p>
        </w:tc>
        <w:tc>
          <w:tcPr>
            <w:tcW w:w="6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9,937</w:t>
            </w:r>
          </w:p>
        </w:tc>
        <w:tc>
          <w:tcPr>
            <w:tcW w:w="380" w:type="dxa"/>
            <w:vAlign w:val="bottom"/>
            <w:gridSpan w:val="2"/>
          </w:tcPr>
          <w:p>
            <w:pPr>
              <w:jc w:val="right"/>
              <w:ind w:right="63"/>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8,424</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07" w:lineRule="exact"/>
        <w:rPr>
          <w:sz w:val="20"/>
          <w:szCs w:val="20"/>
          <w:color w:val="auto"/>
        </w:rPr>
      </w:pPr>
    </w:p>
    <w:p>
      <w:pPr>
        <w:ind w:left="540" w:hanging="490"/>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of America. All significant intercompany balances and transactions have been eliminated in consolidation.</w:t>
      </w:r>
    </w:p>
    <w:p>
      <w:pPr>
        <w:spacing w:after="0" w:line="178" w:lineRule="exact"/>
        <w:rPr>
          <w:sz w:val="20"/>
          <w:szCs w:val="20"/>
          <w:color w:val="auto"/>
        </w:rPr>
      </w:pPr>
    </w:p>
    <w:p>
      <w:pPr>
        <w:jc w:val="both"/>
        <w:ind w:left="60" w:right="59" w:firstLine="492"/>
        <w:spacing w:after="0" w:line="285" w:lineRule="auto"/>
        <w:rPr>
          <w:sz w:val="20"/>
          <w:szCs w:val="20"/>
          <w:color w:val="auto"/>
        </w:rPr>
      </w:pPr>
      <w:r>
        <w:rPr>
          <w:rFonts w:ascii="Arial" w:cs="Arial" w:eastAsia="Arial" w:hAnsi="Arial"/>
          <w:sz w:val="16"/>
          <w:szCs w:val="16"/>
          <w:color w:val="auto"/>
        </w:rPr>
        <w:t>We consolidate entities in which we have a controlling financial interest. In determining whether we have a controlling financial interest in a partially owned entity and the requirement to consolidate the accounts of that entity, we consider factors such as ownership interest, board representation, management representation, authority to make decisions, and contractual and substantive participating rights of the partners/members as well as whether the entity is a variable interest entity (“VIE”) and whether we are the primary beneficiary. The primary beneficiary of a VIE is the entity that has</w:t>
      </w:r>
    </w:p>
    <w:p>
      <w:pPr>
        <w:spacing w:after="0" w:line="2" w:lineRule="exact"/>
        <w:rPr>
          <w:sz w:val="20"/>
          <w:szCs w:val="20"/>
          <w:color w:val="auto"/>
        </w:rPr>
      </w:pPr>
    </w:p>
    <w:p>
      <w:pPr>
        <w:jc w:val="both"/>
        <w:ind w:left="60" w:right="59" w:hanging="10"/>
        <w:spacing w:after="0" w:line="302" w:lineRule="auto"/>
        <w:tabs>
          <w:tab w:leader="none" w:pos="27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power to direct the activities that most significantly impact the entity's economic performance and (ii) the obligation to absorb losses of the VIE or the right to receive benefits from the VIE that could be significant to the VIE. The primary beneficiary is required to consolidate the VIE. We account for unconsolidated VIEs using the equity method of accounting.</w:t>
      </w:r>
    </w:p>
    <w:p>
      <w:pPr>
        <w:spacing w:after="0" w:line="155"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As a result of the investment in Dempsey on June 27, 2022, we own 50% of the issued equity of that entity, and the remaining 50% of the issued equity is owned by the previous owners (“Sellers”). The investment in Dempsey is an unconsolidated variable interest entity and we have accounted for it using the equity method of accounting because we do not have a controlling financial interest in the entity. Per the contracts, the Sellers have a put right to sell their equity interest to us for $50 million and we have a call right to purchase the Seller’s equity interest for $70 million, which are both first exercisable in June 2025 and expire in June 2030. As of September 30, 2023, the carrying value of our investment in Dempsey is $63.0 million and is recorded in Other Assets. Our maximum exposure to loss consists of our investment amount and any contingent loss that may occur in the future as a result of a change in the fair value of Dempsey relative to the strike price of the put option.</w:t>
      </w:r>
    </w:p>
    <w:p>
      <w:pPr>
        <w:spacing w:after="0" w:line="181"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We also made an investment in UFP Palets y Embalajes SL (UFP Palets) on September 20, 2023, in which we own 80% of the issued equity of that entity, and the remaining 20% of the issued equity is owned by the previous owner (“Seller”). The investment in UFP Palets is accounted for using the equity method of accounting because we do not have control as a result of certain rights granted to the minority shareholder. Per the contract, the Seller has a put right to sell their equity interest to us and we have a call right to purchase the Seller’s equity interest, which are both first exercisable in September 2026. The values of the put and call options are based upon future performance. As of September 30, 2023, the carrying value of our investment in UFP Palets is $53.6 million and is recorded in Other Assets. Our maximum exposure to loss consists of our investment amount and any contingent loss that may occur in the future as a result of a change in the fair value of UFP Palets relative to the strike price of the put option.</w:t>
      </w:r>
    </w:p>
    <w:p>
      <w:pPr>
        <w:spacing w:after="0" w:line="181"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31, 2022.</w:t>
      </w:r>
    </w:p>
    <w:p>
      <w:pPr>
        <w:spacing w:after="0" w:line="188"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September 24, 2022 balances in the accompanying unaudited condensed consolidated balance sheets.</w:t>
      </w:r>
    </w:p>
    <w:p>
      <w:pPr>
        <w:sectPr>
          <w:pgSz w:w="11900" w:h="16838" w:orient="portrait"/>
          <w:cols w:equalWidth="0" w:num="1">
            <w:col w:w="9019"/>
          </w:cols>
          <w:pgMar w:left="1440" w:top="544"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The ASU requires that an acquirer recognize and measure contract assets and contract liabilities in a business combination in accordance with Topic 606. The ASU is effective for fiscal years beginning after December 15, 2022, including interim periods within those fiscal years and is being applied prospectively to all business combinations occurring after this date.</w:t>
      </w:r>
    </w:p>
    <w:p>
      <w:pPr>
        <w:spacing w:after="0" w:line="172" w:lineRule="exact"/>
        <w:rPr>
          <w:sz w:val="20"/>
          <w:szCs w:val="20"/>
          <w:color w:val="auto"/>
        </w:rPr>
      </w:pPr>
    </w:p>
    <w:p>
      <w:pPr>
        <w:ind w:left="540" w:hanging="490"/>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8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 2023</w:t>
            </w:r>
          </w:p>
        </w:tc>
        <w:tc>
          <w:tcPr>
            <w:tcW w:w="7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1"/>
              </w:rPr>
              <w:t>December 31, 2022</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380" w:type="dxa"/>
            <w:vAlign w:val="bottom"/>
          </w:tcPr>
          <w:p>
            <w:pPr>
              <w:spacing w:after="0"/>
              <w:rPr>
                <w:sz w:val="10"/>
                <w:szCs w:val="10"/>
                <w:color w:val="auto"/>
              </w:rPr>
            </w:pPr>
          </w:p>
        </w:tc>
        <w:tc>
          <w:tcPr>
            <w:tcW w:w="940" w:type="dxa"/>
            <w:vAlign w:val="bottom"/>
            <w:gridSpan w:val="2"/>
          </w:tcPr>
          <w:p>
            <w:pPr>
              <w:jc w:val="center"/>
              <w:ind w:right="160"/>
              <w:spacing w:after="0" w:line="126" w:lineRule="exact"/>
              <w:rPr>
                <w:sz w:val="20"/>
                <w:szCs w:val="20"/>
                <w:color w:val="auto"/>
              </w:rPr>
            </w:pPr>
            <w:r>
              <w:rPr>
                <w:rFonts w:ascii="Arial" w:cs="Arial" w:eastAsia="Arial" w:hAnsi="Arial"/>
                <w:sz w:val="14"/>
                <w:szCs w:val="14"/>
                <w:b w:val="1"/>
                <w:bCs w:val="1"/>
                <w:color w:val="auto"/>
                <w:w w:val="93"/>
              </w:rPr>
              <w:t>Quoted</w:t>
            </w:r>
          </w:p>
        </w:tc>
        <w:tc>
          <w:tcPr>
            <w:tcW w:w="880" w:type="dxa"/>
            <w:vAlign w:val="bottom"/>
            <w:gridSpan w:val="3"/>
          </w:tcPr>
          <w:p>
            <w:pPr>
              <w:jc w:val="center"/>
              <w:ind w:right="12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Prices with</w:t>
            </w: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3"/>
              </w:rPr>
              <w:t>Quoted</w:t>
            </w:r>
          </w:p>
        </w:tc>
        <w:tc>
          <w:tcPr>
            <w:tcW w:w="90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Prices with</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Active</w:t>
            </w: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w:t>
            </w: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76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380" w:type="dxa"/>
            <w:vAlign w:val="bottom"/>
          </w:tcPr>
          <w:p>
            <w:pPr>
              <w:spacing w:after="0"/>
              <w:rPr>
                <w:sz w:val="15"/>
                <w:szCs w:val="15"/>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940" w:type="dxa"/>
            <w:vAlign w:val="bottom"/>
            <w:gridSpan w:val="2"/>
            <w:vMerge w:val="continue"/>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38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7"/>
                <w:szCs w:val="17"/>
                <w:color w:val="auto"/>
              </w:rPr>
              <w:t>Money market</w:t>
            </w: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1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funds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$ 496,910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$ 508,804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$ 390,219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$ 391,505</w:t>
            </w:r>
          </w:p>
        </w:tc>
        <w:tc>
          <w:tcPr>
            <w:tcW w:w="0" w:type="dxa"/>
            <w:vAlign w:val="bottom"/>
          </w:tcPr>
          <w:p>
            <w:pPr>
              <w:spacing w:after="0"/>
              <w:rPr>
                <w:sz w:val="1"/>
                <w:szCs w:val="1"/>
                <w:color w:val="auto"/>
              </w:rPr>
            </w:pPr>
          </w:p>
        </w:tc>
      </w:tr>
      <w:tr>
        <w:trPr>
          <w:trHeight w:val="185"/>
        </w:trPr>
        <w:tc>
          <w:tcPr>
            <w:tcW w:w="1380" w:type="dxa"/>
            <w:vAlign w:val="bottom"/>
          </w:tcPr>
          <w:p>
            <w:pPr>
              <w:ind w:left="20"/>
              <w:spacing w:after="0" w:line="185" w:lineRule="exact"/>
              <w:rPr>
                <w:sz w:val="20"/>
                <w:szCs w:val="20"/>
                <w:color w:val="auto"/>
              </w:rPr>
            </w:pPr>
            <w:r>
              <w:rPr>
                <w:rFonts w:ascii="Arial" w:cs="Arial" w:eastAsia="Arial" w:hAnsi="Arial"/>
                <w:sz w:val="17"/>
                <w:szCs w:val="17"/>
                <w:color w:val="auto"/>
              </w:rPr>
              <w:t>Fixed income</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80" w:type="dxa"/>
            <w:vAlign w:val="bottom"/>
          </w:tcPr>
          <w:p>
            <w:pPr>
              <w:ind w:left="20"/>
              <w:spacing w:after="0"/>
              <w:rPr>
                <w:sz w:val="20"/>
                <w:szCs w:val="20"/>
                <w:color w:val="auto"/>
              </w:rPr>
            </w:pPr>
            <w:r>
              <w:rPr>
                <w:rFonts w:ascii="Arial" w:cs="Arial" w:eastAsia="Arial" w:hAnsi="Arial"/>
                <w:sz w:val="17"/>
                <w:szCs w:val="17"/>
                <w:color w:val="auto"/>
              </w:rPr>
              <w:t>funds</w:t>
            </w:r>
          </w:p>
        </w:tc>
        <w:tc>
          <w:tcPr>
            <w:tcW w:w="760" w:type="dxa"/>
            <w:vAlign w:val="bottom"/>
          </w:tcPr>
          <w:p>
            <w:pPr>
              <w:jc w:val="right"/>
              <w:spacing w:after="0"/>
              <w:rPr>
                <w:sz w:val="20"/>
                <w:szCs w:val="20"/>
                <w:color w:val="auto"/>
              </w:rPr>
            </w:pPr>
            <w:r>
              <w:rPr>
                <w:rFonts w:ascii="Arial" w:cs="Arial" w:eastAsia="Arial" w:hAnsi="Arial"/>
                <w:sz w:val="17"/>
                <w:szCs w:val="17"/>
                <w:color w:val="auto"/>
              </w:rPr>
              <w:t>4,768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18,160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22,928</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16,692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19,286</w:t>
            </w:r>
          </w:p>
        </w:tc>
        <w:tc>
          <w:tcPr>
            <w:tcW w:w="0" w:type="dxa"/>
            <w:vAlign w:val="bottom"/>
          </w:tcPr>
          <w:p>
            <w:pPr>
              <w:spacing w:after="0"/>
              <w:rPr>
                <w:sz w:val="1"/>
                <w:szCs w:val="1"/>
                <w:color w:val="auto"/>
              </w:rPr>
            </w:pPr>
          </w:p>
        </w:tc>
      </w:tr>
      <w:tr>
        <w:trPr>
          <w:trHeight w:val="187"/>
        </w:trPr>
        <w:tc>
          <w:tcPr>
            <w:tcW w:w="1380" w:type="dxa"/>
            <w:vAlign w:val="bottom"/>
            <w:shd w:val="clear" w:color="auto" w:fill="CCEEFF"/>
          </w:tcPr>
          <w:p>
            <w:pPr>
              <w:ind w:left="20"/>
              <w:spacing w:after="0" w:line="187" w:lineRule="exact"/>
              <w:rPr>
                <w:sz w:val="20"/>
                <w:szCs w:val="20"/>
                <w:color w:val="auto"/>
              </w:rPr>
            </w:pPr>
            <w:r>
              <w:rPr>
                <w:rFonts w:ascii="Arial" w:cs="Arial" w:eastAsia="Arial" w:hAnsi="Arial"/>
                <w:sz w:val="17"/>
                <w:szCs w:val="17"/>
                <w:color w:val="auto"/>
              </w:rPr>
              <w:t>Treasury</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securities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0" w:type="dxa"/>
            <w:vAlign w:val="bottom"/>
          </w:tcPr>
          <w:p>
            <w:pPr>
              <w:spacing w:after="0"/>
              <w:rPr>
                <w:sz w:val="1"/>
                <w:szCs w:val="1"/>
                <w:color w:val="auto"/>
              </w:rPr>
            </w:pPr>
          </w:p>
        </w:tc>
      </w:tr>
      <w:tr>
        <w:trPr>
          <w:trHeight w:val="203"/>
        </w:trPr>
        <w:tc>
          <w:tcPr>
            <w:tcW w:w="138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760" w:type="dxa"/>
            <w:vAlign w:val="bottom"/>
          </w:tcPr>
          <w:p>
            <w:pPr>
              <w:jc w:val="right"/>
              <w:spacing w:after="0"/>
              <w:rPr>
                <w:sz w:val="20"/>
                <w:szCs w:val="20"/>
                <w:color w:val="auto"/>
              </w:rPr>
            </w:pPr>
            <w:r>
              <w:rPr>
                <w:rFonts w:ascii="Arial" w:cs="Arial" w:eastAsia="Arial" w:hAnsi="Arial"/>
                <w:sz w:val="17"/>
                <w:szCs w:val="17"/>
                <w:color w:val="auto"/>
              </w:rPr>
              <w:t>14,755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4,000</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18,755</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17,337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17,337</w:t>
            </w:r>
          </w:p>
        </w:tc>
        <w:tc>
          <w:tcPr>
            <w:tcW w:w="0" w:type="dxa"/>
            <w:vAlign w:val="bottom"/>
          </w:tcPr>
          <w:p>
            <w:pPr>
              <w:spacing w:after="0"/>
              <w:rPr>
                <w:sz w:val="1"/>
                <w:szCs w:val="1"/>
                <w:color w:val="auto"/>
              </w:rPr>
            </w:pPr>
          </w:p>
        </w:tc>
      </w:tr>
      <w:tr>
        <w:trPr>
          <w:trHeight w:val="185"/>
        </w:trPr>
        <w:tc>
          <w:tcPr>
            <w:tcW w:w="138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Alternative</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4,184</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4,102</w:t>
            </w:r>
          </w:p>
        </w:tc>
        <w:tc>
          <w:tcPr>
            <w:tcW w:w="0" w:type="dxa"/>
            <w:vAlign w:val="bottom"/>
          </w:tcPr>
          <w:p>
            <w:pPr>
              <w:spacing w:after="0"/>
              <w:rPr>
                <w:sz w:val="1"/>
                <w:szCs w:val="1"/>
                <w:color w:val="auto"/>
              </w:rPr>
            </w:pPr>
          </w:p>
        </w:tc>
      </w:tr>
      <w:tr>
        <w:trPr>
          <w:trHeight w:val="203"/>
        </w:trPr>
        <w:tc>
          <w:tcPr>
            <w:tcW w:w="1380" w:type="dxa"/>
            <w:vAlign w:val="bottom"/>
          </w:tcPr>
          <w:p>
            <w:pPr>
              <w:ind w:left="20"/>
              <w:spacing w:after="0"/>
              <w:rPr>
                <w:sz w:val="20"/>
                <w:szCs w:val="20"/>
                <w:color w:val="auto"/>
              </w:rPr>
            </w:pPr>
            <w:r>
              <w:rPr>
                <w:rFonts w:ascii="Arial" w:cs="Arial" w:eastAsia="Arial" w:hAnsi="Arial"/>
                <w:sz w:val="17"/>
                <w:szCs w:val="17"/>
                <w:color w:val="auto"/>
              </w:rPr>
              <w:t>Mutual funds: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38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Domestic stock</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funds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12,048</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13,067</w:t>
            </w:r>
          </w:p>
        </w:tc>
        <w:tc>
          <w:tcPr>
            <w:tcW w:w="0" w:type="dxa"/>
            <w:vAlign w:val="bottom"/>
          </w:tcPr>
          <w:p>
            <w:pPr>
              <w:spacing w:after="0"/>
              <w:rPr>
                <w:sz w:val="1"/>
                <w:szCs w:val="1"/>
                <w:color w:val="auto"/>
              </w:rPr>
            </w:pPr>
          </w:p>
        </w:tc>
      </w:tr>
      <w:tr>
        <w:trPr>
          <w:trHeight w:val="185"/>
        </w:trPr>
        <w:tc>
          <w:tcPr>
            <w:tcW w:w="1380" w:type="dxa"/>
            <w:vAlign w:val="bottom"/>
          </w:tcPr>
          <w:p>
            <w:pPr>
              <w:ind w:left="120"/>
              <w:spacing w:after="0" w:line="185" w:lineRule="exact"/>
              <w:rPr>
                <w:sz w:val="20"/>
                <w:szCs w:val="20"/>
                <w:color w:val="auto"/>
              </w:rPr>
            </w:pPr>
            <w:r>
              <w:rPr>
                <w:rFonts w:ascii="Arial" w:cs="Arial" w:eastAsia="Arial" w:hAnsi="Arial"/>
                <w:sz w:val="17"/>
                <w:szCs w:val="17"/>
                <w:color w:val="auto"/>
              </w:rPr>
              <w:t>International</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380" w:type="dxa"/>
            <w:vAlign w:val="bottom"/>
          </w:tcPr>
          <w:p>
            <w:pPr>
              <w:ind w:left="120"/>
              <w:spacing w:after="0"/>
              <w:rPr>
                <w:sz w:val="20"/>
                <w:szCs w:val="20"/>
                <w:color w:val="auto"/>
              </w:rPr>
            </w:pPr>
            <w:r>
              <w:rPr>
                <w:rFonts w:ascii="Arial" w:cs="Arial" w:eastAsia="Arial" w:hAnsi="Arial"/>
                <w:sz w:val="17"/>
                <w:szCs w:val="17"/>
                <w:color w:val="auto"/>
              </w:rPr>
              <w:t>stock funds</w:t>
            </w:r>
          </w:p>
        </w:tc>
        <w:tc>
          <w:tcPr>
            <w:tcW w:w="760" w:type="dxa"/>
            <w:vAlign w:val="bottom"/>
          </w:tcPr>
          <w:p>
            <w:pPr>
              <w:jc w:val="right"/>
              <w:spacing w:after="0"/>
              <w:rPr>
                <w:sz w:val="20"/>
                <w:szCs w:val="20"/>
                <w:color w:val="auto"/>
              </w:rPr>
            </w:pPr>
            <w:r>
              <w:rPr>
                <w:rFonts w:ascii="Arial" w:cs="Arial" w:eastAsia="Arial" w:hAnsi="Arial"/>
                <w:sz w:val="17"/>
                <w:szCs w:val="17"/>
                <w:color w:val="auto"/>
              </w:rPr>
              <w:t>467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467</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1,414</w:t>
            </w:r>
          </w:p>
        </w:tc>
        <w:tc>
          <w:tcPr>
            <w:tcW w:w="0" w:type="dxa"/>
            <w:vAlign w:val="bottom"/>
          </w:tcPr>
          <w:p>
            <w:pPr>
              <w:spacing w:after="0"/>
              <w:rPr>
                <w:sz w:val="1"/>
                <w:szCs w:val="1"/>
                <w:color w:val="auto"/>
              </w:rPr>
            </w:pPr>
          </w:p>
        </w:tc>
      </w:tr>
      <w:tr>
        <w:trPr>
          <w:trHeight w:val="205"/>
        </w:trPr>
        <w:tc>
          <w:tcPr>
            <w:tcW w:w="1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Target funds</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3"/>
        </w:trPr>
        <w:tc>
          <w:tcPr>
            <w:tcW w:w="1380" w:type="dxa"/>
            <w:vAlign w:val="bottom"/>
          </w:tcPr>
          <w:p>
            <w:pPr>
              <w:ind w:left="120"/>
              <w:spacing w:after="0"/>
              <w:rPr>
                <w:sz w:val="20"/>
                <w:szCs w:val="20"/>
                <w:color w:val="auto"/>
              </w:rPr>
            </w:pPr>
            <w:r>
              <w:rPr>
                <w:rFonts w:ascii="Arial" w:cs="Arial" w:eastAsia="Arial" w:hAnsi="Arial"/>
                <w:sz w:val="17"/>
                <w:szCs w:val="17"/>
                <w:color w:val="auto"/>
              </w:rPr>
              <w:t>Bond funds</w:t>
            </w:r>
          </w:p>
        </w:tc>
        <w:tc>
          <w:tcPr>
            <w:tcW w:w="760" w:type="dxa"/>
            <w:vAlign w:val="bottom"/>
          </w:tcPr>
          <w:p>
            <w:pPr>
              <w:jc w:val="right"/>
              <w:spacing w:after="0"/>
              <w:rPr>
                <w:sz w:val="20"/>
                <w:szCs w:val="20"/>
                <w:color w:val="auto"/>
              </w:rPr>
            </w:pPr>
            <w:r>
              <w:rPr>
                <w:rFonts w:ascii="Arial" w:cs="Arial" w:eastAsia="Arial" w:hAnsi="Arial"/>
                <w:sz w:val="17"/>
                <w:szCs w:val="17"/>
                <w:color w:val="auto"/>
              </w:rPr>
              <w:t>5,158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5,158</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185"/>
        </w:trPr>
        <w:tc>
          <w:tcPr>
            <w:tcW w:w="1380" w:type="dxa"/>
            <w:vAlign w:val="bottom"/>
            <w:shd w:val="clear" w:color="auto" w:fill="CCEEFF"/>
          </w:tcPr>
          <w:p>
            <w:pPr>
              <w:ind w:left="120"/>
              <w:spacing w:after="0" w:line="185" w:lineRule="exact"/>
              <w:rPr>
                <w:sz w:val="20"/>
                <w:szCs w:val="20"/>
                <w:color w:val="auto"/>
              </w:rPr>
            </w:pPr>
            <w:r>
              <w:rPr>
                <w:rFonts w:ascii="Arial" w:cs="Arial" w:eastAsia="Arial" w:hAnsi="Arial"/>
                <w:sz w:val="17"/>
                <w:szCs w:val="17"/>
                <w:color w:val="auto"/>
              </w:rPr>
              <w:t>Alternative</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vMerge w:val="restart"/>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18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vMerge w:val="restart"/>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vMerge w:val="restart"/>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27"/>
        </w:trPr>
        <w:tc>
          <w:tcPr>
            <w:tcW w:w="1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funds</w:t>
            </w: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380" w:type="dxa"/>
            <w:vAlign w:val="bottom"/>
          </w:tcPr>
          <w:p>
            <w:pPr>
              <w:ind w:left="20"/>
              <w:spacing w:after="0" w:line="159" w:lineRule="exact"/>
              <w:rPr>
                <w:sz w:val="20"/>
                <w:szCs w:val="20"/>
                <w:color w:val="auto"/>
              </w:rPr>
            </w:pPr>
            <w:r>
              <w:rPr>
                <w:rFonts w:ascii="Arial" w:cs="Arial" w:eastAsia="Arial" w:hAnsi="Arial"/>
                <w:sz w:val="17"/>
                <w:szCs w:val="17"/>
                <w:color w:val="auto"/>
              </w:rPr>
              <w:t>Total mutual</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18,166</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3"/>
                <w:szCs w:val="13"/>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18,166</w:t>
            </w:r>
          </w:p>
        </w:tc>
        <w:tc>
          <w:tcPr>
            <w:tcW w:w="1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15,093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3"/>
                <w:szCs w:val="13"/>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15,093</w:t>
            </w:r>
          </w:p>
        </w:tc>
        <w:tc>
          <w:tcPr>
            <w:tcW w:w="0" w:type="dxa"/>
            <w:vAlign w:val="bottom"/>
          </w:tcPr>
          <w:p>
            <w:pPr>
              <w:spacing w:after="0"/>
              <w:rPr>
                <w:sz w:val="1"/>
                <w:szCs w:val="1"/>
                <w:color w:val="auto"/>
              </w:rPr>
            </w:pPr>
          </w:p>
        </w:tc>
      </w:tr>
      <w:tr>
        <w:trPr>
          <w:trHeight w:val="214"/>
        </w:trPr>
        <w:tc>
          <w:tcPr>
            <w:tcW w:w="1380" w:type="dxa"/>
            <w:vAlign w:val="bottom"/>
          </w:tcPr>
          <w:p>
            <w:pPr>
              <w:ind w:left="20"/>
              <w:spacing w:after="0"/>
              <w:rPr>
                <w:sz w:val="20"/>
                <w:szCs w:val="20"/>
                <w:color w:val="auto"/>
              </w:rPr>
            </w:pPr>
            <w:r>
              <w:rPr>
                <w:rFonts w:ascii="Arial" w:cs="Arial" w:eastAsia="Arial" w:hAnsi="Arial"/>
                <w:sz w:val="17"/>
                <w:szCs w:val="17"/>
                <w:color w:val="auto"/>
              </w:rPr>
              <w:t>funds</w:t>
            </w: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3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$ 534,943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30,054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8,184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$ 573,181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$ 425,586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17,978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4,102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$ 447,666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90" w:lineRule="auto"/>
        <w:rPr>
          <w:sz w:val="20"/>
          <w:szCs w:val="20"/>
          <w:color w:val="auto"/>
        </w:rPr>
      </w:pPr>
      <w:r>
        <w:rPr>
          <w:rFonts w:ascii="Arial" w:cs="Arial" w:eastAsia="Arial" w:hAnsi="Arial"/>
          <w:sz w:val="16"/>
          <w:szCs w:val="16"/>
          <w:color w:val="auto"/>
        </w:rPr>
        <w:t>From the assets measured at fair value as of September 30, 2023, listed in the table above, $508.4 million of money market funds are held in Cash and Cash Equivalents, $41.0 million of mutual funds, equity securities, and alternative investments are held in Investments, $0.1 million of money market and mutual funds are held in Other Assets for our deferred compensation plan, and $23.3 million of fixed income funds and $0.4 million of money market funds are held in Restricted Investments. As of December 31, 2022, $36.1 million of mutual funds, equity securities, and alternative investments were held in Investments, $391.2 million of money market funds were held in Cash and Cash Equivalents, $0.5 million of money market and mutual funds were held in Other Assets for our deferred compensation plan, and $19.6 million of fixed income funds and $0.3 million of money market funds were held in Restricted Investments.</w:t>
      </w:r>
    </w:p>
    <w:p>
      <w:pPr>
        <w:spacing w:after="0" w:line="165"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to any of our financial instruments except for those expressly required by U.S. GAAP.</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80" w:firstLine="492"/>
        <w:spacing w:after="0" w:line="279" w:lineRule="auto"/>
        <w:rPr>
          <w:sz w:val="20"/>
          <w:szCs w:val="20"/>
          <w:color w:val="auto"/>
        </w:rPr>
      </w:pPr>
      <w:r>
        <w:rPr>
          <w:rFonts w:ascii="Arial" w:cs="Arial" w:eastAsia="Arial" w:hAnsi="Arial"/>
          <w:sz w:val="17"/>
          <w:szCs w:val="17"/>
          <w:color w:val="auto"/>
        </w:rPr>
        <w:t>In accordance with our investment policy, our wholly-owned captive, Ardellis Insurance Ltd. (“Ardellis”), maintains an investment portfolio, totaling $60.3 million and $55.6 million as of September 30, 2023 and December 31, 2022, respectively, which has been included in the aforementioned table of total investments. This portfolio consists of domestic and international equity securities, alternative investments, and fixed income bonds.</w:t>
      </w:r>
    </w:p>
    <w:p>
      <w:pPr>
        <w:spacing w:after="0" w:line="171" w:lineRule="exact"/>
        <w:rPr>
          <w:sz w:val="20"/>
          <w:szCs w:val="20"/>
          <w:color w:val="auto"/>
        </w:rPr>
      </w:pPr>
    </w:p>
    <w:p>
      <w:pPr>
        <w:jc w:val="both"/>
        <w:ind w:left="60" w:right="80" w:firstLine="492"/>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center"/>
              <w:ind w:left="315"/>
              <w:spacing w:after="0"/>
              <w:rPr>
                <w:sz w:val="20"/>
                <w:szCs w:val="20"/>
                <w:color w:val="auto"/>
              </w:rPr>
            </w:pPr>
            <w:r>
              <w:rPr>
                <w:rFonts w:ascii="Arial" w:cs="Arial" w:eastAsia="Arial" w:hAnsi="Arial"/>
                <w:sz w:val="14"/>
                <w:szCs w:val="14"/>
                <w:b w:val="1"/>
                <w:bCs w:val="1"/>
                <w:color w:val="auto"/>
                <w:w w:val="91"/>
              </w:rPr>
              <w:t>September 30, 2023</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6"/>
          </w:tcPr>
          <w:p>
            <w:pPr>
              <w:jc w:val="center"/>
              <w:ind w:left="355"/>
              <w:spacing w:after="0"/>
              <w:rPr>
                <w:sz w:val="20"/>
                <w:szCs w:val="20"/>
                <w:color w:val="auto"/>
              </w:rPr>
            </w:pPr>
            <w:r>
              <w:rPr>
                <w:rFonts w:ascii="Arial" w:cs="Arial" w:eastAsia="Arial" w:hAnsi="Arial"/>
                <w:sz w:val="14"/>
                <w:szCs w:val="14"/>
                <w:b w:val="1"/>
                <w:bCs w:val="1"/>
                <w:color w:val="auto"/>
                <w:w w:val="91"/>
              </w:rPr>
              <w:t>December 31, 2022</w:t>
            </w: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3"/>
          </w:tcPr>
          <w:p>
            <w:pPr>
              <w:jc w:val="center"/>
              <w:ind w:right="120"/>
              <w:spacing w:after="0" w:line="126" w:lineRule="exact"/>
              <w:rPr>
                <w:sz w:val="20"/>
                <w:szCs w:val="20"/>
                <w:color w:val="auto"/>
              </w:rPr>
            </w:pPr>
            <w:r>
              <w:rPr>
                <w:rFonts w:ascii="Arial" w:cs="Arial" w:eastAsia="Arial" w:hAnsi="Arial"/>
                <w:sz w:val="14"/>
                <w:szCs w:val="14"/>
                <w:b w:val="1"/>
                <w:bCs w:val="1"/>
                <w:color w:val="auto"/>
                <w:w w:val="95"/>
              </w:rPr>
              <w:t>Unrealized</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0"/>
                <w:szCs w:val="10"/>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820" w:type="dxa"/>
            <w:vAlign w:val="bottom"/>
            <w:gridSpan w:val="3"/>
          </w:tcPr>
          <w:p>
            <w:pPr>
              <w:jc w:val="center"/>
              <w:ind w:right="80"/>
              <w:spacing w:after="0" w:line="126" w:lineRule="exact"/>
              <w:rPr>
                <w:sz w:val="20"/>
                <w:szCs w:val="20"/>
                <w:color w:val="auto"/>
              </w:rPr>
            </w:pPr>
            <w:r>
              <w:rPr>
                <w:rFonts w:ascii="Arial" w:cs="Arial" w:eastAsia="Arial" w:hAnsi="Arial"/>
                <w:sz w:val="14"/>
                <w:szCs w:val="14"/>
                <w:b w:val="1"/>
                <w:bCs w:val="1"/>
                <w:color w:val="auto"/>
                <w:w w:val="93"/>
              </w:rPr>
              <w:t>Unrealized</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Gain (Loss)</w:t>
            </w:r>
          </w:p>
        </w:tc>
        <w:tc>
          <w:tcPr>
            <w:tcW w:w="8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 (Loss)</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income</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25,336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(2,408)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22,928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21,399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(2,113)</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19,286</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17,337</w:t>
            </w: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17,184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18,123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13,430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14,574</w:t>
            </w:r>
          </w:p>
        </w:tc>
        <w:tc>
          <w:tcPr>
            <w:tcW w:w="0" w:type="dxa"/>
            <w:vAlign w:val="bottom"/>
          </w:tcPr>
          <w:p>
            <w:pPr>
              <w:spacing w:after="0"/>
              <w:rPr>
                <w:sz w:val="1"/>
                <w:szCs w:val="1"/>
                <w:color w:val="auto"/>
              </w:rPr>
            </w:pPr>
          </w:p>
        </w:tc>
      </w:tr>
      <w:tr>
        <w:trPr>
          <w:trHeight w:val="236"/>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Alternative investments</w:t>
            </w: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4,102</w:t>
            </w:r>
          </w:p>
        </w:tc>
        <w:tc>
          <w:tcPr>
            <w:tcW w:w="0" w:type="dxa"/>
            <w:vAlign w:val="bottom"/>
          </w:tcPr>
          <w:p>
            <w:pPr>
              <w:spacing w:after="0"/>
              <w:rPr>
                <w:sz w:val="1"/>
                <w:szCs w:val="1"/>
                <w:color w:val="auto"/>
              </w:rPr>
            </w:pPr>
          </w:p>
        </w:tc>
      </w:tr>
      <w:tr>
        <w:trPr>
          <w:trHeight w:val="203"/>
        </w:trPr>
        <w:tc>
          <w:tcPr>
            <w:tcW w:w="4040" w:type="dxa"/>
            <w:vAlign w:val="bottom"/>
          </w:tcPr>
          <w:p>
            <w:pPr>
              <w:ind w:left="20"/>
              <w:spacing w:after="0" w:line="203"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59,397</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60,334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54,039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55,642</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80" w:firstLine="492"/>
        <w:spacing w:after="0" w:line="254" w:lineRule="auto"/>
        <w:rPr>
          <w:sz w:val="20"/>
          <w:szCs w:val="20"/>
          <w:color w:val="auto"/>
        </w:rPr>
      </w:pPr>
      <w:r>
        <w:rPr>
          <w:rFonts w:ascii="Arial" w:cs="Arial" w:eastAsia="Arial" w:hAnsi="Arial"/>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pre-tax unrealized gain of the portfolio was $0.9 million and $1.6 million as of September 30, 2023 and December 31, 2022, respectively. Carrying amounts above are recorded in the investments and restricted investments line items within the balance sheet as of September 30, 2023 and December 31, 2022.</w:t>
      </w:r>
    </w:p>
    <w:p>
      <w:pPr>
        <w:spacing w:after="0" w:line="191" w:lineRule="exact"/>
        <w:rPr>
          <w:sz w:val="20"/>
          <w:szCs w:val="20"/>
          <w:color w:val="auto"/>
        </w:rPr>
      </w:pPr>
    </w:p>
    <w:p>
      <w:pPr>
        <w:ind w:left="540" w:hanging="490"/>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left="60" w:right="80" w:firstLine="492"/>
        <w:spacing w:after="0" w:line="271" w:lineRule="auto"/>
        <w:rPr>
          <w:sz w:val="20"/>
          <w:szCs w:val="20"/>
          <w:color w:val="auto"/>
        </w:rPr>
      </w:pPr>
      <w:r>
        <w:rPr>
          <w:rFonts w:ascii="Arial" w:cs="Arial" w:eastAsia="Arial" w:hAnsi="Arial"/>
          <w:sz w:val="17"/>
          <w:szCs w:val="17"/>
          <w:color w:val="auto"/>
        </w:rPr>
        <w:t>Within the three primary segments, UFP Retail Solutions (“Retail”), UFP Packaging (“Packaging” and formerly known as UFP Industrial) and UFP Construction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78" w:lineRule="exact"/>
        <w:rPr>
          <w:sz w:val="20"/>
          <w:szCs w:val="20"/>
          <w:color w:val="auto"/>
        </w:rPr>
      </w:pPr>
    </w:p>
    <w:p>
      <w:pPr>
        <w:jc w:val="both"/>
        <w:ind w:left="60" w:right="80" w:firstLine="492"/>
        <w:spacing w:after="0" w:line="286" w:lineRule="auto"/>
        <w:rPr>
          <w:sz w:val="20"/>
          <w:szCs w:val="20"/>
          <w:color w:val="auto"/>
        </w:rPr>
      </w:pPr>
      <w:r>
        <w:rPr>
          <w:rFonts w:ascii="Arial" w:cs="Arial" w:eastAsia="Arial" w:hAnsi="Arial"/>
          <w:sz w:val="17"/>
          <w:szCs w:val="17"/>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65" w:lineRule="exact"/>
        <w:rPr>
          <w:sz w:val="20"/>
          <w:szCs w:val="20"/>
          <w:color w:val="auto"/>
        </w:rPr>
      </w:pPr>
    </w:p>
    <w:p>
      <w:pPr>
        <w:jc w:val="both"/>
        <w:ind w:left="60" w:right="80" w:firstLine="492"/>
        <w:spacing w:after="0" w:line="296" w:lineRule="auto"/>
        <w:rPr>
          <w:sz w:val="20"/>
          <w:szCs w:val="20"/>
          <w:color w:val="auto"/>
        </w:rPr>
      </w:pPr>
      <w:r>
        <w:rPr>
          <w:rFonts w:ascii="Arial" w:cs="Arial" w:eastAsia="Arial" w:hAnsi="Arial"/>
          <w:sz w:val="16"/>
          <w:szCs w:val="16"/>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44" w:right="141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8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presents our net sales disaggregated by revenue source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460" w:type="dxa"/>
            <w:vAlign w:val="bottom"/>
          </w:tcPr>
          <w:p>
            <w:pPr>
              <w:spacing w:after="0"/>
              <w:rPr>
                <w:sz w:val="15"/>
                <w:szCs w:val="15"/>
                <w:color w:val="auto"/>
              </w:rPr>
            </w:pPr>
          </w:p>
        </w:tc>
        <w:tc>
          <w:tcPr>
            <w:tcW w:w="234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Borders>
              <w:bottom w:val="single" w:sz="8" w:color="auto"/>
            </w:tcBorders>
          </w:tcPr>
          <w:p>
            <w:pPr>
              <w:spacing w:after="0"/>
              <w:rPr>
                <w:sz w:val="15"/>
                <w:szCs w:val="15"/>
                <w:color w:val="auto"/>
              </w:rPr>
            </w:pPr>
          </w:p>
        </w:tc>
      </w:tr>
      <w:tr>
        <w:trPr>
          <w:trHeight w:val="217"/>
        </w:trPr>
        <w:tc>
          <w:tcPr>
            <w:tcW w:w="2460" w:type="dxa"/>
            <w:vAlign w:val="bottom"/>
          </w:tcPr>
          <w:p>
            <w:pPr>
              <w:spacing w:after="0"/>
              <w:rPr>
                <w:sz w:val="18"/>
                <w:szCs w:val="18"/>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8"/>
                <w:szCs w:val="18"/>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24,</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September 24,</w:t>
            </w:r>
          </w:p>
        </w:tc>
        <w:tc>
          <w:tcPr>
            <w:tcW w:w="800" w:type="dxa"/>
            <w:vAlign w:val="bottom"/>
          </w:tcPr>
          <w:p>
            <w:pPr>
              <w:spacing w:after="0"/>
              <w:rPr>
                <w:sz w:val="18"/>
                <w:szCs w:val="18"/>
                <w:color w:val="auto"/>
              </w:rPr>
            </w:pPr>
          </w:p>
        </w:tc>
      </w:tr>
      <w:tr>
        <w:trPr>
          <w:trHeight w:val="195"/>
        </w:trPr>
        <w:tc>
          <w:tcPr>
            <w:tcW w:w="246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tcPr>
          <w:p>
            <w:pPr>
              <w:spacing w:after="0"/>
              <w:rPr>
                <w:sz w:val="16"/>
                <w:szCs w:val="16"/>
                <w:color w:val="auto"/>
              </w:rPr>
            </w:pPr>
          </w:p>
        </w:tc>
        <w:tc>
          <w:tcPr>
            <w:tcW w:w="840" w:type="dxa"/>
            <w:vAlign w:val="bottom"/>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 Change</w:t>
            </w:r>
          </w:p>
        </w:tc>
      </w:tr>
      <w:tr>
        <w:trPr>
          <w:trHeight w:val="216"/>
        </w:trPr>
        <w:tc>
          <w:tcPr>
            <w:tcW w:w="2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Point in Time Revenue</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$ 1,797,215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2,270,438</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5,587,990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7,571,128</w:t>
            </w: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color w:val="auto"/>
              </w:rPr>
              <w:t>Over Time Revenue</w:t>
            </w:r>
          </w:p>
        </w:tc>
        <w:tc>
          <w:tcPr>
            <w:tcW w:w="920" w:type="dxa"/>
            <w:vAlign w:val="bottom"/>
          </w:tcPr>
          <w:p>
            <w:pPr>
              <w:jc w:val="right"/>
              <w:spacing w:after="0"/>
              <w:rPr>
                <w:sz w:val="20"/>
                <w:szCs w:val="20"/>
                <w:color w:val="auto"/>
              </w:rPr>
            </w:pPr>
            <w:r>
              <w:rPr>
                <w:rFonts w:ascii="Arial" w:cs="Arial" w:eastAsia="Arial" w:hAnsi="Arial"/>
                <w:sz w:val="18"/>
                <w:szCs w:val="18"/>
                <w:color w:val="auto"/>
              </w:rPr>
              <w:t>30,422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52,417</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106,041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141,914</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1,827,637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2,322,855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5,694,031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7,713,042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0"/>
        </w:trPr>
        <w:tc>
          <w:tcPr>
            <w:tcW w:w="24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Construction segment comprises the construction contract revenue shown above. Construction contract revenue is primarily made up of site-built and framing customers.</w:t>
      </w:r>
    </w:p>
    <w:p>
      <w:pPr>
        <w:spacing w:after="0" w:line="170"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320" w:type="dxa"/>
            <w:vAlign w:val="bottom"/>
            <w:gridSpan w:val="3"/>
          </w:tcPr>
          <w:p>
            <w:pPr>
              <w:ind w:left="1420"/>
              <w:spacing w:after="0"/>
              <w:rPr>
                <w:sz w:val="20"/>
                <w:szCs w:val="20"/>
                <w:color w:val="auto"/>
              </w:rPr>
            </w:pPr>
            <w:r>
              <w:rPr>
                <w:rFonts w:ascii="Arial" w:cs="Arial" w:eastAsia="Arial" w:hAnsi="Arial"/>
                <w:sz w:val="14"/>
                <w:szCs w:val="14"/>
                <w:b w:val="1"/>
                <w:bCs w:val="1"/>
                <w:color w:val="auto"/>
                <w:w w:val="91"/>
              </w:rPr>
              <w:t>September 30,</w:t>
            </w:r>
          </w:p>
        </w:tc>
        <w:tc>
          <w:tcPr>
            <w:tcW w:w="1020" w:type="dxa"/>
            <w:vAlign w:val="bottom"/>
            <w:gridSpan w:val="3"/>
          </w:tcPr>
          <w:p>
            <w:pPr>
              <w:ind w:left="180"/>
              <w:spacing w:after="0"/>
              <w:rPr>
                <w:sz w:val="20"/>
                <w:szCs w:val="20"/>
                <w:color w:val="auto"/>
              </w:rPr>
            </w:pPr>
            <w:r>
              <w:rPr>
                <w:rFonts w:ascii="Arial" w:cs="Arial" w:eastAsia="Arial" w:hAnsi="Arial"/>
                <w:sz w:val="14"/>
                <w:szCs w:val="14"/>
                <w:b w:val="1"/>
                <w:bCs w:val="1"/>
                <w:color w:val="auto"/>
                <w:w w:val="90"/>
              </w:rPr>
              <w:t>December 31,</w:t>
            </w:r>
          </w:p>
        </w:tc>
        <w:tc>
          <w:tcPr>
            <w:tcW w:w="1280" w:type="dxa"/>
            <w:vAlign w:val="bottom"/>
            <w:gridSpan w:val="4"/>
          </w:tcPr>
          <w:p>
            <w:pPr>
              <w:ind w:left="180"/>
              <w:spacing w:after="0"/>
              <w:rPr>
                <w:sz w:val="20"/>
                <w:szCs w:val="20"/>
                <w:color w:val="auto"/>
              </w:rPr>
            </w:pPr>
            <w:r>
              <w:rPr>
                <w:rFonts w:ascii="Arial" w:cs="Arial" w:eastAsia="Arial" w:hAnsi="Arial"/>
                <w:sz w:val="14"/>
                <w:szCs w:val="14"/>
                <w:b w:val="1"/>
                <w:bCs w:val="1"/>
                <w:color w:val="auto"/>
              </w:rPr>
              <w:t>September 24,</w:t>
            </w:r>
          </w:p>
        </w:tc>
      </w:tr>
      <w:tr>
        <w:trPr>
          <w:trHeight w:val="178"/>
        </w:trPr>
        <w:tc>
          <w:tcPr>
            <w:tcW w:w="428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w:t>
            </w:r>
          </w:p>
        </w:tc>
        <w:tc>
          <w:tcPr>
            <w:tcW w:w="200" w:type="dxa"/>
            <w:vAlign w:val="bottom"/>
            <w:shd w:val="clear" w:color="auto" w:fill="CCEEFF"/>
          </w:tcPr>
          <w:p>
            <w:pPr>
              <w:spacing w:after="0"/>
              <w:rPr>
                <w:sz w:val="18"/>
                <w:szCs w:val="18"/>
                <w:color w:val="auto"/>
              </w:rPr>
            </w:pP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10,318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10,184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10,743</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311"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26"/>
        </w:trPr>
        <w:tc>
          <w:tcPr>
            <w:tcW w:w="4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1020" w:type="dxa"/>
            <w:vAlign w:val="bottom"/>
            <w:tcBorders>
              <w:top w:val="single" w:sz="8" w:color="auto"/>
            </w:tcBorders>
            <w:gridSpan w:val="3"/>
          </w:tcPr>
          <w:p>
            <w:pPr>
              <w:ind w:left="140"/>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jc w:val="right"/>
              <w:spacing w:after="0" w:line="126" w:lineRule="exact"/>
              <w:rPr>
                <w:sz w:val="20"/>
                <w:szCs w:val="20"/>
                <w:color w:val="auto"/>
              </w:rPr>
            </w:pPr>
            <w:r>
              <w:rPr>
                <w:rFonts w:ascii="Arial" w:cs="Arial" w:eastAsia="Arial" w:hAnsi="Arial"/>
                <w:sz w:val="14"/>
                <w:szCs w:val="14"/>
                <w:b w:val="1"/>
                <w:bCs w:val="1"/>
                <w:color w:val="auto"/>
                <w:w w:val="87"/>
              </w:rPr>
              <w:t>September 30,</w:t>
            </w:r>
          </w:p>
        </w:tc>
        <w:tc>
          <w:tcPr>
            <w:tcW w:w="1040" w:type="dxa"/>
            <w:vAlign w:val="bottom"/>
            <w:tcBorders>
              <w:top w:val="single" w:sz="8" w:color="auto"/>
            </w:tcBorders>
            <w:gridSpan w:val="3"/>
          </w:tcPr>
          <w:p>
            <w:pPr>
              <w:jc w:val="right"/>
              <w:spacing w:after="0" w:line="126" w:lineRule="exact"/>
              <w:rPr>
                <w:sz w:val="20"/>
                <w:szCs w:val="20"/>
                <w:color w:val="auto"/>
              </w:rPr>
            </w:pPr>
            <w:r>
              <w:rPr>
                <w:rFonts w:ascii="Arial" w:cs="Arial" w:eastAsia="Arial" w:hAnsi="Arial"/>
                <w:sz w:val="14"/>
                <w:szCs w:val="14"/>
                <w:b w:val="1"/>
                <w:bCs w:val="1"/>
                <w:color w:val="auto"/>
              </w:rPr>
              <w:t>September 24,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5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Arial" w:cs="Arial" w:eastAsia="Arial" w:hAnsi="Arial"/>
                <w:sz w:val="18"/>
                <w:szCs w:val="18"/>
                <w:color w:val="auto"/>
              </w:rPr>
              <w:t>Net earnings attributable to controlling interest</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134,035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167,241</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410,865</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560,062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Adjustment for earnings allocated to non-vested restricted</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(19,863)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(21,970)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common stock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Net earnings for calculating EPS</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127,281</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160,384</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391,002</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538,092</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62,693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Adjustment for non-vested restricted common stock</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100"/>
              <w:spacing w:after="0" w:line="203" w:lineRule="exact"/>
              <w:rPr>
                <w:sz w:val="20"/>
                <w:szCs w:val="20"/>
                <w:color w:val="auto"/>
              </w:rPr>
            </w:pPr>
            <w:r>
              <w:rPr>
                <w:rFonts w:ascii="Arial" w:cs="Arial" w:eastAsia="Arial" w:hAnsi="Arial"/>
                <w:sz w:val="18"/>
                <w:szCs w:val="18"/>
                <w:color w:val="auto"/>
              </w:rPr>
              <w:t>Shares for calculating basic EPS</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59,534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59,885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59,703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60,282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Effect of dilutive restricted common stock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auto"/>
              </w:rPr>
              <w:t>Shares for calculating diluted EPS</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60,621</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60,192</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60,661</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60,537</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earnings per share:</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2.68</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6.55</w:t>
            </w:r>
          </w:p>
        </w:tc>
        <w:tc>
          <w:tcPr>
            <w:tcW w:w="3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40" w:hanging="490"/>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7"/>
          <w:szCs w:val="17"/>
          <w:color w:val="auto"/>
        </w:rPr>
        <w:t>In addition, on September 30, 2023,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5"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On September 30, 2023, we had outstanding purchase commitments on commenced capital projects of approximately $81.3 million.</w:t>
      </w:r>
    </w:p>
    <w:p>
      <w:pPr>
        <w:spacing w:after="0" w:line="170"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We provide a variety of warranties for products we manufacture. Historically, warranty claims have not been material. We also distribute products manufactured by other companies.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71"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September 30, 2023, we had approximately $14.4 million in outstanding payment and performance bonds for open projects. We had approximately $12.6 million in payment and performance bonds outstanding for completed projects which are still under warranty.</w:t>
      </w:r>
    </w:p>
    <w:p>
      <w:pPr>
        <w:spacing w:after="0" w:line="195" w:lineRule="exact"/>
        <w:rPr>
          <w:sz w:val="20"/>
          <w:szCs w:val="20"/>
          <w:color w:val="auto"/>
        </w:rPr>
      </w:pPr>
    </w:p>
    <w:p>
      <w:pPr>
        <w:jc w:val="both"/>
        <w:ind w:left="60" w:right="59" w:firstLine="492"/>
        <w:spacing w:after="0" w:line="308" w:lineRule="auto"/>
        <w:rPr>
          <w:sz w:val="20"/>
          <w:szCs w:val="20"/>
          <w:color w:val="auto"/>
        </w:rPr>
      </w:pPr>
      <w:r>
        <w:rPr>
          <w:rFonts w:ascii="Arial" w:cs="Arial" w:eastAsia="Arial" w:hAnsi="Arial"/>
          <w:sz w:val="17"/>
          <w:szCs w:val="17"/>
          <w:color w:val="auto"/>
        </w:rPr>
        <w:t>On September 30, 2023, we had outstanding letters of credit totaling $47.8 million, primarily related to certain insurance contracts, industrial development revenue bonds, and other debt agreements described further below.</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57" w:lineRule="auto"/>
        <w:rPr>
          <w:sz w:val="20"/>
          <w:szCs w:val="20"/>
          <w:color w:val="auto"/>
        </w:rPr>
      </w:pPr>
      <w:r>
        <w:rPr>
          <w:rFonts w:ascii="Arial" w:cs="Arial" w:eastAsia="Arial" w:hAnsi="Arial"/>
          <w:sz w:val="18"/>
          <w:szCs w:val="18"/>
          <w:color w:val="auto"/>
        </w:rPr>
        <w:t>In lieu of cash deposits, we provide irrevocable letters of credit in favor of our insurers and other third parties to guarantee our performance under certain insurance contracts and other legal agreements. As of September 30, 2023, we have irrevocable letters of credit outstanding totaling approximately $44.5 million for these types of arrangements. We have reserves recorded on our balance sheet, in accrued liabilities, that reflect our expected future liabilities under those insurance arrangements.</w:t>
      </w:r>
    </w:p>
    <w:p>
      <w:pPr>
        <w:spacing w:after="0" w:line="188" w:lineRule="exact"/>
        <w:rPr>
          <w:sz w:val="20"/>
          <w:szCs w:val="20"/>
          <w:color w:val="auto"/>
        </w:rPr>
      </w:pPr>
    </w:p>
    <w:p>
      <w:pPr>
        <w:jc w:val="both"/>
        <w:ind w:left="60" w:right="79" w:firstLine="492"/>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$3.3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7"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did not enter into any new guarantee arrangements during the third quarter of 2023 which would require us to recognize a liability on our balance sheet.</w:t>
      </w:r>
    </w:p>
    <w:p>
      <w:pPr>
        <w:spacing w:after="0" w:line="382" w:lineRule="exact"/>
        <w:rPr>
          <w:sz w:val="20"/>
          <w:szCs w:val="20"/>
          <w:color w:val="auto"/>
        </w:rPr>
      </w:pPr>
    </w:p>
    <w:p>
      <w:pPr>
        <w:ind w:left="500" w:hanging="450"/>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AND EQUITY METHOD INVESTMENTS</w:t>
      </w:r>
    </w:p>
    <w:p>
      <w:pPr>
        <w:spacing w:after="0" w:line="121"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completed the following acquisitions since the end of the third quarter of 2022, which were accounted for using the purchase or equity method. Dollars below are in thousands unless otherwise noted:</w:t>
      </w:r>
    </w:p>
    <w:p>
      <w:pPr>
        <w:spacing w:after="0" w:line="178" w:lineRule="exact"/>
        <w:rPr>
          <w:sz w:val="20"/>
          <w:szCs w:val="20"/>
          <w:color w:val="auto"/>
        </w:rPr>
      </w:pPr>
    </w:p>
    <w:tbl>
      <w:tblPr>
        <w:tblLayout w:type="fixed"/>
        <w:tblInd w:w="50" w:type="dxa"/>
        <w:tblCellMar>
          <w:top w:w="0" w:type="dxa"/>
          <w:left w:w="0" w:type="dxa"/>
          <w:bottom w:w="0" w:type="dxa"/>
          <w:right w:w="0" w:type="dxa"/>
        </w:tblCellMar>
      </w:tblPr>
      <w:tr>
        <w:trPr>
          <w:trHeight w:val="202"/>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4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Net</w:t>
            </w:r>
          </w:p>
        </w:tc>
        <w:tc>
          <w:tcPr>
            <w:tcW w:w="8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Acquisition</w:t>
            </w:r>
          </w:p>
        </w:tc>
        <w:tc>
          <w:tcPr>
            <w:tcW w:w="1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right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7"/>
              </w:rPr>
              <w:t>Intangible</w:t>
            </w:r>
          </w:p>
        </w:tc>
        <w:tc>
          <w:tcPr>
            <w:tcW w:w="160" w:type="dxa"/>
            <w:vAlign w:val="bottom"/>
          </w:tcPr>
          <w:p>
            <w:pPr>
              <w:spacing w:after="0"/>
              <w:rPr>
                <w:sz w:val="17"/>
                <w:szCs w:val="17"/>
                <w:color w:val="auto"/>
              </w:rPr>
            </w:pPr>
          </w:p>
        </w:tc>
        <w:tc>
          <w:tcPr>
            <w:tcW w:w="100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8"/>
              </w:rPr>
              <w:t>Tangible</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79"/>
              </w:rPr>
              <w:t>Assets</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0" w:type="dxa"/>
            <w:vAlign w:val="bottom"/>
          </w:tcPr>
          <w:p>
            <w:pPr>
              <w:spacing w:after="0"/>
              <w:rPr>
                <w:sz w:val="1"/>
                <w:szCs w:val="1"/>
                <w:color w:val="auto"/>
              </w:rPr>
            </w:pPr>
          </w:p>
        </w:tc>
      </w:tr>
      <w:tr>
        <w:trPr>
          <w:trHeight w:val="243"/>
        </w:trPr>
        <w:tc>
          <w:tcPr>
            <w:tcW w:w="2560" w:type="dxa"/>
            <w:vAlign w:val="bottom"/>
            <w:tcBorders>
              <w:left w:val="single" w:sz="8" w:color="auto"/>
              <w:right w:val="single" w:sz="8" w:color="auto"/>
            </w:tcBorders>
            <w:shd w:val="clear" w:color="auto" w:fill="CCEBFF"/>
          </w:tcPr>
          <w:p>
            <w:pPr>
              <w:spacing w:after="0"/>
              <w:rPr>
                <w:sz w:val="21"/>
                <w:szCs w:val="21"/>
                <w:color w:val="auto"/>
              </w:rPr>
            </w:pPr>
          </w:p>
        </w:tc>
        <w:tc>
          <w:tcPr>
            <w:tcW w:w="144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89"/>
              </w:rPr>
              <w:t>September 20, 2023</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$54,292 consideration for</w:t>
            </w:r>
          </w:p>
        </w:tc>
        <w:tc>
          <w:tcPr>
            <w:tcW w:w="120" w:type="dxa"/>
            <w:vAlign w:val="bottom"/>
            <w:shd w:val="clear" w:color="auto" w:fill="CCEBFF"/>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45,713</w:t>
            </w:r>
          </w:p>
        </w:tc>
        <w:tc>
          <w:tcPr>
            <w:tcW w:w="160" w:type="dxa"/>
            <w:vAlign w:val="bottom"/>
            <w:shd w:val="clear" w:color="auto" w:fill="CCEB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shd w:val="clear" w:color="auto" w:fill="CCEBFF"/>
          </w:tcPr>
          <w:p>
            <w:pPr>
              <w:jc w:val="right"/>
              <w:spacing w:after="0"/>
              <w:rPr>
                <w:sz w:val="20"/>
                <w:szCs w:val="20"/>
                <w:color w:val="auto"/>
              </w:rPr>
            </w:pPr>
            <w:r>
              <w:rPr>
                <w:rFonts w:ascii="Arial" w:cs="Arial" w:eastAsia="Arial" w:hAnsi="Arial"/>
                <w:sz w:val="16"/>
                <w:szCs w:val="16"/>
                <w:color w:val="auto"/>
              </w:rPr>
              <w:t>8,579</w:t>
            </w:r>
          </w:p>
        </w:tc>
        <w:tc>
          <w:tcPr>
            <w:tcW w:w="880" w:type="dxa"/>
            <w:vAlign w:val="bottom"/>
            <w:tcBorders>
              <w:right w:val="single" w:sz="8" w:color="auto"/>
            </w:tcBorders>
            <w:shd w:val="clear" w:color="auto" w:fill="CCEBFF"/>
          </w:tcPr>
          <w:p>
            <w:pPr>
              <w:jc w:val="center"/>
              <w:spacing w:after="0"/>
              <w:rPr>
                <w:sz w:val="20"/>
                <w:szCs w:val="20"/>
                <w:color w:val="auto"/>
              </w:rPr>
            </w:pPr>
            <w:r>
              <w:rPr>
                <w:rFonts w:ascii="Arial" w:cs="Arial" w:eastAsia="Arial" w:hAnsi="Arial"/>
                <w:sz w:val="16"/>
                <w:szCs w:val="16"/>
                <w:color w:val="auto"/>
                <w:w w:val="93"/>
              </w:rPr>
              <w:t>International</w:t>
            </w:r>
          </w:p>
        </w:tc>
        <w:tc>
          <w:tcPr>
            <w:tcW w:w="0" w:type="dxa"/>
            <w:vAlign w:val="bottom"/>
          </w:tcPr>
          <w:p>
            <w:pPr>
              <w:spacing w:after="0"/>
              <w:rPr>
                <w:sz w:val="1"/>
                <w:szCs w:val="1"/>
                <w:color w:val="auto"/>
              </w:rPr>
            </w:pPr>
          </w:p>
        </w:tc>
      </w:tr>
      <w:tr>
        <w:trPr>
          <w:trHeight w:val="162"/>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Arial" w:cs="Arial" w:eastAsia="Arial" w:hAnsi="Arial"/>
                <w:sz w:val="16"/>
                <w:szCs w:val="16"/>
                <w:color w:val="auto"/>
                <w:w w:val="88"/>
              </w:rPr>
              <w:t>UFP Palets</w:t>
            </w:r>
          </w:p>
        </w:tc>
        <w:tc>
          <w:tcPr>
            <w:tcW w:w="1440" w:type="dxa"/>
            <w:vAlign w:val="bottom"/>
            <w:tcBorders>
              <w:bottom w:val="single" w:sz="8" w:color="auto"/>
              <w:right w:val="single" w:sz="8" w:color="auto"/>
            </w:tcBorders>
            <w:shd w:val="clear" w:color="auto" w:fill="CCEBFF"/>
          </w:tcPr>
          <w:p>
            <w:pPr>
              <w:spacing w:after="0"/>
              <w:rPr>
                <w:sz w:val="14"/>
                <w:szCs w:val="14"/>
                <w:color w:val="auto"/>
              </w:rPr>
            </w:pPr>
          </w:p>
        </w:tc>
        <w:tc>
          <w:tcPr>
            <w:tcW w:w="1760" w:type="dxa"/>
            <w:vAlign w:val="bottom"/>
            <w:tcBorders>
              <w:bottom w:val="single" w:sz="8" w:color="auto"/>
              <w:right w:val="single" w:sz="8" w:color="auto"/>
            </w:tcBorders>
            <w:shd w:val="clear" w:color="auto" w:fill="CCEBFF"/>
          </w:tcPr>
          <w:p>
            <w:pPr>
              <w:jc w:val="center"/>
              <w:spacing w:after="0" w:line="162" w:lineRule="exact"/>
              <w:rPr>
                <w:sz w:val="20"/>
                <w:szCs w:val="20"/>
                <w:color w:val="auto"/>
              </w:rPr>
            </w:pPr>
            <w:r>
              <w:rPr>
                <w:rFonts w:ascii="Arial" w:cs="Arial" w:eastAsia="Arial" w:hAnsi="Arial"/>
                <w:sz w:val="16"/>
                <w:szCs w:val="16"/>
                <w:color w:val="auto"/>
                <w:w w:val="92"/>
              </w:rPr>
              <w:t>equity method investment</w:t>
            </w:r>
          </w:p>
        </w:tc>
        <w:tc>
          <w:tcPr>
            <w:tcW w:w="120" w:type="dxa"/>
            <w:vAlign w:val="bottom"/>
            <w:tcBorders>
              <w:bottom w:val="single" w:sz="8" w:color="auto"/>
            </w:tcBorders>
            <w:shd w:val="clear" w:color="auto" w:fill="CCEBFF"/>
          </w:tcPr>
          <w:p>
            <w:pPr>
              <w:spacing w:after="0"/>
              <w:rPr>
                <w:sz w:val="14"/>
                <w:szCs w:val="14"/>
                <w:color w:val="auto"/>
              </w:rPr>
            </w:pPr>
          </w:p>
        </w:tc>
        <w:tc>
          <w:tcPr>
            <w:tcW w:w="1000" w:type="dxa"/>
            <w:vAlign w:val="bottom"/>
            <w:tcBorders>
              <w:bottom w:val="single" w:sz="8" w:color="auto"/>
              <w:right w:val="single" w:sz="8" w:color="auto"/>
            </w:tcBorders>
            <w:shd w:val="clear" w:color="auto" w:fill="CCEBFF"/>
          </w:tcPr>
          <w:p>
            <w:pPr>
              <w:spacing w:after="0"/>
              <w:rPr>
                <w:sz w:val="14"/>
                <w:szCs w:val="14"/>
                <w:color w:val="auto"/>
              </w:rPr>
            </w:pPr>
          </w:p>
        </w:tc>
        <w:tc>
          <w:tcPr>
            <w:tcW w:w="160" w:type="dxa"/>
            <w:vAlign w:val="bottom"/>
            <w:tcBorders>
              <w:bottom w:val="single" w:sz="8" w:color="auto"/>
            </w:tcBorders>
            <w:shd w:val="clear" w:color="auto" w:fill="CCEBFF"/>
          </w:tcPr>
          <w:p>
            <w:pPr>
              <w:spacing w:after="0"/>
              <w:rPr>
                <w:sz w:val="14"/>
                <w:szCs w:val="14"/>
                <w:color w:val="auto"/>
              </w:rPr>
            </w:pPr>
          </w:p>
        </w:tc>
        <w:tc>
          <w:tcPr>
            <w:tcW w:w="1000" w:type="dxa"/>
            <w:vAlign w:val="bottom"/>
            <w:tcBorders>
              <w:bottom w:val="single" w:sz="8" w:color="auto"/>
              <w:right w:val="single" w:sz="8" w:color="auto"/>
            </w:tcBorders>
            <w:shd w:val="clear" w:color="auto" w:fill="CCEBFF"/>
          </w:tcPr>
          <w:p>
            <w:pPr>
              <w:spacing w:after="0"/>
              <w:rPr>
                <w:sz w:val="14"/>
                <w:szCs w:val="14"/>
                <w:color w:val="auto"/>
              </w:rPr>
            </w:pPr>
          </w:p>
        </w:tc>
        <w:tc>
          <w:tcPr>
            <w:tcW w:w="880" w:type="dxa"/>
            <w:vAlign w:val="bottom"/>
            <w:tcBorders>
              <w:bottom w:val="single" w:sz="8" w:color="auto"/>
              <w:right w:val="single" w:sz="8" w:color="auto"/>
            </w:tcBorders>
            <w:shd w:val="clear" w:color="auto" w:fill="CCEB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5"/>
              </w:rPr>
              <w:t>Headquartered in Castellón, Spain, UFP Palets (formerly known as Palets Suller Group) is the</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w w:val="93"/>
              </w:rPr>
              <w:t>market leader in machine-built wood pallets, serving the region's large ceramic tile industry. The</w:t>
            </w: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6360" w:type="dxa"/>
            <w:vAlign w:val="bottom"/>
            <w:tcBorders>
              <w:bottom w:val="single" w:sz="8" w:color="auto"/>
              <w:right w:val="single" w:sz="8" w:color="auto"/>
            </w:tcBorders>
            <w:gridSpan w:val="7"/>
            <w:shd w:val="clear" w:color="auto" w:fill="CCEBFF"/>
          </w:tcPr>
          <w:p>
            <w:pPr>
              <w:spacing w:after="0"/>
              <w:rPr>
                <w:sz w:val="20"/>
                <w:szCs w:val="20"/>
                <w:color w:val="auto"/>
              </w:rPr>
            </w:pPr>
            <w:r>
              <w:rPr>
                <w:rFonts w:ascii="Arial" w:cs="Arial" w:eastAsia="Arial" w:hAnsi="Arial"/>
                <w:sz w:val="16"/>
                <w:szCs w:val="16"/>
                <w:color w:val="auto"/>
              </w:rPr>
              <w:t>company had trailing 12-month sales of approximately $38 million through August 2023.</w:t>
            </w:r>
          </w:p>
        </w:tc>
        <w:tc>
          <w:tcPr>
            <w:tcW w:w="0" w:type="dxa"/>
            <w:vAlign w:val="bottom"/>
          </w:tcPr>
          <w:p>
            <w:pPr>
              <w:spacing w:after="0"/>
              <w:rPr>
                <w:sz w:val="1"/>
                <w:szCs w:val="1"/>
                <w:color w:val="auto"/>
              </w:rPr>
            </w:pPr>
          </w:p>
        </w:tc>
      </w:tr>
      <w:tr>
        <w:trPr>
          <w:trHeight w:val="243"/>
        </w:trPr>
        <w:tc>
          <w:tcPr>
            <w:tcW w:w="2560" w:type="dxa"/>
            <w:vAlign w:val="bottom"/>
            <w:tcBorders>
              <w:left w:val="single" w:sz="8" w:color="auto"/>
              <w:right w:val="single" w:sz="8" w:color="auto"/>
            </w:tcBorders>
          </w:tcPr>
          <w:p>
            <w:pPr>
              <w:spacing w:after="0"/>
              <w:rPr>
                <w:sz w:val="21"/>
                <w:szCs w:val="21"/>
                <w:color w:val="auto"/>
              </w:rPr>
            </w:pPr>
          </w:p>
        </w:tc>
        <w:tc>
          <w:tcPr>
            <w:tcW w:w="1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December 6, 2022</w:t>
            </w:r>
          </w:p>
        </w:tc>
        <w:tc>
          <w:tcPr>
            <w:tcW w:w="1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$70,942 consideration for</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48,745</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22,197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Packaging</w:t>
            </w:r>
          </w:p>
        </w:tc>
        <w:tc>
          <w:tcPr>
            <w:tcW w:w="0" w:type="dxa"/>
            <w:vAlign w:val="bottom"/>
          </w:tcPr>
          <w:p>
            <w:pPr>
              <w:spacing w:after="0"/>
              <w:rPr>
                <w:sz w:val="1"/>
                <w:szCs w:val="1"/>
                <w:color w:val="auto"/>
              </w:rPr>
            </w:pPr>
          </w:p>
        </w:tc>
      </w:tr>
      <w:tr>
        <w:trPr>
          <w:trHeight w:val="162"/>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Titan Corrugated, Inc. (Titan) and All</w:t>
            </w:r>
          </w:p>
        </w:tc>
        <w:tc>
          <w:tcPr>
            <w:tcW w:w="1440" w:type="dxa"/>
            <w:vAlign w:val="bottom"/>
            <w:tcBorders>
              <w:bottom w:val="single" w:sz="8" w:color="auto"/>
              <w:right w:val="single" w:sz="8" w:color="auto"/>
            </w:tcBorders>
          </w:tcPr>
          <w:p>
            <w:pPr>
              <w:spacing w:after="0"/>
              <w:rPr>
                <w:sz w:val="14"/>
                <w:szCs w:val="14"/>
                <w:color w:val="auto"/>
              </w:rPr>
            </w:pPr>
          </w:p>
        </w:tc>
        <w:tc>
          <w:tcPr>
            <w:tcW w:w="176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w w:val="88"/>
              </w:rPr>
              <w:t>100% asset purchase</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60" w:type="dxa"/>
            <w:vAlign w:val="bottom"/>
            <w:tcBorders>
              <w:left w:val="single" w:sz="8" w:color="auto"/>
              <w:right w:val="single" w:sz="8" w:color="auto"/>
            </w:tcBorders>
            <w:vMerge w:val="continue"/>
          </w:tcPr>
          <w:p>
            <w:pPr>
              <w:spacing w:after="0"/>
              <w:rPr>
                <w:sz w:val="15"/>
                <w:szCs w:val="15"/>
                <w:color w:val="auto"/>
              </w:rPr>
            </w:pPr>
          </w:p>
        </w:tc>
        <w:tc>
          <w:tcPr>
            <w:tcW w:w="6360" w:type="dxa"/>
            <w:vAlign w:val="bottom"/>
            <w:tcBorders>
              <w:right w:val="single" w:sz="8" w:color="auto"/>
            </w:tcBorders>
            <w:gridSpan w:val="7"/>
          </w:tcPr>
          <w:p>
            <w:pPr>
              <w:spacing w:after="0" w:line="173" w:lineRule="exact"/>
              <w:rPr>
                <w:sz w:val="20"/>
                <w:szCs w:val="20"/>
                <w:color w:val="auto"/>
              </w:rPr>
            </w:pPr>
            <w:r>
              <w:rPr>
                <w:rFonts w:ascii="Arial" w:cs="Arial" w:eastAsia="Arial" w:hAnsi="Arial"/>
                <w:sz w:val="16"/>
                <w:szCs w:val="16"/>
                <w:color w:val="auto"/>
                <w:w w:val="92"/>
              </w:rPr>
              <w:t>Located in Flower Mound, TX and founded in 2003, Titan’s primary products include boxes used</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Boxed Up, LLC (ABU)</w:t>
            </w:r>
          </w:p>
        </w:tc>
        <w:tc>
          <w:tcPr>
            <w:tcW w:w="63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in moving and storage, jumbo boxes for industrial products, corrugated shipping containers, and</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point-of-purchase displays. ABU distributes common box sizes manufactured by Titan</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throughout the United States. The combined companies had trailing 12-month sales through</w:t>
            </w:r>
          </w:p>
        </w:tc>
        <w:tc>
          <w:tcPr>
            <w:tcW w:w="0" w:type="dxa"/>
            <w:vAlign w:val="bottom"/>
          </w:tcPr>
          <w:p>
            <w:pPr>
              <w:spacing w:after="0"/>
              <w:rPr>
                <w:sz w:val="1"/>
                <w:szCs w:val="1"/>
                <w:color w:val="auto"/>
              </w:rPr>
            </w:pPr>
          </w:p>
        </w:tc>
      </w:tr>
      <w:tr>
        <w:trPr>
          <w:trHeight w:val="219"/>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3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October 2022 of approximately $46.5 million.</w:t>
            </w:r>
          </w:p>
        </w:tc>
        <w:tc>
          <w:tcPr>
            <w:tcW w:w="10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purchase accounting valuation of the UFP Palets investment is yet to be finalized. The allocation of intangible assets for Titan and ABU are final. In aggregate, investments completed since the end of the third quarter of 2022 and not consolidated with other operations contributed approximately $32.6 million in net sales and $2.0 million in operating profits during the first nine months of 2023.</w:t>
      </w:r>
    </w:p>
    <w:p>
      <w:pPr>
        <w:spacing w:after="0" w:line="187"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business combinations mentioned above were not significant to our operating results individually or in aggregate, and thus pro forma results for 2023 and 2022 are not presented.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560" w:hanging="510"/>
        <w:spacing w:after="0"/>
        <w:tabs>
          <w:tab w:leader="none" w:pos="5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We operate manufacturing, treating and distribution facilities internationally, but primarily in the United States. Our business segments consist of UFP Retail Solutions, UFP Packaging (formerly known as UFP Industrial)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Packaging, and Construction segments. In the case of locations that serve multiple segments, results are allocated and accounted for by segment.</w:t>
      </w:r>
    </w:p>
    <w:p>
      <w:pPr>
        <w:spacing w:after="0" w:line="192"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The exception to this market-centered reporting and management structure is our International segment, which comprises our Mexico, Canada, Europe, India, and Australia operations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52" w:lineRule="exact"/>
        <w:rPr>
          <w:sz w:val="20"/>
          <w:szCs w:val="20"/>
          <w:color w:val="auto"/>
        </w:rPr>
      </w:pPr>
    </w:p>
    <w:p>
      <w:pPr>
        <w:jc w:val="both"/>
        <w:ind w:left="60" w:right="59" w:firstLine="492"/>
        <w:spacing w:after="0" w:line="270" w:lineRule="auto"/>
        <w:rPr>
          <w:sz w:val="20"/>
          <w:szCs w:val="20"/>
          <w:color w:val="auto"/>
        </w:rPr>
      </w:pPr>
      <w:r>
        <w:rPr>
          <w:rFonts w:ascii="Arial" w:cs="Arial" w:eastAsia="Arial" w:hAnsi="Arial"/>
          <w:sz w:val="17"/>
          <w:szCs w:val="17"/>
          <w:color w:val="auto"/>
        </w:rPr>
        <w:t>“Corporate” includes purchasing, transportation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certain property, equipment and other assets pertaining to the centralized activities of Corporate, UFP Real Estate, Inc., UFP Transportation, Inc., UFP Purchasing, Inc., and UFP RMS, LLC. The tables below are presented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21"/>
          </w:tcPr>
          <w:p>
            <w:pPr>
              <w:ind w:left="680"/>
              <w:spacing w:after="0"/>
              <w:rPr>
                <w:sz w:val="20"/>
                <w:szCs w:val="20"/>
                <w:color w:val="auto"/>
              </w:rPr>
            </w:pPr>
            <w:r>
              <w:rPr>
                <w:rFonts w:ascii="Arial" w:cs="Arial" w:eastAsia="Arial" w:hAnsi="Arial"/>
                <w:sz w:val="14"/>
                <w:szCs w:val="14"/>
                <w:b w:val="1"/>
                <w:bCs w:val="1"/>
                <w:color w:val="auto"/>
              </w:rPr>
              <w:t>Three Months Ended September 30, 2023</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2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Packaging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Construction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5"/>
          </w:tcPr>
          <w:p>
            <w:pPr>
              <w:ind w:left="8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$ 711,381</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$ 449,885</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$ 583,960</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81,426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1,827,637</w:t>
            </w:r>
          </w:p>
        </w:tc>
        <w:tc>
          <w:tcPr>
            <w:tcW w:w="20" w:type="dxa"/>
            <w:vAlign w:val="bottom"/>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102,190</w:t>
            </w:r>
          </w:p>
        </w:tc>
        <w:tc>
          <w:tcPr>
            <w:tcW w:w="940" w:type="dxa"/>
            <w:vAlign w:val="bottom"/>
            <w:gridSpan w:val="5"/>
          </w:tcPr>
          <w:p>
            <w:pPr>
              <w:jc w:val="right"/>
              <w:ind w:right="20"/>
              <w:spacing w:after="0"/>
              <w:rPr>
                <w:sz w:val="20"/>
                <w:szCs w:val="20"/>
                <w:color w:val="auto"/>
              </w:rPr>
            </w:pPr>
            <w:r>
              <w:rPr>
                <w:rFonts w:ascii="Arial" w:cs="Arial" w:eastAsia="Arial" w:hAnsi="Arial"/>
                <w:sz w:val="18"/>
                <w:szCs w:val="18"/>
                <w:color w:val="auto"/>
              </w:rPr>
              <w:t>16,910</w:t>
            </w:r>
          </w:p>
        </w:tc>
        <w:tc>
          <w:tcPr>
            <w:tcW w:w="4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24,194</w:t>
            </w:r>
          </w:p>
        </w:tc>
        <w:tc>
          <w:tcPr>
            <w:tcW w:w="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58,903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(202,197)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45,349</w:t>
            </w:r>
          </w:p>
        </w:tc>
        <w:tc>
          <w:tcPr>
            <w:tcW w:w="9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41,429</w:t>
            </w:r>
          </w:p>
        </w:tc>
        <w:tc>
          <w:tcPr>
            <w:tcW w:w="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69,560</w:t>
            </w:r>
          </w:p>
        </w:tc>
        <w:tc>
          <w:tcPr>
            <w:tcW w:w="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167,332</w:t>
            </w:r>
          </w:p>
        </w:tc>
        <w:tc>
          <w:tcPr>
            <w:tcW w:w="20" w:type="dxa"/>
            <w:vAlign w:val="bottom"/>
          </w:tcPr>
          <w:p>
            <w:pPr>
              <w:spacing w:after="0"/>
              <w:rPr>
                <w:sz w:val="18"/>
                <w:szCs w:val="18"/>
                <w:color w:val="auto"/>
              </w:rPr>
            </w:pPr>
          </w:p>
        </w:tc>
      </w:tr>
      <w:tr>
        <w:trPr>
          <w:trHeight w:val="412"/>
        </w:trPr>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1"/>
          </w:tcPr>
          <w:p>
            <w:pPr>
              <w:ind w:left="680"/>
              <w:spacing w:after="0"/>
              <w:rPr>
                <w:sz w:val="20"/>
                <w:szCs w:val="20"/>
                <w:color w:val="auto"/>
              </w:rPr>
            </w:pPr>
            <w:r>
              <w:rPr>
                <w:rFonts w:ascii="Arial" w:cs="Arial" w:eastAsia="Arial" w:hAnsi="Arial"/>
                <w:sz w:val="14"/>
                <w:szCs w:val="14"/>
                <w:b w:val="1"/>
                <w:bCs w:val="1"/>
                <w:color w:val="auto"/>
              </w:rPr>
              <w:t>Three Months Ended September 24,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2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Packaging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Construction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$ 845,304</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$ 584,808</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$ 777,126</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$ 112,203</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2,322,855</w:t>
            </w:r>
          </w:p>
        </w:tc>
        <w:tc>
          <w:tcPr>
            <w:tcW w:w="20" w:type="dxa"/>
            <w:vAlign w:val="bottom"/>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87,362</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19,778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31,352</w:t>
            </w:r>
          </w:p>
        </w:tc>
        <w:tc>
          <w:tcPr>
            <w:tcW w:w="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102,927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(241,419)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28,932</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77,298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110,384</w:t>
            </w:r>
          </w:p>
        </w:tc>
        <w:tc>
          <w:tcPr>
            <w:tcW w:w="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237,044</w:t>
            </w:r>
          </w:p>
        </w:tc>
        <w:tc>
          <w:tcPr>
            <w:tcW w:w="20" w:type="dxa"/>
            <w:vAlign w:val="bottom"/>
          </w:tcPr>
          <w:p>
            <w:pPr>
              <w:spacing w:after="0"/>
              <w:rPr>
                <w:sz w:val="18"/>
                <w:szCs w:val="18"/>
                <w:color w:val="auto"/>
              </w:rPr>
            </w:pPr>
          </w:p>
        </w:tc>
      </w:tr>
      <w:tr>
        <w:trPr>
          <w:trHeight w:val="385"/>
        </w:trPr>
        <w:tc>
          <w:tcPr>
            <w:tcW w:w="2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1"/>
          </w:tcPr>
          <w:p>
            <w:pPr>
              <w:ind w:left="560"/>
              <w:spacing w:after="0"/>
              <w:rPr>
                <w:sz w:val="20"/>
                <w:szCs w:val="20"/>
                <w:color w:val="auto"/>
              </w:rPr>
            </w:pPr>
            <w:r>
              <w:rPr>
                <w:rFonts w:ascii="Arial" w:cs="Arial" w:eastAsia="Arial" w:hAnsi="Arial"/>
                <w:sz w:val="14"/>
                <w:szCs w:val="14"/>
                <w:b w:val="1"/>
                <w:bCs w:val="1"/>
                <w:color w:val="auto"/>
              </w:rPr>
              <w:t>Nine Months Ended September 30, 2023</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2820" w:type="dxa"/>
            <w:vAlign w:val="bottom"/>
          </w:tcPr>
          <w:p>
            <w:pPr>
              <w:spacing w:after="0"/>
              <w:rPr>
                <w:sz w:val="13"/>
                <w:szCs w:val="13"/>
                <w:color w:val="auto"/>
              </w:rPr>
            </w:pPr>
          </w:p>
        </w:tc>
        <w:tc>
          <w:tcPr>
            <w:tcW w:w="106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3"/>
                <w:szCs w:val="13"/>
                <w:color w:val="auto"/>
              </w:rPr>
            </w:pPr>
          </w:p>
        </w:tc>
        <w:tc>
          <w:tcPr>
            <w:tcW w:w="96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rPr>
              <w:t>Packaging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Construction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$ 2,380,956</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$ 1,424,546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0"/>
              </w:rPr>
              <w:t>$ 1,650,017</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$ 235,162</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5,694,031</w:t>
            </w:r>
          </w:p>
        </w:tc>
        <w:tc>
          <w:tcPr>
            <w:tcW w:w="20" w:type="dxa"/>
            <w:vAlign w:val="bottom"/>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524,033</w:t>
            </w:r>
          </w:p>
        </w:tc>
        <w:tc>
          <w:tcPr>
            <w:tcW w:w="1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57,936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73,584</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211,870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(867,423)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146,585</w:t>
            </w: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153,025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185,767</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17,519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522,537</w:t>
            </w:r>
          </w:p>
        </w:tc>
        <w:tc>
          <w:tcPr>
            <w:tcW w:w="20" w:type="dxa"/>
            <w:vAlign w:val="bottom"/>
          </w:tcPr>
          <w:p>
            <w:pPr>
              <w:spacing w:after="0"/>
              <w:rPr>
                <w:sz w:val="18"/>
                <w:szCs w:val="18"/>
                <w:color w:val="auto"/>
              </w:rPr>
            </w:pPr>
          </w:p>
        </w:tc>
      </w:tr>
      <w:tr>
        <w:trPr>
          <w:trHeight w:val="385"/>
        </w:trPr>
        <w:tc>
          <w:tcPr>
            <w:tcW w:w="28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21"/>
          </w:tcPr>
          <w:p>
            <w:pPr>
              <w:ind w:left="560"/>
              <w:spacing w:after="0"/>
              <w:rPr>
                <w:sz w:val="20"/>
                <w:szCs w:val="20"/>
                <w:color w:val="auto"/>
              </w:rPr>
            </w:pPr>
            <w:r>
              <w:rPr>
                <w:rFonts w:ascii="Arial" w:cs="Arial" w:eastAsia="Arial" w:hAnsi="Arial"/>
                <w:sz w:val="14"/>
                <w:szCs w:val="14"/>
                <w:b w:val="1"/>
                <w:bCs w:val="1"/>
                <w:color w:val="auto"/>
              </w:rPr>
              <w:t>Nine Months Ended September 24,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2820" w:type="dxa"/>
            <w:vAlign w:val="bottom"/>
          </w:tcPr>
          <w:p>
            <w:pPr>
              <w:spacing w:after="0"/>
              <w:rPr>
                <w:sz w:val="13"/>
                <w:szCs w:val="13"/>
                <w:color w:val="auto"/>
              </w:rPr>
            </w:pPr>
          </w:p>
        </w:tc>
        <w:tc>
          <w:tcPr>
            <w:tcW w:w="1060" w:type="dxa"/>
            <w:vAlign w:val="bottom"/>
            <w:gridSpan w:val="4"/>
          </w:tcPr>
          <w:p>
            <w:pPr>
              <w:jc w:val="right"/>
              <w:ind w:right="420"/>
              <w:spacing w:after="0" w:line="149" w:lineRule="exact"/>
              <w:rPr>
                <w:sz w:val="20"/>
                <w:szCs w:val="20"/>
                <w:color w:val="auto"/>
              </w:rPr>
            </w:pPr>
            <w:r>
              <w:rPr>
                <w:rFonts w:ascii="Arial" w:cs="Arial" w:eastAsia="Arial" w:hAnsi="Arial"/>
                <w:sz w:val="14"/>
                <w:szCs w:val="14"/>
                <w:b w:val="1"/>
                <w:bCs w:val="1"/>
                <w:color w:val="auto"/>
              </w:rPr>
              <w:t>Retail</w:t>
            </w:r>
          </w:p>
        </w:tc>
        <w:tc>
          <w:tcPr>
            <w:tcW w:w="20" w:type="dxa"/>
            <w:vAlign w:val="bottom"/>
          </w:tcPr>
          <w:p>
            <w:pPr>
              <w:spacing w:after="0"/>
              <w:rPr>
                <w:sz w:val="13"/>
                <w:szCs w:val="13"/>
                <w:color w:val="auto"/>
              </w:rPr>
            </w:pPr>
          </w:p>
        </w:tc>
        <w:tc>
          <w:tcPr>
            <w:tcW w:w="96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rPr>
              <w:t>Packaging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Construction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15"/>
              <w:spacing w:after="0" w:line="149"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 to outside customers</w:t>
            </w: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$ 2,959,976</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8"/>
              </w:rPr>
              <w:t>$ 1,872,510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0"/>
              </w:rPr>
              <w:t>$ 2,538,973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$ 332,186</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7,713,042</w:t>
            </w:r>
          </w:p>
        </w:tc>
        <w:tc>
          <w:tcPr>
            <w:tcW w:w="20" w:type="dxa"/>
            <w:vAlign w:val="bottom"/>
          </w:tcPr>
          <w:p>
            <w:pPr>
              <w:spacing w:after="0"/>
              <w:rPr>
                <w:sz w:val="18"/>
                <w:szCs w:val="18"/>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Intersegment net sales</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220,922</w:t>
            </w:r>
          </w:p>
        </w:tc>
        <w:tc>
          <w:tcPr>
            <w:tcW w:w="14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63,438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5"/>
          </w:tcPr>
          <w:p>
            <w:pPr>
              <w:jc w:val="right"/>
              <w:ind w:right="40"/>
              <w:spacing w:after="0"/>
              <w:rPr>
                <w:sz w:val="20"/>
                <w:szCs w:val="20"/>
                <w:color w:val="auto"/>
              </w:rPr>
            </w:pPr>
            <w:r>
              <w:rPr>
                <w:rFonts w:ascii="Arial" w:cs="Arial" w:eastAsia="Arial" w:hAnsi="Arial"/>
                <w:sz w:val="18"/>
                <w:szCs w:val="18"/>
                <w:color w:val="auto"/>
              </w:rPr>
              <w:t>88,570</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338,592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w w:val="98"/>
              </w:rPr>
              <w:t>(711,522)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operations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124,856</w:t>
            </w: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253,899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322,034</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51,268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781,635</w:t>
            </w:r>
          </w:p>
        </w:tc>
        <w:tc>
          <w:tcPr>
            <w:tcW w:w="20" w:type="dxa"/>
            <w:vAlign w:val="bottom"/>
          </w:tcPr>
          <w:p>
            <w:pPr>
              <w:spacing w:after="0"/>
              <w:rPr>
                <w:sz w:val="18"/>
                <w:szCs w:val="18"/>
                <w:color w:val="auto"/>
              </w:rPr>
            </w:pPr>
          </w:p>
        </w:tc>
      </w:tr>
      <w:tr>
        <w:trPr>
          <w:trHeight w:val="648"/>
        </w:trPr>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4"/>
          </w:tcPr>
          <w:p>
            <w:pPr>
              <w:jc w:val="center"/>
              <w:ind w:left="170"/>
              <w:spacing w:after="0"/>
              <w:rPr>
                <w:sz w:val="20"/>
                <w:szCs w:val="20"/>
                <w:color w:val="auto"/>
              </w:rPr>
            </w:pPr>
            <w:r>
              <w:rPr>
                <w:rFonts w:ascii="Arial" w:cs="Arial" w:eastAsia="Arial" w:hAnsi="Arial"/>
                <w:sz w:val="18"/>
                <w:szCs w:val="18"/>
                <w:color w:val="auto"/>
                <w:w w:val="89"/>
              </w:rPr>
              <w:t>14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2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00" w:lineRule="exact"/>
        <w:rPr>
          <w:sz w:val="20"/>
          <w:szCs w:val="20"/>
          <w:color w:val="auto"/>
        </w:rPr>
      </w:pPr>
    </w:p>
    <w:p>
      <w:pPr>
        <w:spacing w:after="0" w:line="24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following table presents goodwill by segment as of September 30, 2023, and December 31, 2022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68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Retail</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Packaging</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Corporate</w:t>
            </w:r>
          </w:p>
        </w:tc>
        <w:tc>
          <w:tcPr>
            <w:tcW w:w="82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16"/>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$ 84,640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$ 148,909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87,670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$ 16,101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$ 337,320</w:t>
            </w:r>
          </w:p>
        </w:tc>
      </w:tr>
      <w:tr>
        <w:trPr>
          <w:trHeight w:val="216"/>
        </w:trPr>
        <w:tc>
          <w:tcPr>
            <w:tcW w:w="3680" w:type="dxa"/>
            <w:vAlign w:val="bottom"/>
          </w:tcPr>
          <w:p>
            <w:pPr>
              <w:ind w:left="20"/>
              <w:spacing w:after="0"/>
              <w:rPr>
                <w:sz w:val="20"/>
                <w:szCs w:val="20"/>
                <w:color w:val="auto"/>
              </w:rPr>
            </w:pPr>
            <w:r>
              <w:rPr>
                <w:rFonts w:ascii="Arial" w:cs="Arial" w:eastAsia="Arial" w:hAnsi="Arial"/>
                <w:sz w:val="18"/>
                <w:szCs w:val="18"/>
                <w:color w:val="auto"/>
              </w:rPr>
              <w:t>2023 Acquisitions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Purchase Accounting Adjustments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(979)</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(7,867)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(8,846)</w:t>
            </w: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Foreign Exchange, Net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c>
          <w:tcPr>
            <w:tcW w:w="26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16"/>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$ 83,661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$ 141,042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$ 15,808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$ 328,221</w:t>
            </w:r>
          </w:p>
        </w:tc>
      </w:tr>
      <w:tr>
        <w:trPr>
          <w:trHeight w:val="20"/>
        </w:trPr>
        <w:tc>
          <w:tcPr>
            <w:tcW w:w="3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 presents total assets by segment as of September 30, 2023, and December 31, 2022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w w:val="87"/>
              </w:rPr>
              <w:t>Total Assets by Segment</w:t>
            </w: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0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1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71"/>
        </w:trPr>
        <w:tc>
          <w:tcPr>
            <w:tcW w:w="598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 Classification</w:t>
            </w:r>
          </w:p>
        </w:tc>
        <w:tc>
          <w:tcPr>
            <w:tcW w:w="120" w:type="dxa"/>
            <w:vAlign w:val="bottom"/>
          </w:tcPr>
          <w:p>
            <w:pPr>
              <w:spacing w:after="0"/>
              <w:rPr>
                <w:sz w:val="14"/>
                <w:szCs w:val="14"/>
                <w:color w:val="auto"/>
              </w:rPr>
            </w:pPr>
          </w:p>
        </w:tc>
        <w:tc>
          <w:tcPr>
            <w:tcW w:w="8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2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Borders>
              <w:bottom w:val="single" w:sz="8" w:color="CCEEFF"/>
              <w:right w:val="single" w:sz="8" w:color="auto"/>
            </w:tcBorders>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5980" w:type="dxa"/>
            <w:vAlign w:val="bottom"/>
            <w:gridSpan w:val="3"/>
            <w:shd w:val="clear" w:color="auto" w:fill="CCEEFF"/>
          </w:tcPr>
          <w:p>
            <w:pPr>
              <w:ind w:left="20"/>
              <w:spacing w:after="0" w:line="203" w:lineRule="exact"/>
              <w:rPr>
                <w:sz w:val="20"/>
                <w:szCs w:val="20"/>
                <w:color w:val="auto"/>
              </w:rPr>
            </w:pPr>
            <w:r>
              <w:rPr>
                <w:rFonts w:ascii="Arial" w:cs="Arial" w:eastAsia="Arial" w:hAnsi="Arial"/>
                <w:sz w:val="18"/>
                <w:szCs w:val="18"/>
                <w:color w:val="auto"/>
              </w:rPr>
              <w:t>Retail</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868,021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889,417</w:t>
            </w:r>
          </w:p>
        </w:tc>
        <w:tc>
          <w:tcPr>
            <w:tcW w:w="20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(2.4)%</w:t>
            </w:r>
          </w:p>
        </w:tc>
      </w:tr>
      <w:tr>
        <w:trPr>
          <w:trHeight w:val="216"/>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Packaging</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819,566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885,878</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712,837</w:t>
            </w:r>
          </w:p>
        </w:tc>
        <w:tc>
          <w:tcPr>
            <w:tcW w:w="2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349,786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308,688</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r>
      <w:tr>
        <w:trPr>
          <w:trHeight w:val="236"/>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1,276,920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875,253</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03"/>
        </w:trPr>
        <w:tc>
          <w:tcPr>
            <w:tcW w:w="598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4,004,084</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3,672,073</w:t>
            </w:r>
          </w:p>
        </w:tc>
        <w:tc>
          <w:tcPr>
            <w:tcW w:w="20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9.0</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hanging="510"/>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Effective tax rates differ from statutory federal income tax rates, primarily due to provisions for foreign, state and local income taxes and permanent tax differences. Our effective tax rate was 22.7% in the third quarter of 2023 compared to 25.4% in the same period of 2022 and was 23.3% in the first nine months of 2023 compared to 24.8% for the same period in 2022. The decrease in our overall effective tax rate was primarily due to an increase in our tax deduction from stock-based compensation accounted for as a permanent difference and an increase in our R&amp;D tax credit.</w:t>
      </w:r>
    </w:p>
    <w:p>
      <w:pPr>
        <w:spacing w:after="0" w:line="171" w:lineRule="exact"/>
        <w:rPr>
          <w:sz w:val="20"/>
          <w:szCs w:val="20"/>
          <w:color w:val="auto"/>
        </w:rPr>
      </w:pPr>
    </w:p>
    <w:p>
      <w:pPr>
        <w:ind w:left="480" w:hanging="430"/>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319" w:firstLine="492"/>
        <w:spacing w:after="0" w:line="277" w:lineRule="auto"/>
        <w:rPr>
          <w:sz w:val="20"/>
          <w:szCs w:val="20"/>
          <w:color w:val="auto"/>
        </w:rPr>
      </w:pPr>
      <w:r>
        <w:rPr>
          <w:rFonts w:ascii="Arial" w:cs="Arial" w:eastAsia="Arial" w:hAnsi="Arial"/>
          <w:sz w:val="18"/>
          <w:szCs w:val="18"/>
          <w:color w:val="auto"/>
        </w:rPr>
        <w:t>Below is a summary of common stock issuances for the first nine months of 2023 and 2022 (in thousands, except average share price):</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7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53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1800" w:type="dxa"/>
            <w:vAlign w:val="bottom"/>
            <w:gridSpan w:val="2"/>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6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1800" w:type="dxa"/>
            <w:vAlign w:val="bottom"/>
            <w:tcBorders>
              <w:bottom w:val="single" w:sz="8" w:color="auto"/>
            </w:tcBorders>
            <w:gridSpan w:val="2"/>
            <w:vMerge w:val="continue"/>
          </w:tcPr>
          <w:p>
            <w:pPr>
              <w:spacing w:after="0"/>
              <w:rPr>
                <w:sz w:val="11"/>
                <w:szCs w:val="11"/>
                <w:color w:val="auto"/>
              </w:rPr>
            </w:pPr>
          </w:p>
        </w:tc>
        <w:tc>
          <w:tcPr>
            <w:tcW w:w="53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 issued under the bonus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756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60"/>
              <w:spacing w:after="0"/>
              <w:rPr>
                <w:sz w:val="20"/>
                <w:szCs w:val="20"/>
                <w:color w:val="auto"/>
              </w:rPr>
            </w:pPr>
            <w:r>
              <w:rPr>
                <w:rFonts w:ascii="Arial" w:cs="Arial" w:eastAsia="Arial" w:hAnsi="Arial"/>
                <w:sz w:val="18"/>
                <w:szCs w:val="18"/>
                <w:color w:val="auto"/>
              </w:rPr>
              <w:t>Shares issued under the executive stock match plan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2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821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86.69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44"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During the first nine months of 2023, we repurchased 766,812 shares of our common stock at an average share price of $80.95.</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7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September 24, 2022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8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vMerge w:val="restart"/>
          </w:tcPr>
          <w:p>
            <w:pPr>
              <w:spacing w:after="0" w:line="192" w:lineRule="exact"/>
              <w:rPr>
                <w:sz w:val="20"/>
                <w:szCs w:val="20"/>
                <w:color w:val="auto"/>
              </w:rPr>
            </w:pPr>
            <w:r>
              <w:rPr>
                <w:rFonts w:ascii="Arial" w:cs="Arial" w:eastAsia="Arial" w:hAnsi="Arial"/>
                <w:sz w:val="18"/>
                <w:szCs w:val="18"/>
                <w:b w:val="1"/>
                <w:bCs w:val="1"/>
                <w:color w:val="auto"/>
                <w:w w:val="88"/>
              </w:rPr>
              <w:t>Share Issuance Activity</w:t>
            </w:r>
          </w:p>
        </w:tc>
        <w:tc>
          <w:tcPr>
            <w:tcW w:w="5340" w:type="dxa"/>
            <w:vAlign w:val="bottom"/>
          </w:tcPr>
          <w:p>
            <w:pPr>
              <w:spacing w:after="0"/>
              <w:rPr>
                <w:sz w:val="7"/>
                <w:szCs w:val="7"/>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tcBorders>
              <w:bottom w:val="single" w:sz="8" w:color="auto"/>
            </w:tcBorders>
            <w:vMerge w:val="continue"/>
          </w:tcPr>
          <w:p>
            <w:pPr>
              <w:spacing w:after="0"/>
              <w:rPr>
                <w:sz w:val="11"/>
                <w:szCs w:val="11"/>
                <w:color w:val="auto"/>
              </w:rPr>
            </w:pPr>
          </w:p>
        </w:tc>
        <w:tc>
          <w:tcPr>
            <w:tcW w:w="53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Shares issued under the employee stock purchase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employee stock gift program</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director retainer stock program</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83.24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under the bonus plan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755</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180"/>
              <w:spacing w:after="0"/>
              <w:rPr>
                <w:sz w:val="20"/>
                <w:szCs w:val="20"/>
                <w:color w:val="auto"/>
              </w:rPr>
            </w:pPr>
            <w:r>
              <w:rPr>
                <w:rFonts w:ascii="Arial" w:cs="Arial" w:eastAsia="Arial" w:hAnsi="Arial"/>
                <w:sz w:val="18"/>
                <w:szCs w:val="18"/>
                <w:color w:val="auto"/>
              </w:rPr>
              <w:t>Shares issued under the executive stock grants plan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2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82.87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Forfeitures</w:t>
            </w: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(13)</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Total shares issued under stock grant programs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809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82.73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ind w:left="20"/>
              <w:spacing w:after="0"/>
              <w:rPr>
                <w:sz w:val="20"/>
                <w:szCs w:val="20"/>
                <w:color w:val="auto"/>
              </w:rPr>
            </w:pPr>
            <w:r>
              <w:rPr>
                <w:rFonts w:ascii="Arial" w:cs="Arial" w:eastAsia="Arial" w:hAnsi="Arial"/>
                <w:sz w:val="18"/>
                <w:szCs w:val="18"/>
                <w:color w:val="auto"/>
              </w:rPr>
              <w:t>Shares issued under the deferred compensation plans</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82.36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319" w:firstLine="492"/>
        <w:spacing w:after="0" w:line="277" w:lineRule="auto"/>
        <w:rPr>
          <w:sz w:val="20"/>
          <w:szCs w:val="20"/>
          <w:color w:val="auto"/>
        </w:rPr>
      </w:pPr>
      <w:r>
        <w:rPr>
          <w:rFonts w:ascii="Arial" w:cs="Arial" w:eastAsia="Arial" w:hAnsi="Arial"/>
          <w:sz w:val="18"/>
          <w:szCs w:val="18"/>
          <w:color w:val="auto"/>
        </w:rPr>
        <w:t>During the first nine months of 2022, we repurchased approximately 1,210,000 shares of our common stock at an average share price of $77.06.</w:t>
      </w:r>
    </w:p>
    <w:p>
      <w:pPr>
        <w:spacing w:after="0" w:line="166" w:lineRule="exact"/>
        <w:rPr>
          <w:sz w:val="20"/>
          <w:szCs w:val="20"/>
          <w:color w:val="auto"/>
        </w:rPr>
      </w:pPr>
    </w:p>
    <w:p>
      <w:pPr>
        <w:ind w:left="500" w:hanging="450"/>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Inventories are stated at the lower of cost or net realizable value. The cost of inventories includes raw materials, direct labor, and manufacturing overhead and is determined using the weighted average cost method. Raw materials consist primarily of unfinished wood products and other materials expected to be manufactured or treated prior to sale, while finished goods represent various manufactured and treated wood products ready for sale.</w:t>
      </w:r>
    </w:p>
    <w:p>
      <w:pPr>
        <w:spacing w:after="0" w:line="171"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We write down the value of inventory, the impact of which is reflected in cost of goods sold in the Condensed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 lower of cost or net realizable value adjustment to inventory were not significant as of September 30, 2023 and September 24, 2022.</w:t>
      </w:r>
    </w:p>
    <w:p>
      <w:pPr>
        <w:spacing w:after="0" w:line="373" w:lineRule="exact"/>
        <w:rPr>
          <w:sz w:val="20"/>
          <w:szCs w:val="20"/>
          <w:color w:val="auto"/>
        </w:rPr>
      </w:pPr>
    </w:p>
    <w:p>
      <w:pPr>
        <w:ind w:left="560" w:hanging="510"/>
        <w:spacing w:after="0"/>
        <w:tabs>
          <w:tab w:leader="none" w:pos="5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Subsequent to our reporting date, we repurchased 208,057 shares for $20.1 million, at an average share price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$96.48.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UFP Industries, Inc. is a holding company with subsidiaries in North America, Europe, Asia, and Australia that design, manufacture, and supply products made from wood, wood and non-wood composites, and other materials to three segments: retail, packaging, and construction. Our business segments are functionally interdependent and are supported by common corporate services, such as accounting and finance, information technology, human resources, marketing, purchasing, transportation, legal and compliance, among others. We regularly invest in automation and implement best practices to improve the efficiency of our manufacturing facilities across each of the segments. The results and improvements from these investments are shared among the segments. This exchange of ideas drives faster innovation for new products, processes, and product improvements. While the majority of our facilities serve only one business segment, many of our larger facilities serve two or more segments.</w:t>
      </w:r>
    </w:p>
    <w:p>
      <w:pPr>
        <w:spacing w:after="0" w:line="18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believe that our operating structure allows us to better evaluate market conditions and opportunities and more effectively allocate capital and resources to the appropriate segments and business units. Also, we believe our diversification and manner in which we operate our business provide an inherent hedge against the business cycles our end markets experience and over which we have limited control. Accordingly, we have the ability to provide more stable earnings and cash flows to our shareholders. Our diversification and operating practices also mitigate the impact that more volatile lumber market conditions have on traditional lumber companies. We are headquartered in Grand Rapids, Mich. For more information about UFP Industries, Inc., or its affiliated operations, go to www.ufpi.com.</w:t>
      </w:r>
    </w:p>
    <w:p>
      <w:pPr>
        <w:spacing w:after="0" w:line="177"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We do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currency and inflation; fluctuations in the price of lumber; adverse economic conditions in the markets we serve; concentration of sales to customers; vertical integration strategies; excess capacity or supply chain challenges; our ability to make successful business acquisitions; government regulations, particularly involving environmental and safety regulations; adverse or unusual weather conditions; inbound and outbound transportation costs; alternatives to replace treated wood products; Cybersecurity breaches; tariffs on import and export sales; and potential pandemics. Certain of these risk factors as well as other risk factors and additional information are included in our reports on Form 10-K and 10-Q on file with the Securities and Exchange Commission. We are pleased to present this overview of the third quarter of 2023.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results for the third quarter of 2023 include the following highlights:</w:t>
      </w:r>
    </w:p>
    <w:p>
      <w:pPr>
        <w:spacing w:after="0" w:line="225" w:lineRule="exact"/>
        <w:rPr>
          <w:sz w:val="20"/>
          <w:szCs w:val="20"/>
          <w:color w:val="auto"/>
        </w:rPr>
      </w:pPr>
    </w:p>
    <w:p>
      <w:pPr>
        <w:jc w:val="both"/>
        <w:ind w:left="880" w:right="79" w:hanging="317"/>
        <w:spacing w:after="0" w:line="296" w:lineRule="auto"/>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net sales decreased 21% compared to the third quarter of 2022, which was comprised of a 12% decrease in selling prices and a 9% decrease in organic unit sales. The overall decrease in our selling prices is primarily due to lower lumber prices and a more competitive pricing environment in certain of our business units. Organic unit declines consisted of 7% in our retail segment, 9% in our packaging segment, and 13% in our construction segment. Acquired businesses contributed 2% unit growth in our packaging segment.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4"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gross profits decreased by $85.8 million, or 19.1%, compared to the same period of the prior year, exceeding our 9% decline in unit sales. By segment, gross profits decreased by $55 million in Construction and $50 million in Packaging, while Retail experienced a $24 million increase in gross profits. The overall decrease in our gross profits is primarily due to the decline in unit sales, unfavorable cost variances as a result of fixed manufacturing costs, and more competitive pricing in certain business units. These unfavorable factors were partially offset by more favorable lumber price trends in 2023 on products sold in our Retail segment that are based on variable selling prices.</w:t>
      </w:r>
    </w:p>
    <w:p>
      <w:pPr>
        <w:spacing w:after="0" w:line="194" w:lineRule="exact"/>
        <w:rPr>
          <w:rFonts w:ascii="Arial" w:cs="Arial" w:eastAsia="Arial" w:hAnsi="Arial"/>
          <w:sz w:val="18"/>
          <w:szCs w:val="18"/>
          <w:color w:val="auto"/>
        </w:rPr>
      </w:pPr>
    </w:p>
    <w:p>
      <w:pPr>
        <w:jc w:val="both"/>
        <w:ind w:left="880" w:right="79" w:hanging="317"/>
        <w:spacing w:after="0" w:line="275"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operating profits decreased $70 million, or 29.4%, compared to the third quarter of 2022. The overall decrease is a result of the decline in gross profits mentioned above offset by a $19 million decrease in selling, general, and administrative (“SG&amp;A”) expenses. Our SG&amp;A declined primarily due to our incentive compensation plans which are tied to profitability and return on investment. Our decremental operating margin comparing our decrease in operating profits relative to our decrease in net sales was 14.1%.</w:t>
      </w:r>
    </w:p>
    <w:p>
      <w:pPr>
        <w:spacing w:after="0" w:line="176" w:lineRule="exact"/>
        <w:rPr>
          <w:rFonts w:ascii="Arial" w:cs="Arial" w:eastAsia="Arial" w:hAnsi="Arial"/>
          <w:sz w:val="17"/>
          <w:szCs w:val="17"/>
          <w:color w:val="auto"/>
        </w:rPr>
      </w:pPr>
    </w:p>
    <w:p>
      <w:pPr>
        <w:jc w:val="both"/>
        <w:ind w:left="880" w:right="79" w:hanging="317"/>
        <w:spacing w:after="0" w:line="259"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cash flows from operations was $712 million in the first nine months of 2023 compared to $533 million during the first nine months of 2022. The $179 million improvement resulted from an increase in net working capital that was $332 million lower in the first nine months of 2023 than it was in 2022, offset by a $153 million decrease in net earnings and non-cash expenses compared to the prior year.</w:t>
      </w:r>
    </w:p>
    <w:p>
      <w:pPr>
        <w:spacing w:after="0" w:line="186" w:lineRule="exact"/>
        <w:rPr>
          <w:rFonts w:ascii="Arial" w:cs="Arial" w:eastAsia="Arial" w:hAnsi="Arial"/>
          <w:sz w:val="18"/>
          <w:szCs w:val="18"/>
          <w:color w:val="auto"/>
        </w:rPr>
      </w:pPr>
    </w:p>
    <w:p>
      <w:pPr>
        <w:jc w:val="both"/>
        <w:ind w:left="880" w:right="79" w:hanging="317"/>
        <w:spacing w:after="0" w:line="259"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net cash surplus at the end of September 2023 was $682 million compared to $128 million at the end of September 2022. Our unused borrowing capacity under revolving credit facilities and a shelf agreement with certain lenders along with our cash surplus resulted in total liquidity of approximately $2.2 billion at the end of the third quarter of 2023.</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experience significant fluctuations in the cost of commodity lumber products from primary producers (“Lumber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16"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Random Lengths Composite</w:t>
      </w:r>
    </w:p>
    <w:p>
      <w:pPr>
        <w:jc w:val="center"/>
        <w:ind w:left="678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February</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April</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June</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August</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Third quarter average</w:t>
            </w:r>
          </w:p>
        </w:tc>
        <w:tc>
          <w:tcPr>
            <w:tcW w:w="3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Year-to-date average</w:t>
            </w:r>
          </w:p>
        </w:tc>
        <w:tc>
          <w:tcPr>
            <w:tcW w:w="3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Third quarter percentage change</w:t>
            </w:r>
          </w:p>
        </w:tc>
        <w:tc>
          <w:tcPr>
            <w:tcW w:w="3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Year-to-date percentage change</w:t>
            </w:r>
          </w:p>
        </w:tc>
        <w:tc>
          <w:tcPr>
            <w:tcW w:w="3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580" w:type="dxa"/>
            <w:vAlign w:val="bottom"/>
          </w:tcPr>
          <w:p>
            <w:pPr>
              <w:jc w:val="right"/>
              <w:ind w:right="229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4"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 almost two-thirds of our total lumber purchases.</w:t>
      </w:r>
    </w:p>
    <w:p>
      <w:pPr>
        <w:spacing w:after="0" w:line="175"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Southern Yellow Pine</w:t>
      </w:r>
    </w:p>
    <w:p>
      <w:pPr>
        <w:jc w:val="center"/>
        <w:ind w:left="6800"/>
        <w:spacing w:after="0" w:line="236" w:lineRule="auto"/>
        <w:rPr>
          <w:sz w:val="20"/>
          <w:szCs w:val="20"/>
          <w:color w:val="auto"/>
        </w:rPr>
      </w:pPr>
      <w:r>
        <w:rPr>
          <w:rFonts w:ascii="Arial" w:cs="Arial" w:eastAsia="Arial" w:hAnsi="Arial"/>
          <w:sz w:val="14"/>
          <w:szCs w:val="14"/>
          <w:b w:val="1"/>
          <w:bCs w:val="1"/>
          <w:color w:val="auto"/>
        </w:rPr>
        <w:t>Average $/MBF</w:t>
      </w:r>
    </w:p>
    <w:tbl>
      <w:tblPr>
        <w:tblLayout w:type="fixed"/>
        <w:tblInd w:w="40" w:type="dxa"/>
        <w:tblCellMar>
          <w:top w:w="0" w:type="dxa"/>
          <w:left w:w="0" w:type="dxa"/>
          <w:bottom w:w="0" w:type="dxa"/>
          <w:right w:w="0" w:type="dxa"/>
        </w:tblCellMar>
      </w:tblPr>
      <w:tr>
        <w:trPr>
          <w:trHeight w:val="163"/>
        </w:trPr>
        <w:tc>
          <w:tcPr>
            <w:tcW w:w="69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February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1,115</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April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902</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June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August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 average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Year-to-date average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438</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Arial" w:cs="Arial" w:eastAsia="Arial" w:hAnsi="Arial"/>
                <w:sz w:val="18"/>
                <w:szCs w:val="18"/>
                <w:color w:val="auto"/>
              </w:rPr>
              <w:t>Third quarter percentage change</w:t>
            </w: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Year-to-date percentage change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Lower overall lumber prices in 2023 compared to 2022 is primarily due to increased capacity of the supply of lumber in North America combined with an increase in imports from other countries while demand for lumber has declined. A change in lumber prices impacts our profitability of products sold with fixed and variable prices, as discussed below.</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dollar sales levels (and working capital requirements) are impacted by the lumber costs of our products. Lumber costs were 38.9% and 51.9% of our sales in the first nine months of 2023 and 2022, respectively. The decrease from the prior year ratio reflects the significant decrease in the Lumber Market as well as an improvement in our sales mix of value-added products and our value-based selling practices.</w:t>
      </w:r>
    </w:p>
    <w:p>
      <w:pPr>
        <w:spacing w:after="0" w:line="192"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Additionally, as explained below, product categories can be priced differently. Some of our products have fixed selling prices, while our variably priced products have pricing indexed to the reported Lumber Market with a fixed dollar adder to cover conversion costs and profits. Consequently, the level and trend of the Lumber Market impact our products differently.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5"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w:t>
      </w:r>
      <w:r>
        <w:rPr>
          <w:rFonts w:ascii="Arial" w:cs="Arial" w:eastAsia="Arial" w:hAnsi="Arial"/>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4"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Products with selling prices indexed to the reported Lumber Market with a fixed dollar “adder” to cover conversion costs and profit.</w:t>
      </w:r>
      <w:r>
        <w:rPr>
          <w:rFonts w:ascii="Arial" w:cs="Arial" w:eastAsia="Arial" w:hAnsi="Arial"/>
          <w:sz w:val="18"/>
          <w:szCs w:val="18"/>
          <w:color w:val="auto"/>
        </w:rPr>
        <w:t xml:space="preserve"> These products primarily include treated lumber, panel goods, other commodity-type items, and trusses sold to the manufactured housing industry. For these products, we estimate customers’ needs and carry appropriate levels of inventory. Because lumber costs are incurred in advance of final sale prices, subsequent increases or decreases in the market price of lumber impact our gross margins. Sales of these products are highest in the third quarter, primarily due to seasonal demand for pressure-treated lumber sold in our retail segment.</w:t>
      </w:r>
    </w:p>
    <w:p>
      <w:pPr>
        <w:spacing w:after="0" w:line="195" w:lineRule="exact"/>
        <w:rPr>
          <w:sz w:val="20"/>
          <w:szCs w:val="20"/>
          <w:color w:val="auto"/>
        </w:rPr>
      </w:pPr>
    </w:p>
    <w:p>
      <w:pPr>
        <w:jc w:val="both"/>
        <w:ind w:left="540" w:right="79"/>
        <w:spacing w:after="0" w:line="263" w:lineRule="auto"/>
        <w:rPr>
          <w:sz w:val="20"/>
          <w:szCs w:val="20"/>
          <w:color w:val="auto"/>
        </w:rPr>
      </w:pPr>
      <w:r>
        <w:rPr>
          <w:rFonts w:ascii="Arial" w:cs="Arial" w:eastAsia="Arial" w:hAnsi="Arial"/>
          <w:sz w:val="18"/>
          <w:szCs w:val="18"/>
          <w:color w:val="auto"/>
        </w:rPr>
        <w:t>For each of the product pricing categories above, our margins are exposed to changes in the trend of lumber prices. As a result of the balance in our net sales to each of our end markets we believe our gross profits are more stable than those of our competitors who are less diversified.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3"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includes treated lumber, which comprised approximately 21% of our total net sales in the first nine months of 2023. This exposure is less significant with remanufactured lumber, panel goods, other commodity-type items, and trusses sold to the manufactured housing market due to the higher rate of inventory turnover. We attempt to mitigate the risk associated with treated lumber through managed inventory programs with our vendors. We estimate that 19% of our total purchases for the first nine months of 2023 were transacted under these programs. (</w:t>
      </w:r>
      <w:r>
        <w:rPr>
          <w:rFonts w:ascii="Arial" w:cs="Arial" w:eastAsia="Arial" w:hAnsi="Arial"/>
          <w:sz w:val="18"/>
          <w:szCs w:val="18"/>
          <w:i w:val="1"/>
          <w:iCs w:val="1"/>
          <w:color w:val="auto"/>
        </w:rPr>
        <w:t>Please refer to the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section of our annual report on form 10-K, filed with the United States Securities and Exchange Commission.</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880" w:right="79" w:hanging="317"/>
        <w:spacing w:after="0" w:line="263"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Products with fixed selling prices sold under long-term supply arrangements, particularly those involving multi-family construction projects.</w:t>
      </w:r>
      <w:r>
        <w:rPr>
          <w:rFonts w:ascii="Arial" w:cs="Arial" w:eastAsia="Arial" w:hAnsi="Arial"/>
          <w:sz w:val="18"/>
          <w:szCs w:val="18"/>
          <w:color w:val="auto"/>
        </w:rPr>
        <w:t xml:space="preserve"> We attempt to mitigate this risk through our purchasing practices and longer vendor commitments.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to the impact of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6"/>
          <w:szCs w:val="16"/>
          <w:color w:val="auto"/>
        </w:rPr>
        <w:t>We completed one business acquisition using the equity method during the first nine months of fiscal 2023. We completed four business acquisitions in fiscal 2022. The annual historical sales attributable to acquisitions completed during the first nine months of 2023 is approximately $38 million, while acquisitions completed during the last three months of 2022 had annual historical sales of approximately $47 million. These business combinations were not significant to our quarterly results individually or in aggregate and thus pro forma results for 2023 and 2022 are not presented.</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34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4340" w:type="dxa"/>
            <w:vAlign w:val="bottom"/>
          </w:tcPr>
          <w:p>
            <w:pPr>
              <w:spacing w:after="0"/>
              <w:rPr>
                <w:sz w:val="10"/>
                <w:szCs w:val="10"/>
                <w:color w:val="auto"/>
              </w:rPr>
            </w:pPr>
          </w:p>
        </w:tc>
        <w:tc>
          <w:tcPr>
            <w:tcW w:w="114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114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1120" w:type="dxa"/>
            <w:vAlign w:val="bottom"/>
            <w:gridSpan w:val="2"/>
          </w:tcPr>
          <w:p>
            <w:pPr>
              <w:jc w:val="right"/>
              <w:ind w:right="150"/>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1160" w:type="dxa"/>
            <w:vAlign w:val="bottom"/>
            <w:gridSpan w:val="2"/>
          </w:tcPr>
          <w:p>
            <w:pPr>
              <w:jc w:val="right"/>
              <w:ind w:right="170"/>
              <w:spacing w:after="0" w:line="126" w:lineRule="exact"/>
              <w:rPr>
                <w:sz w:val="20"/>
                <w:szCs w:val="20"/>
                <w:color w:val="auto"/>
              </w:rPr>
            </w:pPr>
            <w:r>
              <w:rPr>
                <w:rFonts w:ascii="Arial" w:cs="Arial" w:eastAsia="Arial" w:hAnsi="Arial"/>
                <w:sz w:val="14"/>
                <w:szCs w:val="14"/>
                <w:b w:val="1"/>
                <w:bCs w:val="1"/>
                <w:color w:val="auto"/>
                <w:w w:val="91"/>
              </w:rPr>
              <w:t>September 24,</w:t>
            </w:r>
          </w:p>
        </w:tc>
      </w:tr>
      <w:tr>
        <w:trPr>
          <w:trHeight w:val="178"/>
        </w:trPr>
        <w:tc>
          <w:tcPr>
            <w:tcW w:w="43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5"/>
                <w:szCs w:val="15"/>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r>
      <w:tr>
        <w:trPr>
          <w:trHeight w:val="216"/>
        </w:trPr>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260" w:type="dxa"/>
            <w:vAlign w:val="bottom"/>
            <w:tcBorders>
              <w:bottom w:val="single" w:sz="8" w:color="CCEEFF"/>
            </w:tcBorders>
          </w:tcPr>
          <w:p>
            <w:pPr>
              <w:spacing w:after="0"/>
              <w:rPr>
                <w:sz w:val="18"/>
                <w:szCs w:val="18"/>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CEEFF"/>
          </w:tcPr>
          <w:p>
            <w:pPr>
              <w:spacing w:after="0"/>
              <w:rPr>
                <w:sz w:val="18"/>
                <w:szCs w:val="18"/>
                <w:color w:val="auto"/>
              </w:rPr>
            </w:pPr>
          </w:p>
        </w:tc>
      </w:tr>
      <w:tr>
        <w:trPr>
          <w:trHeight w:val="216"/>
        </w:trPr>
        <w:tc>
          <w:tcPr>
            <w:tcW w:w="43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losses (gains), net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18"/>
                <w:szCs w:val="18"/>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Less net earnings attributable to noncontrolling interest</w:t>
            </w: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10"/>
        </w:trPr>
        <w:tc>
          <w:tcPr>
            <w:tcW w:w="4340" w:type="dxa"/>
            <w:vAlign w:val="bottom"/>
          </w:tcPr>
          <w:p>
            <w:pPr>
              <w:ind w:left="20"/>
              <w:spacing w:after="0"/>
              <w:rPr>
                <w:sz w:val="20"/>
                <w:szCs w:val="20"/>
                <w:color w:val="auto"/>
              </w:rPr>
            </w:pPr>
            <w:r>
              <w:rPr>
                <w:rFonts w:ascii="Arial" w:cs="Arial" w:eastAsia="Arial" w:hAnsi="Arial"/>
                <w:sz w:val="18"/>
                <w:szCs w:val="18"/>
                <w:color w:val="auto"/>
              </w:rPr>
              <w:t>Net earnings attributable to controlling interest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r>
        <w:trPr>
          <w:trHeight w:val="20"/>
        </w:trPr>
        <w:tc>
          <w:tcPr>
            <w:tcW w:w="4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 The percentages displayed below represent the percentage change from the prior year comparable period.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Percentage Change</w:t>
            </w: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3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300" w:type="dxa"/>
            <w:vAlign w:val="bottom"/>
            <w:gridSpan w:val="4"/>
          </w:tcPr>
          <w:p>
            <w:pPr>
              <w:ind w:left="440"/>
              <w:spacing w:after="0" w:line="149" w:lineRule="exact"/>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3"/>
          </w:tcPr>
          <w:p>
            <w:pPr>
              <w:jc w:val="right"/>
              <w:ind w:right="396"/>
              <w:spacing w:after="0" w:line="149" w:lineRule="exact"/>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3"/>
                <w:szCs w:val="13"/>
                <w:color w:val="auto"/>
              </w:rPr>
            </w:pPr>
          </w:p>
        </w:tc>
      </w:tr>
      <w:tr>
        <w:trPr>
          <w:trHeight w:val="139"/>
        </w:trPr>
        <w:tc>
          <w:tcPr>
            <w:tcW w:w="3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tcBorders>
              <w:top w:val="single" w:sz="8" w:color="auto"/>
            </w:tcBorders>
            <w:gridSpan w:val="2"/>
          </w:tcPr>
          <w:p>
            <w:pPr>
              <w:ind w:left="80"/>
              <w:spacing w:after="0" w:line="139" w:lineRule="exact"/>
              <w:rPr>
                <w:sz w:val="20"/>
                <w:szCs w:val="20"/>
                <w:color w:val="auto"/>
              </w:rPr>
            </w:pPr>
            <w:r>
              <w:rPr>
                <w:rFonts w:ascii="Arial" w:cs="Arial" w:eastAsia="Arial" w:hAnsi="Arial"/>
                <w:sz w:val="14"/>
                <w:szCs w:val="14"/>
                <w:b w:val="1"/>
                <w:bCs w:val="1"/>
                <w:color w:val="auto"/>
              </w:rPr>
              <w:t>September 30,</w:t>
            </w:r>
          </w:p>
        </w:tc>
        <w:tc>
          <w:tcPr>
            <w:tcW w:w="100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96"/>
              </w:rPr>
              <w:t>September 24,</w:t>
            </w:r>
          </w:p>
        </w:tc>
        <w:tc>
          <w:tcPr>
            <w:tcW w:w="140" w:type="dxa"/>
            <w:vAlign w:val="bottom"/>
          </w:tcPr>
          <w:p>
            <w:pPr>
              <w:spacing w:after="0"/>
              <w:rPr>
                <w:sz w:val="12"/>
                <w:szCs w:val="12"/>
                <w:color w:val="auto"/>
              </w:rPr>
            </w:pPr>
          </w:p>
        </w:tc>
        <w:tc>
          <w:tcPr>
            <w:tcW w:w="1140" w:type="dxa"/>
            <w:vAlign w:val="bottom"/>
            <w:tcBorders>
              <w:top w:val="single" w:sz="8" w:color="auto"/>
            </w:tcBorders>
            <w:gridSpan w:val="2"/>
          </w:tcPr>
          <w:p>
            <w:pPr>
              <w:ind w:left="60"/>
              <w:spacing w:after="0" w:line="139" w:lineRule="exact"/>
              <w:rPr>
                <w:sz w:val="20"/>
                <w:szCs w:val="20"/>
                <w:color w:val="auto"/>
              </w:rPr>
            </w:pPr>
            <w:r>
              <w:rPr>
                <w:rFonts w:ascii="Arial" w:cs="Arial" w:eastAsia="Arial" w:hAnsi="Arial"/>
                <w:sz w:val="14"/>
                <w:szCs w:val="14"/>
                <w:b w:val="1"/>
                <w:bCs w:val="1"/>
                <w:color w:val="auto"/>
              </w:rPr>
              <w:t>September 30,</w:t>
            </w:r>
          </w:p>
        </w:tc>
        <w:tc>
          <w:tcPr>
            <w:tcW w:w="104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4"/>
                <w:szCs w:val="14"/>
                <w:b w:val="1"/>
                <w:bCs w:val="1"/>
                <w:color w:val="auto"/>
                <w:w w:val="98"/>
              </w:rPr>
              <w:t>September 24,</w:t>
            </w:r>
          </w:p>
        </w:tc>
        <w:tc>
          <w:tcPr>
            <w:tcW w:w="20" w:type="dxa"/>
            <w:vAlign w:val="bottom"/>
          </w:tcPr>
          <w:p>
            <w:pPr>
              <w:spacing w:after="0"/>
              <w:rPr>
                <w:sz w:val="12"/>
                <w:szCs w:val="12"/>
                <w:color w:val="auto"/>
              </w:rPr>
            </w:pPr>
          </w:p>
        </w:tc>
      </w:tr>
      <w:tr>
        <w:trPr>
          <w:trHeight w:val="178"/>
        </w:trPr>
        <w:tc>
          <w:tcPr>
            <w:tcW w:w="3820" w:type="dxa"/>
            <w:vAlign w:val="bottom"/>
          </w:tcPr>
          <w:p>
            <w:pPr>
              <w:spacing w:after="0"/>
              <w:rPr>
                <w:sz w:val="15"/>
                <w:szCs w:val="15"/>
                <w:color w:val="auto"/>
              </w:rPr>
            </w:pPr>
          </w:p>
        </w:tc>
        <w:tc>
          <w:tcPr>
            <w:tcW w:w="16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5"/>
                <w:szCs w:val="15"/>
                <w:color w:val="auto"/>
              </w:rPr>
            </w:pPr>
          </w:p>
        </w:tc>
        <w:tc>
          <w:tcPr>
            <w:tcW w:w="1000" w:type="dxa"/>
            <w:vAlign w:val="bottom"/>
          </w:tcPr>
          <w:p>
            <w:pPr>
              <w:jc w:val="right"/>
              <w:ind w:right="27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1020" w:type="dxa"/>
            <w:vAlign w:val="bottom"/>
          </w:tcPr>
          <w:p>
            <w:pPr>
              <w:jc w:val="right"/>
              <w:ind w:right="27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040" w:type="dxa"/>
            <w:vAlign w:val="bottom"/>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r>
      <w:tr>
        <w:trPr>
          <w:trHeight w:val="216"/>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sold</w:t>
            </w:r>
          </w:p>
        </w:tc>
        <w:tc>
          <w:tcPr>
            <w:tcW w:w="6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(9.0)%</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5.0 %</w:t>
            </w: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620" w:type="dxa"/>
            <w:vAlign w:val="bottom"/>
            <w:gridSpan w:val="2"/>
          </w:tcPr>
          <w:p>
            <w:pPr>
              <w:jc w:val="right"/>
              <w:ind w:right="162"/>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1000" w:type="dxa"/>
            <w:vAlign w:val="bottom"/>
          </w:tcPr>
          <w:p>
            <w:pPr>
              <w:jc w:val="right"/>
              <w:ind w:right="218"/>
              <w:spacing w:after="0"/>
              <w:rPr>
                <w:sz w:val="20"/>
                <w:szCs w:val="20"/>
                <w:color w:val="auto"/>
              </w:rPr>
            </w:pPr>
            <w:r>
              <w:rPr>
                <w:rFonts w:ascii="Arial" w:cs="Arial" w:eastAsia="Arial" w:hAnsi="Arial"/>
                <w:sz w:val="18"/>
                <w:szCs w:val="18"/>
                <w:color w:val="auto"/>
              </w:rPr>
              <w:t>37.4</w:t>
            </w:r>
          </w:p>
        </w:tc>
        <w:tc>
          <w:tcPr>
            <w:tcW w:w="140" w:type="dxa"/>
            <w:vAlign w:val="bottom"/>
          </w:tcPr>
          <w:p>
            <w:pPr>
              <w:spacing w:after="0"/>
              <w:rPr>
                <w:sz w:val="18"/>
                <w:szCs w:val="18"/>
                <w:color w:val="auto"/>
              </w:rPr>
            </w:pPr>
          </w:p>
        </w:tc>
        <w:tc>
          <w:tcPr>
            <w:tcW w:w="1020" w:type="dxa"/>
            <w:vAlign w:val="bottom"/>
          </w:tcPr>
          <w:p>
            <w:pPr>
              <w:jc w:val="right"/>
              <w:ind w:right="178"/>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040" w:type="dxa"/>
            <w:vAlign w:val="bottom"/>
          </w:tcPr>
          <w:p>
            <w:pPr>
              <w:jc w:val="right"/>
              <w:ind w:right="216"/>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Earnings from operations</w:t>
            </w:r>
          </w:p>
        </w:tc>
        <w:tc>
          <w:tcPr>
            <w:tcW w:w="1620" w:type="dxa"/>
            <w:vAlign w:val="bottom"/>
            <w:gridSpan w:val="2"/>
          </w:tcPr>
          <w:p>
            <w:pPr>
              <w:jc w:val="right"/>
              <w:ind w:right="162"/>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20"/>
                <w:szCs w:val="20"/>
                <w:color w:val="auto"/>
              </w:rPr>
            </w:pPr>
          </w:p>
        </w:tc>
        <w:tc>
          <w:tcPr>
            <w:tcW w:w="1000" w:type="dxa"/>
            <w:vAlign w:val="bottom"/>
          </w:tcPr>
          <w:p>
            <w:pPr>
              <w:jc w:val="right"/>
              <w:ind w:right="218"/>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0"/>
                <w:szCs w:val="20"/>
                <w:color w:val="auto"/>
              </w:rPr>
            </w:pPr>
          </w:p>
        </w:tc>
        <w:tc>
          <w:tcPr>
            <w:tcW w:w="1020" w:type="dxa"/>
            <w:vAlign w:val="bottom"/>
          </w:tcPr>
          <w:p>
            <w:pPr>
              <w:jc w:val="right"/>
              <w:ind w:right="178"/>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1040" w:type="dxa"/>
            <w:vAlign w:val="bottom"/>
          </w:tcPr>
          <w:p>
            <w:pPr>
              <w:jc w:val="right"/>
              <w:ind w:right="216"/>
              <w:spacing w:after="0"/>
              <w:rPr>
                <w:sz w:val="20"/>
                <w:szCs w:val="20"/>
                <w:color w:val="auto"/>
              </w:rPr>
            </w:pPr>
            <w:r>
              <w:rPr>
                <w:rFonts w:ascii="Arial" w:cs="Arial" w:eastAsia="Arial" w:hAnsi="Arial"/>
                <w:sz w:val="18"/>
                <w:szCs w:val="18"/>
                <w:color w:val="auto"/>
              </w:rPr>
              <w:t>44.1</w:t>
            </w:r>
          </w:p>
        </w:tc>
        <w:tc>
          <w:tcPr>
            <w:tcW w:w="20" w:type="dxa"/>
            <w:vAlign w:val="bottom"/>
          </w:tcPr>
          <w:p>
            <w:pPr>
              <w:spacing w:after="0"/>
              <w:rPr>
                <w:sz w:val="20"/>
                <w:szCs w:val="20"/>
                <w:color w:val="auto"/>
              </w:rPr>
            </w:pPr>
          </w:p>
        </w:tc>
      </w:tr>
      <w:tr>
        <w:trPr>
          <w:trHeight w:val="634"/>
        </w:trPr>
        <w:tc>
          <w:tcPr>
            <w:tcW w:w="3820" w:type="dxa"/>
            <w:vAlign w:val="bottom"/>
          </w:tcPr>
          <w:p>
            <w:pPr>
              <w:spacing w:after="0"/>
              <w:rPr>
                <w:sz w:val="24"/>
                <w:szCs w:val="24"/>
                <w:color w:val="auto"/>
              </w:rPr>
            </w:pPr>
          </w:p>
        </w:tc>
        <w:tc>
          <w:tcPr>
            <w:tcW w:w="1620" w:type="dxa"/>
            <w:vAlign w:val="bottom"/>
            <w:gridSpan w:val="2"/>
          </w:tcPr>
          <w:p>
            <w:pPr>
              <w:jc w:val="right"/>
              <w:ind w:right="802"/>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following table presents, for the periods indicated, our selling, general, and administrative (SG&amp;A) costs as a percentage of gross profit. Given our strategies to enhance our capabilities and improve our value-added product offering, and recognizing the higher relative level of SG&amp;A these strategies require, we believe this ratio provides an enhanced view of our effectiveness in managing these costs and mitigates the impact of changing lumber prices.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5"/>
                <w:szCs w:val="15"/>
                <w:color w:val="auto"/>
              </w:rPr>
            </w:pPr>
          </w:p>
        </w:tc>
        <w:tc>
          <w:tcPr>
            <w:tcW w:w="244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3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26"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7"/>
              <w:spacing w:after="0" w:line="126" w:lineRule="exact"/>
              <w:rPr>
                <w:sz w:val="20"/>
                <w:szCs w:val="20"/>
                <w:color w:val="auto"/>
              </w:rPr>
            </w:pPr>
            <w:r>
              <w:rPr>
                <w:rFonts w:ascii="Arial" w:cs="Arial" w:eastAsia="Arial" w:hAnsi="Arial"/>
                <w:sz w:val="14"/>
                <w:szCs w:val="14"/>
                <w:b w:val="1"/>
                <w:bCs w:val="1"/>
                <w:color w:val="auto"/>
                <w:w w:val="98"/>
              </w:rPr>
              <w:t>September 24,</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80"/>
              <w:spacing w:after="0" w:line="126"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rPr>
              <w:t>September 24,</w:t>
            </w:r>
          </w:p>
        </w:tc>
      </w:tr>
      <w:tr>
        <w:trPr>
          <w:trHeight w:val="178"/>
        </w:trPr>
        <w:tc>
          <w:tcPr>
            <w:tcW w:w="3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364,400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1,122,796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1,431,991</w:t>
            </w:r>
          </w:p>
        </w:tc>
      </w:tr>
      <w:tr>
        <w:trPr>
          <w:trHeight w:val="216"/>
        </w:trPr>
        <w:tc>
          <w:tcPr>
            <w:tcW w:w="3500" w:type="dxa"/>
            <w:vAlign w:val="bottom"/>
          </w:tcPr>
          <w:p>
            <w:pPr>
              <w:ind w:left="20"/>
              <w:spacing w:after="0"/>
              <w:rPr>
                <w:sz w:val="20"/>
                <w:szCs w:val="20"/>
                <w:color w:val="auto"/>
              </w:rPr>
            </w:pPr>
            <w:r>
              <w:rPr>
                <w:rFonts w:ascii="Arial" w:cs="Arial" w:eastAsia="Arial" w:hAnsi="Arial"/>
                <w:sz w:val="18"/>
                <w:szCs w:val="18"/>
                <w:color w:val="auto"/>
                <w:w w:val="95"/>
              </w:rPr>
              <w:t>Selling, general, and administrative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195,649</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214,327</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595,035</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649,015</w:t>
            </w: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SG&amp;A as percentage of gross profit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Operating Results by Segment:</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Our business segments consist of UFP Retail Solutions (“Retail”), UFP Packaging (“Packaging” and formerly known as UFP Industrial) and UFP Construction (“Construction”), and align with the end markets we serve. Among other advantages, this structure allows for a more specialized and consistent sales approach, more efficient use of resources and capital, and quicker introduction of new products and services. We manage the operations of our individual locations primarily through a market-centered reporting structure under which each location is included in a business unit. Business units are allocated among our Retail, Packaging, and Construction segments. The exception to this market-centered reporting and management structure is our International segment, which comprises our Mexico, Canada, Europe, Asia, and Australia operations and sales and buying offices in other parts of the world. Our International segment and Ardellis (our insurance captive) are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present our operating results, for the periods indicated, by segment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ind w:right="7"/>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Packaging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449,885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583,960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1,827,637</w:t>
            </w:r>
          </w:p>
        </w:tc>
        <w:tc>
          <w:tcPr>
            <w:tcW w:w="20" w:type="dxa"/>
            <w:vAlign w:val="bottom"/>
          </w:tcPr>
          <w:p>
            <w:pPr>
              <w:spacing w:after="0"/>
              <w:rPr>
                <w:sz w:val="18"/>
                <w:szCs w:val="18"/>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610,000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355,924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439,152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58,814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1,463,237</w:t>
            </w:r>
          </w:p>
        </w:tc>
        <w:tc>
          <w:tcPr>
            <w:tcW w:w="20" w:type="dxa"/>
            <w:vAlign w:val="bottom"/>
          </w:tcPr>
          <w:p>
            <w:pPr>
              <w:spacing w:after="0"/>
              <w:rPr>
                <w:sz w:val="19"/>
                <w:szCs w:val="19"/>
                <w:color w:val="auto"/>
              </w:rPr>
            </w:pP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101,381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93,961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144,808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364,400</w:t>
            </w:r>
          </w:p>
        </w:tc>
        <w:tc>
          <w:tcPr>
            <w:tcW w:w="20" w:type="dxa"/>
            <w:vAlign w:val="bottom"/>
          </w:tcPr>
          <w:p>
            <w:pPr>
              <w:spacing w:after="0"/>
              <w:rPr>
                <w:sz w:val="18"/>
                <w:szCs w:val="18"/>
                <w:color w:val="auto"/>
              </w:rPr>
            </w:pP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56,001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52,524</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75,293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14,937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(3,106)</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195,649</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45,349</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41,429</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69,560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6,668</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4,326</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167,332</w:t>
            </w:r>
          </w:p>
        </w:tc>
        <w:tc>
          <w:tcPr>
            <w:tcW w:w="20" w:type="dxa"/>
            <w:vAlign w:val="bottom"/>
          </w:tcPr>
          <w:p>
            <w:pPr>
              <w:spacing w:after="0"/>
              <w:rPr>
                <w:sz w:val="18"/>
                <w:szCs w:val="18"/>
                <w:color w:val="auto"/>
              </w:rPr>
            </w:pPr>
          </w:p>
        </w:tc>
      </w:tr>
      <w:tr>
        <w:trPr>
          <w:trHeight w:val="864"/>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8"/>
          </w:tcPr>
          <w:p>
            <w:pPr>
              <w:jc w:val="right"/>
              <w:ind w:right="7"/>
              <w:spacing w:after="0"/>
              <w:rPr>
                <w:sz w:val="20"/>
                <w:szCs w:val="20"/>
                <w:color w:val="auto"/>
              </w:rPr>
            </w:pPr>
            <w:r>
              <w:rPr>
                <w:rFonts w:ascii="Arial" w:cs="Arial" w:eastAsia="Arial" w:hAnsi="Arial"/>
                <w:sz w:val="14"/>
                <w:szCs w:val="14"/>
                <w:b w:val="1"/>
                <w:bCs w:val="1"/>
                <w:color w:val="auto"/>
                <w:w w:val="92"/>
              </w:rPr>
              <w:t>Three Months Ended September 24, 2022</w:t>
            </w: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Packaging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845,304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584,808</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112,203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2,322,855</w:t>
            </w: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767,841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440,975</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577,552</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82,740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1,872,679</w:t>
            </w: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143,833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450,176</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48,435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66,521</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16,752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(6,836)</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214,327</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28,932</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77,298</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110,384</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13,705</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6,725</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237,044</w:t>
            </w:r>
          </w:p>
        </w:tc>
      </w:tr>
      <w:tr>
        <w:trPr>
          <w:trHeight w:val="385"/>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ind w:right="47"/>
              <w:spacing w:after="0"/>
              <w:rPr>
                <w:sz w:val="20"/>
                <w:szCs w:val="20"/>
                <w:color w:val="auto"/>
              </w:rPr>
            </w:pPr>
            <w:r>
              <w:rPr>
                <w:rFonts w:ascii="Arial" w:cs="Arial" w:eastAsia="Arial" w:hAnsi="Arial"/>
                <w:sz w:val="14"/>
                <w:szCs w:val="14"/>
                <w:b w:val="1"/>
                <w:bCs w:val="1"/>
                <w:color w:val="auto"/>
                <w:w w:val="94"/>
              </w:rPr>
              <w:t>Nine Months Ended September 30, 2023</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Packaging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2,380,956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1,424,546</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1,650,017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5,694,031</w:t>
            </w: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2,064,156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1,091,452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1,246,346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170,818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(1,537)</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4,571,235</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333,094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403,671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1,122,796</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170,211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180,153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216,714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42,402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(14,445)</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595,035</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146,585</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153,025</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185,767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17,519</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19,641</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522,537</w:t>
            </w:r>
          </w:p>
        </w:tc>
      </w:tr>
      <w:tr>
        <w:trPr>
          <w:trHeight w:val="385"/>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8"/>
          </w:tcPr>
          <w:p>
            <w:pPr>
              <w:jc w:val="right"/>
              <w:ind w:right="47"/>
              <w:spacing w:after="0"/>
              <w:rPr>
                <w:sz w:val="20"/>
                <w:szCs w:val="20"/>
                <w:color w:val="auto"/>
              </w:rPr>
            </w:pPr>
            <w:r>
              <w:rPr>
                <w:rFonts w:ascii="Arial" w:cs="Arial" w:eastAsia="Arial" w:hAnsi="Arial"/>
                <w:sz w:val="14"/>
                <w:szCs w:val="14"/>
                <w:b w:val="1"/>
                <w:bCs w:val="1"/>
                <w:color w:val="auto"/>
                <w:w w:val="94"/>
              </w:rPr>
              <w:t>Nine Months Ended September 24, 2022</w:t>
            </w: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24"/>
                <w:szCs w:val="24"/>
                <w:color w:val="auto"/>
              </w:rPr>
            </w:pPr>
          </w:p>
        </w:tc>
        <w:tc>
          <w:tcPr>
            <w:tcW w:w="8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Packaging</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24"/>
                <w:szCs w:val="24"/>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2,959,976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1,872,510</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2,538,973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7,713,042</w:t>
            </w:r>
          </w:p>
        </w:tc>
      </w:tr>
      <w:tr>
        <w:trPr>
          <w:trHeight w:val="223"/>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2,674,996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1,417,006</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1,950,671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230,100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8,278</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6,281,051</w:t>
            </w: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1,431,991</w:t>
            </w:r>
          </w:p>
        </w:tc>
      </w:tr>
      <w:tr>
        <w:trPr>
          <w:trHeight w:val="202"/>
        </w:trPr>
        <w:tc>
          <w:tcPr>
            <w:tcW w:w="204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159,490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200,987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266,430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49,733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(27,625)</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649,015</w:t>
            </w:r>
          </w:p>
        </w:tc>
      </w:tr>
      <w:tr>
        <w:trPr>
          <w:trHeight w:val="236"/>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(834)</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w w:val="99"/>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124,856</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253,899</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322,034</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51,268</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29,578</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781,635</w:t>
            </w: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tables present the components of our operating results, for the periods indicated, as a percentage of net sales by segment.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b w:val="1"/>
                <w:bCs w:val="1"/>
                <w:color w:val="auto"/>
                <w:w w:val="93"/>
              </w:rPr>
              <w:t>Three Months Ended September 30, 2023</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All Other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6.4</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b w:val="1"/>
                <w:bCs w:val="1"/>
                <w:color w:val="auto"/>
                <w:w w:val="93"/>
              </w:rPr>
              <w:t>Three Months Ended September 24, 2022</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All Other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80.6</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7"/>
          </w:tcPr>
          <w:p>
            <w:pPr>
              <w:ind w:left="920"/>
              <w:spacing w:after="0"/>
              <w:rPr>
                <w:sz w:val="20"/>
                <w:szCs w:val="20"/>
                <w:color w:val="auto"/>
              </w:rPr>
            </w:pPr>
            <w:r>
              <w:rPr>
                <w:rFonts w:ascii="Arial" w:cs="Arial" w:eastAsia="Arial" w:hAnsi="Arial"/>
                <w:sz w:val="14"/>
                <w:szCs w:val="14"/>
                <w:b w:val="1"/>
                <w:bCs w:val="1"/>
                <w:color w:val="auto"/>
                <w:w w:val="94"/>
              </w:rPr>
              <w:t>Nine Months Ended September 30, 2023</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rPr>
              <w:t>All Other</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86.7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20"/>
                <w:szCs w:val="20"/>
                <w:color w:val="auto"/>
              </w:rPr>
            </w:pP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w:t>
            </w:r>
          </w:p>
        </w:tc>
        <w:tc>
          <w:tcPr>
            <w:tcW w:w="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7"/>
          </w:tcPr>
          <w:p>
            <w:pPr>
              <w:ind w:left="920"/>
              <w:spacing w:after="0"/>
              <w:rPr>
                <w:sz w:val="20"/>
                <w:szCs w:val="20"/>
                <w:color w:val="auto"/>
              </w:rPr>
            </w:pPr>
            <w:r>
              <w:rPr>
                <w:rFonts w:ascii="Arial" w:cs="Arial" w:eastAsia="Arial" w:hAnsi="Arial"/>
                <w:sz w:val="14"/>
                <w:szCs w:val="14"/>
                <w:b w:val="1"/>
                <w:bCs w:val="1"/>
                <w:color w:val="auto"/>
                <w:w w:val="94"/>
              </w:rPr>
              <w:t>Nine Months Ended September 24, 2022</w:t>
            </w:r>
          </w:p>
        </w:tc>
        <w:tc>
          <w:tcPr>
            <w:tcW w:w="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Retail</w:t>
            </w: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Packaging</w:t>
            </w:r>
          </w:p>
        </w:tc>
        <w:tc>
          <w:tcPr>
            <w:tcW w:w="11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Construction</w:t>
            </w: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rPr>
              <w:t>All Other</w:t>
            </w: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3"/>
        </w:trPr>
        <w:tc>
          <w:tcPr>
            <w:tcW w:w="21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940" w:type="dxa"/>
            <w:vAlign w:val="bottom"/>
          </w:tcPr>
          <w:p>
            <w:pPr>
              <w:jc w:val="right"/>
              <w:spacing w:after="0"/>
              <w:rPr>
                <w:sz w:val="20"/>
                <w:szCs w:val="20"/>
                <w:color w:val="auto"/>
              </w:rPr>
            </w:pPr>
            <w:r>
              <w:rPr>
                <w:rFonts w:ascii="Arial" w:cs="Arial" w:eastAsia="Arial" w:hAnsi="Arial"/>
                <w:sz w:val="18"/>
                <w:szCs w:val="18"/>
                <w:color w:val="auto"/>
              </w:rPr>
              <w:t>90.4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76.8</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top w:val="single" w:sz="8" w:color="CCEEFF"/>
            </w:tcBorders>
            <w:shd w:val="clear" w:color="auto" w:fill="CCEEFF"/>
          </w:tcPr>
          <w:p>
            <w:pPr>
              <w:spacing w:after="0"/>
              <w:rPr>
                <w:sz w:val="18"/>
                <w:szCs w:val="18"/>
                <w:color w:val="auto"/>
              </w:rPr>
            </w:pPr>
          </w:p>
        </w:tc>
      </w:tr>
      <w:tr>
        <w:trPr>
          <w:trHeight w:val="202"/>
        </w:trPr>
        <w:tc>
          <w:tcPr>
            <w:tcW w:w="2160" w:type="dxa"/>
            <w:vAlign w:val="bottom"/>
          </w:tcPr>
          <w:p>
            <w:pPr>
              <w:ind w:left="20"/>
              <w:spacing w:after="0" w:line="201" w:lineRule="exact"/>
              <w:rPr>
                <w:sz w:val="20"/>
                <w:szCs w:val="20"/>
                <w:color w:val="auto"/>
              </w:rPr>
            </w:pPr>
            <w:r>
              <w:rPr>
                <w:rFonts w:ascii="Arial" w:cs="Arial" w:eastAsia="Arial" w:hAnsi="Arial"/>
                <w:sz w:val="18"/>
                <w:szCs w:val="18"/>
                <w:color w:val="auto"/>
              </w:rPr>
              <w:t>Selling, general,</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0"/>
                <w:szCs w:val="20"/>
                <w:color w:val="auto"/>
              </w:rPr>
            </w:pPr>
          </w:p>
        </w:tc>
      </w:tr>
      <w:tr>
        <w:trPr>
          <w:trHeight w:val="236"/>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Earnings from operations</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w:t>
            </w:r>
          </w:p>
        </w:tc>
        <w:tc>
          <w:tcPr>
            <w:tcW w:w="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15.4</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r>
    </w:tbl>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Note: Actual percentages are calculated and may not sum to total due to rounding.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left="60" w:right="79"/>
        <w:spacing w:after="0" w:line="275" w:lineRule="auto"/>
        <w:rPr>
          <w:sz w:val="20"/>
          <w:szCs w:val="20"/>
          <w:color w:val="auto"/>
        </w:rPr>
      </w:pPr>
      <w:r>
        <w:rPr>
          <w:rFonts w:ascii="Arial" w:cs="Arial" w:eastAsia="Arial" w:hAnsi="Arial"/>
          <w:sz w:val="17"/>
          <w:szCs w:val="17"/>
          <w:color w:val="auto"/>
        </w:rPr>
        <w:t>We design, manufacture and market wood and wood-alternative products, primarily used to enhance outdoor living environments; for national home centers and other retailers; for engineered wood components, structural lumber, and other products for factory-built and site-built residential and commercial construction; for customized interior fixtures used in a variety of retail stores, commercial, and other structures; and structural wood packaging, components and packing materials for various industries. Our strategic long-term sales objectives include:</w:t>
      </w:r>
    </w:p>
    <w:p>
      <w:pPr>
        <w:spacing w:after="0" w:line="176" w:lineRule="exact"/>
        <w:rPr>
          <w:sz w:val="20"/>
          <w:szCs w:val="20"/>
          <w:color w:val="auto"/>
        </w:rPr>
      </w:pPr>
    </w:p>
    <w:p>
      <w:pPr>
        <w:jc w:val="both"/>
        <w:ind w:left="380" w:right="79" w:hanging="330"/>
        <w:spacing w:after="0" w:line="26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Maximizing unit sales growth while achieving return on investment goals.</w:t>
      </w:r>
      <w:r>
        <w:rPr>
          <w:rFonts w:ascii="Arial" w:cs="Arial" w:eastAsia="Arial" w:hAnsi="Arial"/>
          <w:sz w:val="18"/>
          <w:szCs w:val="18"/>
          <w:color w:val="auto"/>
        </w:rPr>
        <w:t xml:space="preserve"> The following table presents estimates, for the periods indicated, of our percentage change in net sales attributable to changes in overall selling prices versus changes in units shipped.</w:t>
      </w:r>
    </w:p>
    <w:p>
      <w:pPr>
        <w:spacing w:after="0" w:line="188" w:lineRule="exact"/>
        <w:rPr>
          <w:rFonts w:ascii="Arial" w:cs="Arial" w:eastAsia="Arial" w:hAnsi="Arial"/>
          <w:sz w:val="18"/>
          <w:szCs w:val="18"/>
          <w:color w:val="auto"/>
        </w:rPr>
      </w:pPr>
    </w:p>
    <w:p>
      <w:pPr>
        <w:ind w:left="6780" w:hanging="184"/>
        <w:spacing w:after="0"/>
        <w:tabs>
          <w:tab w:leader="none" w:pos="6780" w:val="left"/>
        </w:tabs>
        <w:numPr>
          <w:ilvl w:val="1"/>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Change</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33"/>
        </w:trPr>
        <w:tc>
          <w:tcPr>
            <w:tcW w:w="486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in Selling</w:t>
            </w:r>
          </w:p>
        </w:tc>
        <w:tc>
          <w:tcPr>
            <w:tcW w:w="5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70"/>
              <w:spacing w:after="0" w:line="133" w:lineRule="exact"/>
              <w:rPr>
                <w:sz w:val="20"/>
                <w:szCs w:val="20"/>
                <w:color w:val="auto"/>
              </w:rPr>
            </w:pPr>
            <w:r>
              <w:rPr>
                <w:rFonts w:ascii="Arial" w:cs="Arial" w:eastAsia="Arial" w:hAnsi="Arial"/>
                <w:sz w:val="14"/>
                <w:szCs w:val="14"/>
                <w:b w:val="1"/>
                <w:bCs w:val="1"/>
                <w:color w:val="auto"/>
                <w:w w:val="91"/>
              </w:rPr>
              <w:t>Acquisition</w:t>
            </w:r>
          </w:p>
        </w:tc>
        <w:tc>
          <w:tcPr>
            <w:tcW w:w="76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Organic</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6"/>
              </w:rPr>
              <w:t>in Sales</w:t>
            </w:r>
          </w:p>
        </w:tc>
        <w:tc>
          <w:tcPr>
            <w:tcW w:w="24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9"/>
              </w:rPr>
              <w:t>in Units</w:t>
            </w:r>
          </w:p>
        </w:tc>
        <w:tc>
          <w:tcPr>
            <w:tcW w:w="240" w:type="dxa"/>
            <w:vAlign w:val="bottom"/>
            <w:vMerge w:val="restart"/>
          </w:tcPr>
          <w:p>
            <w:pPr>
              <w:spacing w:after="0"/>
              <w:rPr>
                <w:sz w:val="12"/>
                <w:szCs w:val="12"/>
                <w:color w:val="auto"/>
              </w:rPr>
            </w:pPr>
          </w:p>
        </w:tc>
        <w:tc>
          <w:tcPr>
            <w:tcW w:w="9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rPr>
              <w:t>Unit</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178"/>
        </w:trPr>
        <w:tc>
          <w:tcPr>
            <w:tcW w:w="48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Prices</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 2023 versus third quarter 2022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(21.3)%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Year-to-date 2023 versus year-to-date 2022</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(26.2)%</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380" w:right="79" w:hanging="330"/>
        <w:spacing w:after="0" w:line="263"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Diversifying our end market sales mix</w:t>
      </w:r>
      <w:r>
        <w:rPr>
          <w:rFonts w:ascii="Arial" w:cs="Arial" w:eastAsia="Arial" w:hAnsi="Arial"/>
          <w:sz w:val="18"/>
          <w:szCs w:val="18"/>
          <w:color w:val="auto"/>
        </w:rPr>
        <w:t xml:space="preserve"> by increasing sales of structural wood and protective packaging to industrial users, increasing our penetration of the concrete forming market, and increasing our market share with independent retailers.</w:t>
      </w:r>
    </w:p>
    <w:p>
      <w:pPr>
        <w:spacing w:after="0" w:line="183" w:lineRule="exact"/>
        <w:rPr>
          <w:rFonts w:ascii="Arial" w:cs="Arial" w:eastAsia="Arial" w:hAnsi="Arial"/>
          <w:sz w:val="18"/>
          <w:szCs w:val="18"/>
          <w:color w:val="auto"/>
        </w:rPr>
      </w:pPr>
    </w:p>
    <w:p>
      <w:pPr>
        <w:ind w:left="380" w:hanging="330"/>
        <w:spacing w:after="0"/>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Expanding geographically in our core businesses</w:t>
      </w:r>
      <w:r>
        <w:rPr>
          <w:rFonts w:ascii="Arial" w:cs="Arial" w:eastAsia="Arial" w:hAnsi="Arial"/>
          <w:sz w:val="17"/>
          <w:szCs w:val="17"/>
          <w:color w:val="auto"/>
        </w:rPr>
        <w:t xml:space="preserve"> domestically and in our core packaging business internationally.</w:t>
      </w:r>
    </w:p>
    <w:p>
      <w:pPr>
        <w:spacing w:after="0" w:line="236" w:lineRule="exact"/>
        <w:rPr>
          <w:rFonts w:ascii="Arial" w:cs="Arial" w:eastAsia="Arial" w:hAnsi="Arial"/>
          <w:sz w:val="17"/>
          <w:szCs w:val="17"/>
          <w:color w:val="auto"/>
        </w:rPr>
      </w:pPr>
    </w:p>
    <w:p>
      <w:pPr>
        <w:jc w:val="both"/>
        <w:ind w:left="380" w:right="79" w:hanging="330"/>
        <w:spacing w:after="0" w:line="269"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 xml:space="preserve">Increasing our sales of “value-added” products and enhancing our product offering with new or improved products. </w:t>
      </w:r>
      <w:r>
        <w:rPr>
          <w:rFonts w:ascii="Arial" w:cs="Arial" w:eastAsia="Arial" w:hAnsi="Arial"/>
          <w:sz w:val="17"/>
          <w:szCs w:val="17"/>
          <w:color w:val="auto"/>
        </w:rPr>
        <w:t>Value-added products generally consist of fencing, decking, lattice, and other specialty products sold in the Retail segment; structural and protective packaging and machine-built pallets sold in the Packaging segment; engineered wood components, customized interior fixtures, manufactured and assembled concrete forms sold in the Construction segment; and “wood alternative” products. Engineered wood components include roof trusses, wall panels, and floor systems. Wood alternative products consist of products manufactured with wood and non-wood composites, metals and plastics sold in each of our segments.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 We estimate that approximately 82% of our sales consist of products we manufacture at our locations, while 18% of our sales consist of products manufactured by suppliers that we inventory and distribute to customers.</w:t>
      </w:r>
    </w:p>
    <w:p>
      <w:pPr>
        <w:spacing w:after="0" w:line="179" w:lineRule="exact"/>
        <w:rPr>
          <w:sz w:val="20"/>
          <w:szCs w:val="20"/>
          <w:color w:val="auto"/>
        </w:rPr>
      </w:pPr>
    </w:p>
    <w:p>
      <w:pPr>
        <w:ind w:left="380" w:right="59"/>
        <w:spacing w:after="0" w:line="277" w:lineRule="auto"/>
        <w:rPr>
          <w:sz w:val="20"/>
          <w:szCs w:val="20"/>
          <w:color w:val="auto"/>
        </w:rPr>
      </w:pPr>
      <w:r>
        <w:rPr>
          <w:rFonts w:ascii="Arial" w:cs="Arial" w:eastAsia="Arial" w:hAnsi="Arial"/>
          <w:sz w:val="18"/>
          <w:szCs w:val="18"/>
          <w:color w:val="auto"/>
        </w:rPr>
        <w:t>The following table presents, for the periods indicated, our percentage of value-added and commodity-based sales to total sales by our segments: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640" w:type="dxa"/>
            <w:vAlign w:val="bottom"/>
          </w:tcPr>
          <w:p>
            <w:pPr>
              <w:spacing w:after="0"/>
              <w:rPr>
                <w:sz w:val="15"/>
                <w:szCs w:val="15"/>
                <w:color w:val="auto"/>
              </w:rPr>
            </w:pPr>
          </w:p>
        </w:tc>
        <w:tc>
          <w:tcPr>
            <w:tcW w:w="2640" w:type="dxa"/>
            <w:vAlign w:val="bottom"/>
            <w:gridSpan w:val="4"/>
          </w:tcPr>
          <w:p>
            <w:pPr>
              <w:spacing w:after="0"/>
              <w:rPr>
                <w:sz w:val="20"/>
                <w:szCs w:val="20"/>
                <w:color w:val="auto"/>
              </w:rPr>
            </w:pPr>
            <w:r>
              <w:rPr>
                <w:rFonts w:ascii="Arial" w:cs="Arial" w:eastAsia="Arial" w:hAnsi="Arial"/>
                <w:sz w:val="14"/>
                <w:szCs w:val="14"/>
                <w:b w:val="1"/>
                <w:bCs w:val="1"/>
                <w:color w:val="auto"/>
                <w:w w:val="95"/>
              </w:rPr>
              <w:t>Three Months Ended September 30, 2023</w:t>
            </w:r>
          </w:p>
        </w:tc>
        <w:tc>
          <w:tcPr>
            <w:tcW w:w="2640" w:type="dxa"/>
            <w:vAlign w:val="bottom"/>
            <w:gridSpan w:val="5"/>
          </w:tcPr>
          <w:p>
            <w:pPr>
              <w:spacing w:after="0"/>
              <w:rPr>
                <w:sz w:val="20"/>
                <w:szCs w:val="20"/>
                <w:color w:val="auto"/>
              </w:rPr>
            </w:pPr>
            <w:r>
              <w:rPr>
                <w:rFonts w:ascii="Arial" w:cs="Arial" w:eastAsia="Arial" w:hAnsi="Arial"/>
                <w:sz w:val="14"/>
                <w:szCs w:val="14"/>
                <w:b w:val="1"/>
                <w:bCs w:val="1"/>
                <w:color w:val="auto"/>
                <w:w w:val="95"/>
              </w:rPr>
              <w:t>Three Months Ended September 24, 2022</w:t>
            </w:r>
          </w:p>
        </w:tc>
      </w:tr>
      <w:tr>
        <w:trPr>
          <w:trHeight w:val="169"/>
        </w:trPr>
        <w:tc>
          <w:tcPr>
            <w:tcW w:w="3640" w:type="dxa"/>
            <w:vAlign w:val="bottom"/>
          </w:tcPr>
          <w:p>
            <w:pPr>
              <w:spacing w:after="0"/>
              <w:rPr>
                <w:sz w:val="14"/>
                <w:szCs w:val="14"/>
                <w:color w:val="auto"/>
              </w:rPr>
            </w:pPr>
          </w:p>
        </w:tc>
        <w:tc>
          <w:tcPr>
            <w:tcW w:w="136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Value-Added</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Commodity-Based</w:t>
            </w:r>
          </w:p>
        </w:tc>
        <w:tc>
          <w:tcPr>
            <w:tcW w:w="100" w:type="dxa"/>
            <w:vAlign w:val="bottom"/>
          </w:tcPr>
          <w:p>
            <w:pPr>
              <w:spacing w:after="0"/>
              <w:rPr>
                <w:sz w:val="14"/>
                <w:szCs w:val="14"/>
                <w:color w:val="auto"/>
              </w:rPr>
            </w:pPr>
          </w:p>
        </w:tc>
        <w:tc>
          <w:tcPr>
            <w:tcW w:w="134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Value-Added</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Commodity-Based</w:t>
            </w:r>
          </w:p>
        </w:tc>
        <w:tc>
          <w:tcPr>
            <w:tcW w:w="100" w:type="dxa"/>
            <w:vAlign w:val="bottom"/>
            <w:gridSpan w:val="2"/>
          </w:tcPr>
          <w:p>
            <w:pPr>
              <w:spacing w:after="0"/>
              <w:rPr>
                <w:sz w:val="14"/>
                <w:szCs w:val="14"/>
                <w:color w:val="auto"/>
              </w:rPr>
            </w:pPr>
          </w:p>
        </w:tc>
      </w:tr>
      <w:tr>
        <w:trPr>
          <w:trHeight w:val="21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50.8 %</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49.2 %</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46.6 %</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53.4 %</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180" w:type="dxa"/>
            <w:vAlign w:val="bottom"/>
          </w:tcPr>
          <w:p>
            <w:pPr>
              <w:jc w:val="right"/>
              <w:spacing w:after="0"/>
              <w:rPr>
                <w:sz w:val="20"/>
                <w:szCs w:val="20"/>
                <w:color w:val="auto"/>
              </w:rPr>
            </w:pPr>
            <w:r>
              <w:rPr>
                <w:rFonts w:ascii="Arial" w:cs="Arial" w:eastAsia="Arial" w:hAnsi="Arial"/>
                <w:sz w:val="18"/>
                <w:szCs w:val="18"/>
                <w:color w:val="auto"/>
              </w:rPr>
              <w:t>76.4 %</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82.8 %</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180" w:type="dxa"/>
            <w:vAlign w:val="bottom"/>
          </w:tcPr>
          <w:p>
            <w:pPr>
              <w:jc w:val="right"/>
              <w:spacing w:after="0"/>
              <w:rPr>
                <w:sz w:val="20"/>
                <w:szCs w:val="20"/>
                <w:color w:val="auto"/>
              </w:rPr>
            </w:pPr>
            <w:r>
              <w:rPr>
                <w:rFonts w:ascii="Arial" w:cs="Arial" w:eastAsia="Arial" w:hAnsi="Arial"/>
                <w:sz w:val="18"/>
                <w:szCs w:val="18"/>
                <w:color w:val="auto"/>
              </w:rPr>
              <w:t>83.9 %</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75.6 %</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92.1 %</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1180" w:type="dxa"/>
            <w:vAlign w:val="bottom"/>
          </w:tcPr>
          <w:p>
            <w:pPr>
              <w:jc w:val="right"/>
              <w:spacing w:after="0"/>
              <w:rPr>
                <w:sz w:val="20"/>
                <w:szCs w:val="20"/>
                <w:color w:val="auto"/>
              </w:rPr>
            </w:pPr>
            <w:r>
              <w:rPr>
                <w:rFonts w:ascii="Arial" w:cs="Arial" w:eastAsia="Arial" w:hAnsi="Arial"/>
                <w:sz w:val="18"/>
                <w:szCs w:val="18"/>
                <w:color w:val="auto"/>
              </w:rPr>
              <w:t>68.7 %</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31.3 %</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66.3 %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33.7 %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50"/>
        </w:trPr>
        <w:tc>
          <w:tcPr>
            <w:tcW w:w="3640" w:type="dxa"/>
            <w:vAlign w:val="bottom"/>
          </w:tcPr>
          <w:p>
            <w:pPr>
              <w:spacing w:after="0"/>
              <w:rPr>
                <w:sz w:val="24"/>
                <w:szCs w:val="24"/>
                <w:color w:val="auto"/>
              </w:rPr>
            </w:pP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4"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UFP INDUSTRIES, INC.</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3780" w:type="dxa"/>
            <w:vAlign w:val="bottom"/>
          </w:tcPr>
          <w:p>
            <w:pPr>
              <w:spacing w:after="0"/>
              <w:rPr>
                <w:sz w:val="15"/>
                <w:szCs w:val="15"/>
                <w:color w:val="auto"/>
              </w:rPr>
            </w:pPr>
          </w:p>
        </w:tc>
        <w:tc>
          <w:tcPr>
            <w:tcW w:w="5120" w:type="dxa"/>
            <w:vAlign w:val="bottom"/>
            <w:gridSpan w:val="8"/>
          </w:tcPr>
          <w:p>
            <w:pPr>
              <w:ind w:left="20"/>
              <w:spacing w:after="0"/>
              <w:rPr>
                <w:sz w:val="20"/>
                <w:szCs w:val="20"/>
                <w:color w:val="auto"/>
              </w:rPr>
            </w:pPr>
            <w:r>
              <w:rPr>
                <w:rFonts w:ascii="Arial" w:cs="Arial" w:eastAsia="Arial" w:hAnsi="Arial"/>
                <w:sz w:val="14"/>
                <w:szCs w:val="14"/>
                <w:b w:val="1"/>
                <w:bCs w:val="1"/>
                <w:color w:val="auto"/>
                <w:w w:val="95"/>
              </w:rPr>
              <w:t>Nine Months Ended September 30, 2023 Nine Months Ended September 24, 2022</w:t>
            </w:r>
          </w:p>
        </w:tc>
      </w:tr>
      <w:tr>
        <w:trPr>
          <w:trHeight w:val="169"/>
        </w:trPr>
        <w:tc>
          <w:tcPr>
            <w:tcW w:w="3780" w:type="dxa"/>
            <w:vAlign w:val="bottom"/>
          </w:tcPr>
          <w:p>
            <w:pPr>
              <w:spacing w:after="0"/>
              <w:rPr>
                <w:sz w:val="14"/>
                <w:szCs w:val="14"/>
                <w:color w:val="auto"/>
              </w:rPr>
            </w:pPr>
          </w:p>
        </w:tc>
        <w:tc>
          <w:tcPr>
            <w:tcW w:w="130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Value-Added</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Commodity-Based</w:t>
            </w:r>
          </w:p>
        </w:tc>
        <w:tc>
          <w:tcPr>
            <w:tcW w:w="80" w:type="dxa"/>
            <w:vAlign w:val="bottom"/>
          </w:tcPr>
          <w:p>
            <w:pPr>
              <w:spacing w:after="0"/>
              <w:rPr>
                <w:sz w:val="14"/>
                <w:szCs w:val="14"/>
                <w:color w:val="auto"/>
              </w:rPr>
            </w:pPr>
          </w:p>
        </w:tc>
        <w:tc>
          <w:tcPr>
            <w:tcW w:w="130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Value-Added</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Commodity-Based</w:t>
            </w:r>
          </w:p>
        </w:tc>
        <w:tc>
          <w:tcPr>
            <w:tcW w:w="120" w:type="dxa"/>
            <w:vAlign w:val="bottom"/>
          </w:tcPr>
          <w:p>
            <w:pPr>
              <w:spacing w:after="0"/>
              <w:rPr>
                <w:sz w:val="14"/>
                <w:szCs w:val="14"/>
                <w:color w:val="auto"/>
              </w:rPr>
            </w:pPr>
          </w:p>
        </w:tc>
      </w:tr>
      <w:tr>
        <w:trPr>
          <w:trHeight w:val="216"/>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50.8 %</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49.2 %</w:t>
            </w: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44.2 %</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55.8 %</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160" w:type="dxa"/>
            <w:vAlign w:val="bottom"/>
          </w:tcPr>
          <w:p>
            <w:pPr>
              <w:jc w:val="right"/>
              <w:spacing w:after="0"/>
              <w:rPr>
                <w:sz w:val="20"/>
                <w:szCs w:val="20"/>
                <w:color w:val="auto"/>
              </w:rPr>
            </w:pPr>
            <w:r>
              <w:rPr>
                <w:rFonts w:ascii="Arial" w:cs="Arial" w:eastAsia="Arial" w:hAnsi="Arial"/>
                <w:sz w:val="18"/>
                <w:szCs w:val="18"/>
                <w:color w:val="auto"/>
              </w:rPr>
              <w:t>77.0 %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23.0 %</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70.9 %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29.1 %</w:t>
            </w:r>
          </w:p>
        </w:tc>
        <w:tc>
          <w:tcPr>
            <w:tcW w:w="120" w:type="dxa"/>
            <w:vAlign w:val="bottom"/>
          </w:tcPr>
          <w:p>
            <w:pPr>
              <w:spacing w:after="0"/>
              <w:rPr>
                <w:sz w:val="18"/>
                <w:szCs w:val="18"/>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120" w:type="dxa"/>
            <w:vAlign w:val="bottom"/>
            <w:shd w:val="clear" w:color="auto" w:fill="CCEEFF"/>
          </w:tcPr>
          <w:p>
            <w:pPr>
              <w:spacing w:after="0"/>
              <w:rPr>
                <w:sz w:val="18"/>
                <w:szCs w:val="18"/>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160" w:type="dxa"/>
            <w:vAlign w:val="bottom"/>
          </w:tcPr>
          <w:p>
            <w:pPr>
              <w:jc w:val="right"/>
              <w:spacing w:after="0"/>
              <w:rPr>
                <w:sz w:val="20"/>
                <w:szCs w:val="20"/>
                <w:color w:val="auto"/>
              </w:rPr>
            </w:pPr>
            <w:r>
              <w:rPr>
                <w:rFonts w:ascii="Arial" w:cs="Arial" w:eastAsia="Arial" w:hAnsi="Arial"/>
                <w:sz w:val="18"/>
                <w:szCs w:val="18"/>
                <w:color w:val="auto"/>
              </w:rPr>
              <w:t>79.7 %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20.3 %</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73.6 %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Pr>
          <w:p>
            <w:pPr>
              <w:spacing w:after="0"/>
              <w:rPr>
                <w:sz w:val="18"/>
                <w:szCs w:val="18"/>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18"/>
                <w:szCs w:val="18"/>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Total Sales</w:t>
            </w:r>
          </w:p>
        </w:tc>
        <w:tc>
          <w:tcPr>
            <w:tcW w:w="1160" w:type="dxa"/>
            <w:vAlign w:val="bottom"/>
          </w:tcPr>
          <w:p>
            <w:pPr>
              <w:jc w:val="right"/>
              <w:spacing w:after="0"/>
              <w:rPr>
                <w:sz w:val="20"/>
                <w:szCs w:val="20"/>
                <w:color w:val="auto"/>
              </w:rPr>
            </w:pPr>
            <w:r>
              <w:rPr>
                <w:rFonts w:ascii="Arial" w:cs="Arial" w:eastAsia="Arial" w:hAnsi="Arial"/>
                <w:sz w:val="18"/>
                <w:szCs w:val="18"/>
                <w:color w:val="auto"/>
              </w:rPr>
              <w:t>67.8 %</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32.2 %</w:t>
            </w:r>
          </w:p>
        </w:tc>
        <w:tc>
          <w:tcPr>
            <w:tcW w:w="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62.3 %</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37.7 %</w:t>
            </w:r>
          </w:p>
        </w:tc>
        <w:tc>
          <w:tcPr>
            <w:tcW w:w="120" w:type="dxa"/>
            <w:vAlign w:val="bottom"/>
          </w:tcPr>
          <w:p>
            <w:pPr>
              <w:spacing w:after="0"/>
              <w:rPr>
                <w:sz w:val="20"/>
                <w:szCs w:val="20"/>
                <w:color w:val="auto"/>
              </w:rPr>
            </w:pPr>
          </w:p>
        </w:tc>
      </w:tr>
    </w:tbl>
    <w:p>
      <w:pPr>
        <w:spacing w:after="0" w:line="142" w:lineRule="exact"/>
        <w:rPr>
          <w:sz w:val="20"/>
          <w:szCs w:val="20"/>
          <w:color w:val="auto"/>
        </w:rPr>
      </w:pPr>
    </w:p>
    <w:p>
      <w:pPr>
        <w:ind w:left="60" w:right="260"/>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"value-added" resulted in a change in prior year's sales.</w:t>
      </w:r>
    </w:p>
    <w:p>
      <w:pPr>
        <w:spacing w:after="0" w:line="178" w:lineRule="exact"/>
        <w:rPr>
          <w:sz w:val="20"/>
          <w:szCs w:val="20"/>
          <w:color w:val="auto"/>
        </w:rPr>
      </w:pPr>
    </w:p>
    <w:p>
      <w:pPr>
        <w:jc w:val="both"/>
        <w:ind w:left="380" w:right="80"/>
        <w:spacing w:after="0" w:line="311" w:lineRule="auto"/>
        <w:rPr>
          <w:sz w:val="20"/>
          <w:szCs w:val="20"/>
          <w:color w:val="auto"/>
        </w:rPr>
      </w:pPr>
      <w:r>
        <w:rPr>
          <w:rFonts w:ascii="Arial" w:cs="Arial" w:eastAsia="Arial" w:hAnsi="Arial"/>
          <w:sz w:val="16"/>
          <w:szCs w:val="16"/>
          <w:color w:val="auto"/>
        </w:rPr>
        <w:t>Our overall unit sales of value-added products decreased approximately 9% in the third quarter and first nine months of 2023 compared to 2022. Our overall unit sales of commodity-based products decreased approximately 10% in the third quarter and approximately 9% in the first nine months of 2023 compared to the same period last year.</w:t>
      </w:r>
    </w:p>
    <w:p>
      <w:pPr>
        <w:spacing w:after="0" w:line="149" w:lineRule="exact"/>
        <w:rPr>
          <w:sz w:val="20"/>
          <w:szCs w:val="20"/>
          <w:color w:val="auto"/>
        </w:rPr>
      </w:pPr>
    </w:p>
    <w:p>
      <w:pPr>
        <w:jc w:val="both"/>
        <w:ind w:left="380" w:right="100" w:hanging="330"/>
        <w:spacing w:after="0" w:line="25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Developing new products.</w:t>
      </w:r>
      <w:r>
        <w:rPr>
          <w:rFonts w:ascii="Arial" w:cs="Arial" w:eastAsia="Arial" w:hAnsi="Arial"/>
          <w:sz w:val="18"/>
          <w:szCs w:val="18"/>
          <w:color w:val="auto"/>
        </w:rPr>
        <w:t xml:space="preserve"> We define new products as those that will generate sales of at least $1 million per year within 4 years of launch and are still growing and gaining market penetration and meet our internal definition of value-added products. New product sales in the third quarter and first nine months of 2023 decreased 2% and 3%, respectively, due to a decline in lumber prices, which were passed to customers in our selling prices. Approximately $13.5 million of new product sales for the first nine months of 2022, while still sold, were sunset in 2023 and excluded from the table below because they no longer meet the definition above. Our goal is to achieve annual new product sales of at least $795 million in 2023.</w:t>
      </w:r>
    </w:p>
    <w:p>
      <w:pPr>
        <w:spacing w:after="0" w:line="194"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The table below presents new product sales in thousands:</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7"/>
          </w:tcPr>
          <w:p>
            <w:pPr>
              <w:jc w:val="center"/>
              <w:ind w:left="604"/>
              <w:spacing w:after="0"/>
              <w:rPr>
                <w:sz w:val="20"/>
                <w:szCs w:val="20"/>
                <w:color w:val="auto"/>
              </w:rPr>
            </w:pPr>
            <w:r>
              <w:rPr>
                <w:rFonts w:ascii="Arial" w:cs="Arial" w:eastAsia="Arial" w:hAnsi="Arial"/>
                <w:sz w:val="14"/>
                <w:szCs w:val="14"/>
                <w:b w:val="1"/>
                <w:bCs w:val="1"/>
                <w:color w:val="auto"/>
                <w:w w:val="90"/>
              </w:rPr>
              <w:t>New Product Sales by Segment</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5"/>
        </w:trPr>
        <w:tc>
          <w:tcPr>
            <w:tcW w:w="2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6"/>
        </w:trPr>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55"/>
              <w:spacing w:after="0" w:line="126" w:lineRule="exact"/>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0"/>
                <w:szCs w:val="10"/>
                <w:color w:val="auto"/>
              </w:rPr>
            </w:pPr>
          </w:p>
        </w:tc>
        <w:tc>
          <w:tcPr>
            <w:tcW w:w="96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9"/>
              </w:rPr>
              <w:t>% of Segment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tcPr>
          <w:p>
            <w:pPr>
              <w:ind w:left="140"/>
              <w:spacing w:after="0" w:line="126" w:lineRule="exact"/>
              <w:rPr>
                <w:sz w:val="20"/>
                <w:szCs w:val="20"/>
                <w:color w:val="auto"/>
              </w:rPr>
            </w:pPr>
            <w:r>
              <w:rPr>
                <w:rFonts w:ascii="Arial" w:cs="Arial" w:eastAsia="Arial" w:hAnsi="Arial"/>
                <w:sz w:val="14"/>
                <w:szCs w:val="14"/>
                <w:b w:val="1"/>
                <w:bCs w:val="1"/>
                <w:color w:val="auto"/>
              </w:rPr>
              <w:t>September 24,</w:t>
            </w:r>
          </w:p>
        </w:tc>
        <w:tc>
          <w:tcPr>
            <w:tcW w:w="116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 of Segment</w:t>
            </w:r>
          </w:p>
        </w:tc>
        <w:tc>
          <w:tcPr>
            <w:tcW w:w="10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7"/>
              </w:rPr>
              <w:t>% Change</w:t>
            </w:r>
          </w:p>
        </w:tc>
        <w:tc>
          <w:tcPr>
            <w:tcW w:w="200" w:type="dxa"/>
            <w:vAlign w:val="bottom"/>
          </w:tcPr>
          <w:p>
            <w:pPr>
              <w:spacing w:after="0"/>
              <w:rPr>
                <w:sz w:val="10"/>
                <w:szCs w:val="10"/>
                <w:color w:val="auto"/>
              </w:rPr>
            </w:pPr>
          </w:p>
        </w:tc>
      </w:tr>
      <w:tr>
        <w:trPr>
          <w:trHeight w:val="178"/>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160" w:type="dxa"/>
            <w:vAlign w:val="bottom"/>
          </w:tcPr>
          <w:p>
            <w:pPr>
              <w:spacing w:after="0"/>
              <w:rPr>
                <w:sz w:val="15"/>
                <w:szCs w:val="15"/>
                <w:color w:val="auto"/>
              </w:rPr>
            </w:pPr>
          </w:p>
        </w:tc>
        <w:tc>
          <w:tcPr>
            <w:tcW w:w="142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 Sales</w:t>
            </w: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77,751</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80,038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67,176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8.0 %</w:t>
            </w:r>
          </w:p>
        </w:tc>
        <w:tc>
          <w:tcPr>
            <w:tcW w:w="200" w:type="dxa"/>
            <w:vAlign w:val="bottom"/>
          </w:tcPr>
          <w:p>
            <w:pPr>
              <w:spacing w:after="0"/>
              <w:rPr>
                <w:sz w:val="18"/>
                <w:szCs w:val="18"/>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32,931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200" w:type="dxa"/>
            <w:vAlign w:val="bottom"/>
            <w:shd w:val="clear" w:color="auto" w:fill="CCEEFF"/>
          </w:tcPr>
          <w:p>
            <w:pPr>
              <w:spacing w:after="0"/>
              <w:rPr>
                <w:sz w:val="18"/>
                <w:szCs w:val="18"/>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8"/>
                <w:szCs w:val="18"/>
                <w:color w:val="auto"/>
              </w:rPr>
              <w:t>All Other and Corporate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15.5 %</w:t>
            </w:r>
          </w:p>
        </w:tc>
        <w:tc>
          <w:tcPr>
            <w:tcW w:w="200" w:type="dxa"/>
            <w:vAlign w:val="bottom"/>
          </w:tcPr>
          <w:p>
            <w:pPr>
              <w:spacing w:after="0"/>
              <w:rPr>
                <w:sz w:val="19"/>
                <w:szCs w:val="19"/>
                <w:color w:val="auto"/>
              </w:rPr>
            </w:pPr>
          </w:p>
        </w:tc>
      </w:tr>
      <w:tr>
        <w:trPr>
          <w:trHeight w:val="216"/>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New Product Sales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176,523</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Note: Certain prior year product reclassifications and the change in designation of certain products as "new" resulted in a change in prior year's sales.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w w:val="89"/>
              </w:rPr>
              <w:t>New Product Sales by Segment</w:t>
            </w: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5"/>
        </w:trPr>
        <w:tc>
          <w:tcPr>
            <w:tcW w:w="2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26"/>
        </w:trPr>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ind w:right="55"/>
              <w:spacing w:after="0" w:line="126" w:lineRule="exact"/>
              <w:rPr>
                <w:sz w:val="20"/>
                <w:szCs w:val="20"/>
                <w:color w:val="auto"/>
              </w:rPr>
            </w:pPr>
            <w:r>
              <w:rPr>
                <w:rFonts w:ascii="Arial" w:cs="Arial" w:eastAsia="Arial" w:hAnsi="Arial"/>
                <w:sz w:val="14"/>
                <w:szCs w:val="14"/>
                <w:b w:val="1"/>
                <w:bCs w:val="1"/>
                <w:color w:val="auto"/>
                <w:w w:val="93"/>
              </w:rPr>
              <w:t>September 30,</w:t>
            </w:r>
          </w:p>
        </w:tc>
        <w:tc>
          <w:tcPr>
            <w:tcW w:w="120" w:type="dxa"/>
            <w:vAlign w:val="bottom"/>
          </w:tcPr>
          <w:p>
            <w:pPr>
              <w:spacing w:after="0"/>
              <w:rPr>
                <w:sz w:val="10"/>
                <w:szCs w:val="10"/>
                <w:color w:val="auto"/>
              </w:rPr>
            </w:pPr>
          </w:p>
        </w:tc>
        <w:tc>
          <w:tcPr>
            <w:tcW w:w="1000" w:type="dxa"/>
            <w:vAlign w:val="bottom"/>
            <w:gridSpan w:val="2"/>
          </w:tcPr>
          <w:p>
            <w:pPr>
              <w:jc w:val="right"/>
              <w:spacing w:after="0" w:line="126" w:lineRule="exact"/>
              <w:rPr>
                <w:sz w:val="20"/>
                <w:szCs w:val="20"/>
                <w:color w:val="auto"/>
              </w:rPr>
            </w:pPr>
            <w:r>
              <w:rPr>
                <w:rFonts w:ascii="Arial" w:cs="Arial" w:eastAsia="Arial" w:hAnsi="Arial"/>
                <w:sz w:val="14"/>
                <w:szCs w:val="14"/>
                <w:b w:val="1"/>
                <w:bCs w:val="1"/>
                <w:color w:val="auto"/>
                <w:w w:val="99"/>
              </w:rPr>
              <w:t>% of Segment</w:t>
            </w:r>
          </w:p>
        </w:tc>
        <w:tc>
          <w:tcPr>
            <w:tcW w:w="220" w:type="dxa"/>
            <w:vAlign w:val="bottom"/>
          </w:tcPr>
          <w:p>
            <w:pPr>
              <w:spacing w:after="0"/>
              <w:rPr>
                <w:sz w:val="10"/>
                <w:szCs w:val="10"/>
                <w:color w:val="auto"/>
              </w:rPr>
            </w:pPr>
          </w:p>
        </w:tc>
        <w:tc>
          <w:tcPr>
            <w:tcW w:w="1360" w:type="dxa"/>
            <w:vAlign w:val="bottom"/>
            <w:gridSpan w:val="3"/>
          </w:tcPr>
          <w:p>
            <w:pPr>
              <w:jc w:val="right"/>
              <w:ind w:right="340"/>
              <w:spacing w:after="0" w:line="126" w:lineRule="exact"/>
              <w:rPr>
                <w:sz w:val="20"/>
                <w:szCs w:val="20"/>
                <w:color w:val="auto"/>
              </w:rPr>
            </w:pPr>
            <w:r>
              <w:rPr>
                <w:rFonts w:ascii="Arial" w:cs="Arial" w:eastAsia="Arial" w:hAnsi="Arial"/>
                <w:sz w:val="14"/>
                <w:szCs w:val="14"/>
                <w:b w:val="1"/>
                <w:bCs w:val="1"/>
                <w:color w:val="auto"/>
              </w:rPr>
              <w:t>September 24,</w:t>
            </w:r>
          </w:p>
        </w:tc>
        <w:tc>
          <w:tcPr>
            <w:tcW w:w="116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 of Segment</w:t>
            </w:r>
          </w:p>
        </w:tc>
        <w:tc>
          <w:tcPr>
            <w:tcW w:w="10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7"/>
              </w:rPr>
              <w:t>% Change</w:t>
            </w:r>
          </w:p>
        </w:tc>
        <w:tc>
          <w:tcPr>
            <w:tcW w:w="200" w:type="dxa"/>
            <w:vAlign w:val="bottom"/>
          </w:tcPr>
          <w:p>
            <w:pPr>
              <w:spacing w:after="0"/>
              <w:rPr>
                <w:sz w:val="10"/>
                <w:szCs w:val="10"/>
                <w:color w:val="auto"/>
              </w:rPr>
            </w:pPr>
          </w:p>
        </w:tc>
      </w:tr>
      <w:tr>
        <w:trPr>
          <w:trHeight w:val="178"/>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200" w:type="dxa"/>
            <w:vAlign w:val="bottom"/>
          </w:tcPr>
          <w:p>
            <w:pPr>
              <w:spacing w:after="0"/>
              <w:rPr>
                <w:sz w:val="15"/>
                <w:szCs w:val="15"/>
                <w:color w:val="auto"/>
              </w:rPr>
            </w:pPr>
          </w:p>
        </w:tc>
        <w:tc>
          <w:tcPr>
            <w:tcW w:w="138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Net Sales</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 Sales</w:t>
            </w: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247,407</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248,034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219,008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205,838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6.4 %</w:t>
            </w:r>
          </w:p>
        </w:tc>
        <w:tc>
          <w:tcPr>
            <w:tcW w:w="200" w:type="dxa"/>
            <w:vAlign w:val="bottom"/>
          </w:tcPr>
          <w:p>
            <w:pPr>
              <w:spacing w:after="0"/>
              <w:rPr>
                <w:sz w:val="18"/>
                <w:szCs w:val="18"/>
                <w:color w:val="auto"/>
              </w:rPr>
            </w:pPr>
          </w:p>
        </w:tc>
      </w:tr>
      <w:tr>
        <w:trPr>
          <w:trHeight w:val="216"/>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 %</w:t>
            </w:r>
          </w:p>
        </w:tc>
        <w:tc>
          <w:tcPr>
            <w:tcW w:w="200" w:type="dxa"/>
            <w:vAlign w:val="bottom"/>
            <w:shd w:val="clear" w:color="auto" w:fill="CCEEFF"/>
          </w:tcPr>
          <w:p>
            <w:pPr>
              <w:spacing w:after="0"/>
              <w:rPr>
                <w:sz w:val="18"/>
                <w:szCs w:val="18"/>
                <w:color w:val="auto"/>
              </w:rPr>
            </w:pPr>
          </w:p>
        </w:tc>
      </w:tr>
      <w:tr>
        <w:trPr>
          <w:trHeight w:val="223"/>
        </w:trPr>
        <w:tc>
          <w:tcPr>
            <w:tcW w:w="2740" w:type="dxa"/>
            <w:vAlign w:val="bottom"/>
          </w:tcPr>
          <w:p>
            <w:pPr>
              <w:ind w:left="20"/>
              <w:spacing w:after="0"/>
              <w:rPr>
                <w:sz w:val="20"/>
                <w:szCs w:val="20"/>
                <w:color w:val="auto"/>
              </w:rPr>
            </w:pPr>
            <w:r>
              <w:rPr>
                <w:rFonts w:ascii="Arial" w:cs="Arial" w:eastAsia="Arial" w:hAnsi="Arial"/>
                <w:sz w:val="18"/>
                <w:szCs w:val="18"/>
                <w:color w:val="auto"/>
              </w:rPr>
              <w:t>All Other and Corporate</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1,876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(31.4) %</w:t>
            </w:r>
          </w:p>
        </w:tc>
        <w:tc>
          <w:tcPr>
            <w:tcW w:w="200" w:type="dxa"/>
            <w:vAlign w:val="bottom"/>
          </w:tcPr>
          <w:p>
            <w:pPr>
              <w:spacing w:after="0"/>
              <w:rPr>
                <w:sz w:val="19"/>
                <w:szCs w:val="19"/>
                <w:color w:val="auto"/>
              </w:rPr>
            </w:pPr>
          </w:p>
        </w:tc>
      </w:tr>
      <w:tr>
        <w:trPr>
          <w:trHeight w:val="216"/>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New Product Sales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547,881</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564,845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03" w:lineRule="exact"/>
        <w:rPr>
          <w:sz w:val="20"/>
          <w:szCs w:val="20"/>
          <w:color w:val="auto"/>
        </w:rPr>
      </w:pPr>
    </w:p>
    <w:p>
      <w:pPr>
        <w:ind w:left="60"/>
        <w:spacing w:after="0"/>
        <w:rPr>
          <w:sz w:val="20"/>
          <w:szCs w:val="20"/>
          <w:color w:val="auto"/>
        </w:rPr>
      </w:pPr>
      <w:r>
        <w:rPr>
          <w:rFonts w:ascii="Arial" w:cs="Arial" w:eastAsia="Arial" w:hAnsi="Arial"/>
          <w:sz w:val="13"/>
          <w:szCs w:val="13"/>
          <w:color w:val="auto"/>
        </w:rPr>
        <w:t>Note: Certain prior year product reclassifications and the change in designation of certain products as "new" resulted in a change in prior year's sales.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544" w:right="1419"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Retail Segment</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Net sales in the third quarter of 2023 decreased by 16% compared to the same period of 2022 due to a 9% decline in selling prices and a 7% decline in organic units. Our selling prices of variable-priced products declined due to lower lumber prices. The selling prices of these products are indexed to the lumber market at the time they are shipped. Additionally, our unit sales to big box customers, which we believe are more closely correlated with repair and remodel activity, increased approximately 1%, while unit sales to independent retailers, which we believe are more closely correlated to new housing starts, decreased approximately 22%.</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Gross profits increased by $23.9 million, or 30.9% to $101.4 million for the third quarter of 2023 compared to the same period last year. The increase in gross profit was attributable to the following</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720" w:right="79" w:hanging="319"/>
        <w:spacing w:after="0" w:line="25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gross profits of our Sunbelt and ProWood business units increased by a total of $20.6 million. The products sold by these units consist primarily of pressure treated lumber sold at a variable price indexed to the lumber market at the time they are shipped. The improvement in profitability is primarily due to the greater utilization of our managed inventory programs and the unfavorable impact a decline in lumber prices had on our profitability during the third quarter of 2022.</w:t>
      </w:r>
    </w:p>
    <w:p>
      <w:pPr>
        <w:spacing w:after="0" w:line="187"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gross profit of our Deckorators business unit increased by $6.8 million due to an increase in sales of new products and operational improvements.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SG&amp;A increased by approximately $7.6 million, or 15.6%, in the third quarter of 2023 compared to the same period of 2022. Accrued bonus expense, which varies with the overall profitability of the segment and return on investment, increased approximately $5.0 million from the third quarter of 2022 and totaled approximately $13.1 million for the quarter. The remaining increase was primarily due to a $1 million increase in advertising.</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Retail reportable segment increased in the third quarter of 2023 compared to 2022 by $16.4 million, or 56.7%, as a result of the factors mentioned above.</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Net sales in the first nine months of 2023 decreased by 20% compared to the same period of 2022, due to a 17% decrease in selling prices and a 3% organic unit decline. Our selling prices of variable-priced products declined due to lower lumber prices. The selling prices of these products are indexed to the lumber market at the time they are shipped. Unit sales to big box customers increased approximately 6%, while unit sales to independent retailers decreased approximately 18%.</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Gross profits increased by $31.8 million, or 11.2% to $316.8 million for the first nine months of 2023 compared to the same period last year. Our increase in gross profit was attributable to the following</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720" w:right="79" w:hanging="319"/>
        <w:spacing w:after="0" w:line="259"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gross profits of our Sunbelt and ProWood business units increased $26.2 million, primarily due to less volatile lumber prices during the first nine months of 2023 compared to severe volatility in the same period of 2022. The products sold by these units consist primarily of pressure treated lumber sold at a variable price indexed to the lumber market at the time they are shipped.</w:t>
      </w:r>
    </w:p>
    <w:p>
      <w:pPr>
        <w:spacing w:after="0" w:line="18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gross profit of our Deckorators business unit increased by $16.1 million due to an increase in overall unit sales, sales of new products, and operational improvements.</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SG&amp;A increased by approximately $10.7 million, or 6.7%, in the first nine months of 2023 compared to the same period of 2022. Accrued bonus expense, which varies with the overall profitability of the segment and return on investment, increased approximately $7.5 million and totaled approximately $40.0 million for the first nine months of 2023. Additionally, increases in salaries and wages of $2.0 million and advertising expenses of $3.4 million were offset by decreases in sales incentive compensation of $2.3 million and a reduction in bad debt expenses of $1.4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Retail reportable segment increased in the first nine months of 2023 compared to 2022 by $21.7 million, or 17.4%, as a result of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Packaging Segment</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sales in the third quarter of 2023 decreased 23% compared to the same period of 2022, due to a 16% decrease in selling prices and a 9% decrease in organic unit sales, offset by acquisition unit growth of 2%. The decrease in unit sales is primarily due to a decline in demand from existing customers. The decline in prices is due to competitive price pressure as well as lower lumber costs.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Gross profits decreased by $49.9 million, or 34.7%, for the third quarter of 2023 compared to the same period last year. The decrease in gross profits is primarily due to competitive price pressure due to lower demand as well as lower unit sales, and unfavorable cost variances as a result of fixed manufacturing costs. Acquisitions contributed $1.3 million to gross profit.</w:t>
      </w:r>
    </w:p>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SG&amp;A decreased by approximately $14.0 million, or 21.0%, in the third quarter of 2023 compared to the same period of 2022. Accrued bonus expense, which varies with the overall profitability of the segment and return on investment, decreased approximately $6.5 million relative to the third quarter of 2022, and totaled $13.4 million for the quarter. Additionally, bad debt and incentive compensation expense decreased $5.3 million and $5.0 million, respectively, from the prior year. These decreases were offset by an increase in salaries and wages of $2.3 million. Acquired operations since the third quarter of 2022 contributed approximately $0.7 million to our SG&amp;A costs.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Packaging reportable segment decreased in the third quarter of 2023 compared to 2022 by $35.9 million, or 46.4%, due to the factors discussed above.</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sales in the first nine months of 2023 decreased 24% compared to the same period of 2022, due to a 19% decrease in selling prices and a 7% decrease in organic unit sales, partially offset by acquisition unit growth of 2%. The decrease in unit sales is primarily due to a decline in demand from existing customers. The decline in prices is due to competitive price pressure as well as lower lumber costs passed to customers.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Gross profits decreased by $122.4 million, or 26.9%, for the first nine months of 2023 compared to the same period last year. The decrease in gross profits is primarily due to competitive price pressure due to lower demand as well as lower unit sales, and unfavorable cost variances as a result of fixed manufacturing costs. Acquisitions contributed $6.7 million to gross profit.</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SG&amp;A decreased by approximately $20.8 million, or 10.4%, in the first nine months of 2023 compared to the same period of 2022. Accrued bonus expense, which varies with the overall profitability of the segment and return on investment, decreased approximately $18.0 million, and totaled $45.3 million for the nine months of 2023. Additionally, our bad debt expense decreased by $12.8 million, and incentive compensation expense decreased by $4.5 million. These decreases were partially offset by increases in salaries and wages of $7.3 million, travel related expenses of $2.3 million, and several small increases in several different accounts. Finally, acquired operations since the first nine months of 2022 contributed approximately $4.7 million to our increase in costs.</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Earnings from operations for the Packaging reportable segment decreased in the first nine months of 2023 compared to 2022 by $100.9 million, or 39.7%, due to the factors discussed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Net sales in the third quarter of 2023 decreased 25% compared to the same period of 2022, due to a 12% decrease in selling prices and an organic unit decline of 13%. Organic unit changes within this segment consist of decreases of 1% in concrete forming, 8% in factory-built housing, 15% in site-built construction, and 27% in commercial construction. The organic unit declines in our site-built and factory-built housing business units are due to the impact of higher interest rates on the</w:t>
      </w:r>
    </w:p>
    <w:p>
      <w:pPr>
        <w:sectPr>
          <w:pgSz w:w="11900" w:h="16838" w:orient="portrait"/>
          <w:cols w:equalWidth="0" w:num="1">
            <w:col w:w="9019"/>
          </w:cols>
          <w:pgMar w:left="1440" w:top="544"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demand for housing which has resulted in a 15% year over year decline in national housing starts and a 19% year over year decline in manufactured housing production in the third quarter of 2023. The organic unit decline in commercial construction is primarily due to a decline in market demand. As of September 30, 2023 and September 24, 2022, we estimate that our backlog of orders in our site-built construction business unit were $91 million and $118 million, respectively. The decline in pricing was due to competitive price pressure as well as the decline in lumber prices, which were passed to our customers.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Gross profits decreased by $54.8 million, or 27.4%, in the third quarter of 2023 compared to the same period of 2022. The decrease in our gross profit was comprised of the following:</w:t>
      </w:r>
    </w:p>
    <w:p>
      <w:pPr>
        <w:spacing w:after="0" w:line="170" w:lineRule="exact"/>
        <w:rPr>
          <w:sz w:val="20"/>
          <w:szCs w:val="20"/>
          <w:color w:val="auto"/>
        </w:rPr>
      </w:pPr>
    </w:p>
    <w:p>
      <w:pPr>
        <w:jc w:val="both"/>
        <w:ind w:left="720" w:right="79" w:hanging="319"/>
        <w:spacing w:after="0" w:line="263"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profits in our factory-built housing and site-built construction business units decreased by $6.8 million and $41.5 million, respectively, due to competitive price pressure, lower sales volumes and unfavorable cost variances due to fixed manufacturing costs.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gross profit of our concrete forming business unit decreased by $3.9 million due to a decline in selling prices.</w:t>
      </w:r>
    </w:p>
    <w:p>
      <w:pPr>
        <w:spacing w:after="0" w:line="248"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gross profit of our commercial construction business unit decreased $2.5 million as a result of lower unit sales.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SG&amp;A decreased by approximately $14.2 million, or 15.8%, in the third quarter of 2023 compared to the same period of 2022. Accrued bonus expense, which varies with the overall profitability of the segment and return on investment, decreased approximately $7.9 million, and totaled $19.5 million for the quarter. The remaining decrease was primarily due to decreases in sales incentive compensation of $3.1 million, professional fees of $2.7 million, and bad debt expense of $1.0 million.</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Construction reportable segment decreased in the third quarter of 2023 compared to 2022 by $40.8 million, or 37.0%, due to the factors mentioned above.</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Net sales in the first nine months of 2023 decreased 35% compared to the same period of 2022, due to a 19% decrease in selling prices and a decline in organic unit sales of 16%. Organic unit changes within this segment consisted of decreases of 17% in site-built housing, 17% in factory-built housing, and 22% in commercial construction. These declines were partially offset by 1% organic unit growth in concrete forming. The decline in pricing was due to competitive price pressure as well as the decline in lumber prices, which were passed to our customers.</w:t>
      </w:r>
    </w:p>
    <w:p>
      <w:pPr>
        <w:spacing w:after="0" w:line="1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Gross profits decreased by $184.6 million, or 31.4%, for the first nine months of 2023 compared to the same period of 2022. The decrease in our gross profit was comprised of the following:</w:t>
      </w:r>
    </w:p>
    <w:p>
      <w:pPr>
        <w:spacing w:after="0" w:line="170" w:lineRule="exact"/>
        <w:rPr>
          <w:sz w:val="20"/>
          <w:szCs w:val="20"/>
          <w:color w:val="auto"/>
        </w:rPr>
      </w:pPr>
    </w:p>
    <w:p>
      <w:pPr>
        <w:jc w:val="both"/>
        <w:ind w:left="720" w:right="79" w:hanging="319"/>
        <w:spacing w:after="0" w:line="263"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profits in our factory-built housing and site-built construction business units decreased by $65.4 million and $107.7 million, respectively, due to competitive price pressure as well as lower sales volumes and unfavorable cost variances due to fixed manufacturing costs.</w:t>
      </w:r>
    </w:p>
    <w:p>
      <w:pPr>
        <w:spacing w:after="0" w:line="18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gross profit of our concrete forming business unit decreased by $13.0 million due to a decline in selling prices.</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SG&amp;A decreased by approximately $49.7 million, or 18.7%, in the first nine months of 2023 compared to the same period of 2022. Accrued bonus expense, which varies with the overall profitability of the segment and return on investment, decreased approximately $27.7 million, and totaled $51.1 million for the first nine months of 2023. The remaining decrease was primarily due to decreases in sales incentive compensation of $15.1 million, professional fees of $4.6 million, and bad debt expense of $4.0 million. These decreases were offset by small increases in several SG&amp;A accounts.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Earnings from operations for the Construction reportable segment decreased in the first nine months of 2023 compared to 2022 by $136.3 million, or 42.3%, due to the factors mentioned above.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All Other reportable segment consists of our International and Ardellis (our insurance captive) segments that are not significant. The decline in sales and earnings from operations is primarily due to our operation in Mexico that exports moulding and millwork products to the U.S.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foreign, state and local income taxes and permanent tax differences. Our effective tax rate was 22.7% in the third quarter of 2023 compared to 25.4% in the same period of 2022 and was 23.3% in the first nine months of 2023 compared to 24.8% for the same period in 2022. The decrease in our overall effective tax rate was primarily due to an increase in our tax deduction from stock-based compensation accounted for as a permanent difference, and an increase in our R&amp;D tax credit.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5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w w:val="91"/>
              </w:rPr>
              <w:t>September 24,</w:t>
            </w:r>
          </w:p>
        </w:tc>
      </w:tr>
      <w:tr>
        <w:trPr>
          <w:trHeight w:val="178"/>
        </w:trPr>
        <w:tc>
          <w:tcPr>
            <w:tcW w:w="576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from operating activities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711,803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533,046</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3"/>
              </w:rPr>
              <w:t>(187,548)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8"/>
              </w:rPr>
              <w:t>(222,612)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(126,224)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(151,654)</w:t>
            </w:r>
          </w:p>
        </w:tc>
      </w:tr>
      <w:tr>
        <w:trPr>
          <w:trHeight w:val="223"/>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158,641</w:t>
            </w:r>
          </w:p>
        </w:tc>
      </w:tr>
      <w:tr>
        <w:trPr>
          <w:trHeight w:val="223"/>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559,623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291,223</w:t>
            </w:r>
          </w:p>
        </w:tc>
      </w:tr>
      <w:tr>
        <w:trPr>
          <w:trHeight w:val="216"/>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960,853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449,864</w:t>
            </w:r>
          </w:p>
        </w:tc>
      </w:tr>
      <w:tr>
        <w:trPr>
          <w:trHeight w:val="20"/>
        </w:trPr>
        <w:tc>
          <w:tcPr>
            <w:tcW w:w="5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general, we fund our growth through a combination of operating cash flows, our revolving credit facility, and issuance of long-term notes payable at times when interest rates are favorable. We have not issued equity to finance growth except in the case of a large acquisition that occurred many years ago.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September. Consequently, our working capital typically increases during our first and second quarters resulting in negative or modest cash flows from operations during those periods. Conversely, we tend to experience a substantial decrease in working capital once we move beyond our peak selling season which typically results in significant cash flows from operations in our third and fourth quarters.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of payables outstanding) is a good indicator of our working capital management. As indicated in the table below, our cash cycle decreased to 62 days from 63 days during the third quarter of 2023 compared to the prior year period and increased to 65 days from 60 days during the first nine months of 2023 compared to the prior year.</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4800" w:type="dxa"/>
            <w:vAlign w:val="bottom"/>
          </w:tcPr>
          <w:p>
            <w:pPr>
              <w:spacing w:after="0"/>
              <w:rPr>
                <w:sz w:val="15"/>
                <w:szCs w:val="15"/>
                <w:color w:val="auto"/>
              </w:rPr>
            </w:pPr>
          </w:p>
        </w:tc>
        <w:tc>
          <w:tcPr>
            <w:tcW w:w="21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980" w:type="dxa"/>
            <w:vAlign w:val="bottom"/>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26"/>
        </w:trPr>
        <w:tc>
          <w:tcPr>
            <w:tcW w:w="480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180"/>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8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20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200"/>
              <w:spacing w:after="0" w:line="126" w:lineRule="exact"/>
              <w:rPr>
                <w:sz w:val="20"/>
                <w:szCs w:val="20"/>
                <w:color w:val="auto"/>
              </w:rPr>
            </w:pPr>
            <w:r>
              <w:rPr>
                <w:rFonts w:ascii="Arial" w:cs="Arial" w:eastAsia="Arial" w:hAnsi="Arial"/>
                <w:sz w:val="14"/>
                <w:szCs w:val="14"/>
                <w:b w:val="1"/>
                <w:bCs w:val="1"/>
                <w:color w:val="auto"/>
                <w:w w:val="89"/>
              </w:rPr>
              <w:t>September 30,</w:t>
            </w:r>
          </w:p>
        </w:tc>
        <w:tc>
          <w:tcPr>
            <w:tcW w:w="8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89"/>
              </w:rPr>
              <w:t>September 24,</w:t>
            </w:r>
          </w:p>
        </w:tc>
        <w:tc>
          <w:tcPr>
            <w:tcW w:w="20" w:type="dxa"/>
            <w:vAlign w:val="bottom"/>
          </w:tcPr>
          <w:p>
            <w:pPr>
              <w:spacing w:after="0"/>
              <w:rPr>
                <w:sz w:val="10"/>
                <w:szCs w:val="10"/>
                <w:color w:val="auto"/>
              </w:rPr>
            </w:pPr>
          </w:p>
        </w:tc>
      </w:tr>
      <w:tr>
        <w:trPr>
          <w:trHeight w:val="178"/>
        </w:trPr>
        <w:tc>
          <w:tcPr>
            <w:tcW w:w="48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Days of sales outstanding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color w:val="auto"/>
              </w:rPr>
              <w:t>Days supply of inventory</w:t>
            </w: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r>
      <w:tr>
        <w:trPr>
          <w:trHeight w:val="236"/>
        </w:trPr>
        <w:tc>
          <w:tcPr>
            <w:tcW w:w="48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Days of payables outstanding</w:t>
            </w:r>
            <w:r>
              <w:rPr>
                <w:rFonts w:ascii="Arial" w:cs="Arial" w:eastAsia="Arial" w:hAnsi="Arial"/>
                <w:sz w:val="25"/>
                <w:szCs w:val="25"/>
                <w:color w:val="auto"/>
                <w:vertAlign w:val="superscript"/>
              </w:rPr>
              <w:t>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03"/>
        </w:trPr>
        <w:tc>
          <w:tcPr>
            <w:tcW w:w="480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Days in cash cycle</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w:t>
            </w:r>
          </w:p>
        </w:tc>
        <w:tc>
          <w:tcPr>
            <w:tcW w:w="200" w:type="dxa"/>
            <w:vAlign w:val="bottom"/>
            <w:tcBorders>
              <w:top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r>
      <w:tr>
        <w:trPr>
          <w:trHeight w:val="20"/>
        </w:trPr>
        <w:tc>
          <w:tcPr>
            <w:tcW w:w="4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9" w:lineRule="exact"/>
        <w:rPr>
          <w:sz w:val="20"/>
          <w:szCs w:val="20"/>
          <w:color w:val="auto"/>
        </w:rPr>
      </w:pPr>
    </w:p>
    <w:p>
      <w:pPr>
        <w:jc w:val="both"/>
        <w:ind w:left="60" w:right="59" w:hanging="10"/>
        <w:spacing w:after="0" w:line="255" w:lineRule="auto"/>
        <w:tabs>
          <w:tab w:leader="none" w:pos="161" w:val="left"/>
        </w:tabs>
        <w:numPr>
          <w:ilvl w:val="0"/>
          <w:numId w:val="27"/>
        </w:numPr>
        <w:rPr>
          <w:rFonts w:ascii="Arial" w:cs="Arial" w:eastAsia="Arial" w:hAnsi="Arial"/>
          <w:sz w:val="13"/>
          <w:szCs w:val="13"/>
          <w:color w:val="auto"/>
        </w:rPr>
      </w:pPr>
      <w:r>
        <w:rPr>
          <w:rFonts w:ascii="Arial" w:cs="Arial" w:eastAsia="Arial" w:hAnsi="Arial"/>
          <w:sz w:val="13"/>
          <w:szCs w:val="13"/>
          <w:color w:val="auto"/>
        </w:rPr>
        <w:t>We’ve modified our calculation of days of payables outstanding to be based on the cost of goods sold and accounts payable balances in our monthly financial statements. In prior periods, our calculation was based on invoice data. We’ve made this change to simplify the calculation and more easily integrate acquired operations into our financial metrics. The three months and nine months prior year metrics have been restated for the new method which reduced days of payables from a previously reported 20 days to 12 days and 20 days to 13 days, respectively.</w:t>
      </w:r>
    </w:p>
    <w:p>
      <w:pPr>
        <w:spacing w:after="0" w:line="17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decrease in our days supply of inventory for the quarter is due to improvements in inventory turns in our factory-built and site-built construction business units. The increase in our days of sales outstanding for the quarter is primarily due to receiving slightly less timely payments from customers in our site-built construction business unit. We continue to focus on past due account balances with customers, and the percentage of our accounts receivable that are current was 94% and 91% at the end of the third quarter of 2023 and 2022, respectively.</w:t>
      </w:r>
    </w:p>
    <w:p>
      <w:pPr>
        <w:spacing w:after="0" w:line="1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the first nine months of 2023, our cash flows from operations were $712 million and were comprised of net earnings of $411 million, $123 million of non-cash expenses, and a $178 million decrease in working capital since the end of December 2022. Our cash flows from operations increased by $179 million compared to the same period of last year primarily due to a $332 million decrease in our investment in net working capital compared to the prior year period, offset by a decrease in our net earnings and non-cash expenses of $153 million. The elevated decrease in our net working capital this year was due to the drop in lumber prices and the softening of demand.</w:t>
      </w:r>
    </w:p>
    <w:p>
      <w:pPr>
        <w:spacing w:after="0" w:line="17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Purchases of property, plant, and equipment of $131 million comprised most of our cash used in investing activities during the first nine months of 2023. Outstanding purchase commitments on existing capital projects totaled approximately $81 million on September 30, 2023. Capital spending primarily consists of several projects to expand capacity to manufacture new and value-added products, primarily in our Packaging segment and Deckorators and ProWood business units, achieve efficiencies through automation in all segments, make improvements to a number of facilities, and increase our transportation capacity (tractors, trailers). We intend to fund capital expenditures and purchase commitments through our operating cash flows for the balance of the year. Cash used for acquisitions during the first nine months of 2023 amounted to $52 million. Cash used for acquisitions in the same period of the prior year amounted to $105 million.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Cash flows used in financing activities primarily consisted of:</w:t>
      </w:r>
    </w:p>
    <w:p>
      <w:pPr>
        <w:spacing w:after="0" w:line="225" w:lineRule="exact"/>
        <w:rPr>
          <w:sz w:val="20"/>
          <w:szCs w:val="20"/>
          <w:color w:val="auto"/>
        </w:rPr>
      </w:pPr>
    </w:p>
    <w:p>
      <w:pPr>
        <w:ind w:left="760" w:right="79" w:hanging="31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Cash paid for repurchases of common stock of $62 million. We repurchased 766,812 shares of our common stock for the year at an average share price of $80.95.</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760" w:right="79" w:hanging="318"/>
        <w:spacing w:after="0" w:line="263"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Dividends paid during the first nine months of 2023 include first quarter dividends of $16 million ($0.25 per share), second quarter dividends of $15 million ($0.25 per share) and third quarter dividends of $19 million ($0.30 per share).</w:t>
      </w:r>
    </w:p>
    <w:p>
      <w:pPr>
        <w:spacing w:after="0" w:line="183" w:lineRule="exact"/>
        <w:rPr>
          <w:rFonts w:ascii="Arial" w:cs="Arial" w:eastAsia="Arial" w:hAnsi="Arial"/>
          <w:sz w:val="18"/>
          <w:szCs w:val="18"/>
          <w:color w:val="auto"/>
        </w:rPr>
      </w:pPr>
    </w:p>
    <w:p>
      <w:pPr>
        <w:ind w:left="760" w:hanging="31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Contingent consideration payments of $6 million.</w:t>
      </w:r>
    </w:p>
    <w:p>
      <w:pPr>
        <w:spacing w:after="0" w:line="225" w:lineRule="exact"/>
        <w:rPr>
          <w:rFonts w:ascii="Arial" w:cs="Arial" w:eastAsia="Arial" w:hAnsi="Arial"/>
          <w:sz w:val="18"/>
          <w:szCs w:val="18"/>
          <w:color w:val="auto"/>
        </w:rPr>
      </w:pPr>
    </w:p>
    <w:p>
      <w:pPr>
        <w:ind w:left="760" w:hanging="31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Distributions to noncontrolling interests of $7 million.</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September 30, 2023, we had $3 million outstanding on our $750 million revolving credit facility, and we had approximately $709 million in remaining availability after considering $37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September 30, 2023.</w:t>
      </w:r>
    </w:p>
    <w:p>
      <w:pPr>
        <w:spacing w:after="0" w:line="16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At the end of the third quarter of 2023, we have approximately $2.2 billion in total liquidity, consisting of our cash surplus, remaining availability under our revolving credit facility, and a shelf agreement with certain lenders providing up to $535 million in remaining borrowing capacity.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31, 2022.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FORWARD OUTLOOK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Most recently, our </w:t>
      </w:r>
      <w:r>
        <w:rPr>
          <w:rFonts w:ascii="Arial" w:cs="Arial" w:eastAsia="Arial" w:hAnsi="Arial"/>
          <w:sz w:val="18"/>
          <w:szCs w:val="18"/>
          <w:u w:val="single" w:color="auto"/>
          <w:color w:val="auto"/>
        </w:rPr>
        <w:t>long-term goals</w:t>
      </w:r>
      <w:r>
        <w:rPr>
          <w:rFonts w:ascii="Arial" w:cs="Arial" w:eastAsia="Arial" w:hAnsi="Arial"/>
          <w:sz w:val="18"/>
          <w:szCs w:val="18"/>
          <w:color w:val="auto"/>
        </w:rPr>
        <w:t xml:space="preserve"> have been to:</w:t>
      </w:r>
    </w:p>
    <w:p>
      <w:pPr>
        <w:spacing w:after="0" w:line="117" w:lineRule="exact"/>
        <w:rPr>
          <w:sz w:val="20"/>
          <w:szCs w:val="20"/>
          <w:color w:val="auto"/>
        </w:rPr>
      </w:pPr>
    </w:p>
    <w:p>
      <w:pPr>
        <w:ind w:left="720" w:right="11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Grow our annual unit sales by 5-7%. We anticipate smaller tuck in acquisitions will continue to contribute toward this goal;</w:t>
      </w:r>
    </w:p>
    <w:p>
      <w:pPr>
        <w:spacing w:after="0" w:line="62" w:lineRule="exact"/>
        <w:rPr>
          <w:rFonts w:ascii="Arial" w:cs="Arial" w:eastAsia="Arial" w:hAnsi="Arial"/>
          <w:sz w:val="18"/>
          <w:szCs w:val="18"/>
          <w:color w:val="auto"/>
        </w:rPr>
      </w:pPr>
    </w:p>
    <w:p>
      <w:pPr>
        <w:ind w:left="720" w:right="639" w:hanging="319"/>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Achieve and sustain a minimum 10% adjusted EBITDA margin by continuing to enhance our capabilities, improve efficiencies through automation, and grow our portfolio and sales of value-added products;</w:t>
      </w:r>
    </w:p>
    <w:p>
      <w:pPr>
        <w:spacing w:after="0" w:line="15" w:lineRule="exact"/>
        <w:rPr>
          <w:rFonts w:ascii="Arial" w:cs="Arial" w:eastAsia="Arial" w:hAnsi="Arial"/>
          <w:sz w:val="16"/>
          <w:szCs w:val="16"/>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 an incremental return on new investment over our cost of capital;</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a conservative capital structure.</w:t>
      </w:r>
    </w:p>
    <w:p>
      <w:pPr>
        <w:spacing w:after="0" w:line="225" w:lineRule="exact"/>
        <w:rPr>
          <w:sz w:val="20"/>
          <w:szCs w:val="20"/>
          <w:color w:val="auto"/>
        </w:rPr>
      </w:pPr>
    </w:p>
    <w:p>
      <w:pPr>
        <w:ind w:left="60" w:right="359"/>
        <w:spacing w:after="0" w:line="259" w:lineRule="auto"/>
        <w:rPr>
          <w:sz w:val="20"/>
          <w:szCs w:val="20"/>
          <w:color w:val="auto"/>
        </w:rPr>
      </w:pPr>
      <w:r>
        <w:rPr>
          <w:rFonts w:ascii="Arial" w:cs="Arial" w:eastAsia="Arial" w:hAnsi="Arial"/>
          <w:sz w:val="18"/>
          <w:szCs w:val="18"/>
          <w:color w:val="auto"/>
        </w:rPr>
        <w:t>We believe effectively executing our strategies will allow us to achieve these long-term goals in the future. However, demand in the markets we serve has contracted and overall economic conditions indicate the U.S. economy may enter a recession, which may impact our future results, depending on its severity and duration. The following factors should be considered when evaluating our future results:</w:t>
      </w:r>
    </w:p>
    <w:p>
      <w:pPr>
        <w:spacing w:after="0" w:line="79" w:lineRule="exact"/>
        <w:rPr>
          <w:sz w:val="20"/>
          <w:szCs w:val="20"/>
          <w:color w:val="auto"/>
        </w:rPr>
      </w:pPr>
    </w:p>
    <w:p>
      <w:pPr>
        <w:ind w:left="720" w:right="139" w:hanging="319"/>
        <w:spacing w:after="0" w:line="279"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Lumber prices, which impact our cost of goods sold and selling prices, have normalized due to additional capacity added by sawmills and demand falling from peak levels due to inflation and an increase in interest rates. We anticipate lumber prices will follow more typical seasonal patterns consistent with historical trends and demand and remain at lower levels for the remainder of 2023 relative to 2022.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720" w:right="139" w:hanging="319"/>
        <w:spacing w:after="0" w:line="259"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Retail sales accounted for 42% of our net sales for the first nine months of 2023. When evaluating future demand for the segment, we analyze data such as the same-store sales growth of national home improvement retailers and forecasts of home remodeling activity. Based on this data, we anticipate market demand to be slightly down for the balance of 2023.</w:t>
      </w:r>
    </w:p>
    <w:p>
      <w:pPr>
        <w:spacing w:after="0" w:line="78" w:lineRule="exact"/>
        <w:rPr>
          <w:rFonts w:ascii="Arial" w:cs="Arial" w:eastAsia="Arial" w:hAnsi="Arial"/>
          <w:sz w:val="18"/>
          <w:szCs w:val="18"/>
          <w:color w:val="auto"/>
        </w:rPr>
      </w:pPr>
    </w:p>
    <w:p>
      <w:pPr>
        <w:ind w:left="720" w:right="119" w:hanging="319"/>
        <w:spacing w:after="0" w:line="259"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Packaging sales accounted for 25% of our net sales for the first nine months of 2023. When evaluating future demand, we consider several metrics, including the Purchasing Managers Index (PMI), durable goods manufacturing, and U.S. real GDP. We estimate industrial production to remain consistently down for the balance of 2023.</w:t>
      </w:r>
    </w:p>
    <w:p>
      <w:pPr>
        <w:spacing w:after="0" w:line="78"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Construction sales accounted for 29% of our net sales for the first nine months of 2023.</w:t>
      </w:r>
    </w:p>
    <w:p>
      <w:pPr>
        <w:spacing w:after="0" w:line="117" w:lineRule="exact"/>
        <w:rPr>
          <w:rFonts w:ascii="Arial" w:cs="Arial" w:eastAsia="Arial" w:hAnsi="Arial"/>
          <w:sz w:val="18"/>
          <w:szCs w:val="18"/>
          <w:color w:val="auto"/>
        </w:rPr>
      </w:pPr>
    </w:p>
    <w:p>
      <w:pPr>
        <w:ind w:left="1380" w:right="99" w:hanging="331"/>
        <w:spacing w:after="0" w:line="254"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site-built business unit accounted for approximately 13% of our net sales for the first nine months of 2023. Approximately 25% of site-built sales are to multifamily builders. More than 75% of our site-built residential housing sales are in areas such as Texas and the Mid-Atlantic, Southeast, and Mountain West regions, which have experienced significant population growth through migration from other states and are forecasted to continue to grow over the long term. When evaluating future demand, we analyze data from housing starts in those regions. The consensus estimates of all housing starts is for a 10% to 12% decline in 2023.</w:t>
      </w:r>
    </w:p>
    <w:p>
      <w:pPr>
        <w:spacing w:after="0" w:line="86" w:lineRule="exact"/>
        <w:rPr>
          <w:rFonts w:ascii="Arial" w:cs="Arial" w:eastAsia="Arial" w:hAnsi="Arial"/>
          <w:sz w:val="18"/>
          <w:szCs w:val="18"/>
          <w:color w:val="auto"/>
        </w:rPr>
      </w:pPr>
    </w:p>
    <w:p>
      <w:pPr>
        <w:ind w:left="1380" w:right="99" w:hanging="331"/>
        <w:spacing w:after="0" w:line="257"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factory-built housing business unit accounted for 10% of our net sales for the first nine months of 2023. This business, along with our multifamily business, could benefit from higher interest rates as buyers seek more affordable housing alternatives over time. When evaluating future demand, we analyze manufactured housing production data. The National Association of Home Builders forecasts a 21% decrease in manufactured home shipments in 2023.</w:t>
      </w:r>
    </w:p>
    <w:p>
      <w:pPr>
        <w:spacing w:after="0" w:line="79" w:lineRule="exact"/>
        <w:rPr>
          <w:rFonts w:ascii="Arial" w:cs="Arial" w:eastAsia="Arial" w:hAnsi="Arial"/>
          <w:sz w:val="18"/>
          <w:szCs w:val="18"/>
          <w:color w:val="auto"/>
        </w:rPr>
      </w:pPr>
    </w:p>
    <w:p>
      <w:pPr>
        <w:jc w:val="both"/>
        <w:ind w:left="1380" w:right="319" w:hanging="331"/>
        <w:spacing w:after="0" w:line="263"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commercial construction and concrete forming business units accounted for approximately 4% of our net sales for the first nine months of 2023. When evaluating future demand, we analyze data from non-residential construction spending.</w:t>
      </w:r>
    </w:p>
    <w:p>
      <w:pPr>
        <w:spacing w:after="0" w:line="75" w:lineRule="exact"/>
        <w:rPr>
          <w:rFonts w:ascii="Arial" w:cs="Arial" w:eastAsia="Arial" w:hAnsi="Arial"/>
          <w:sz w:val="18"/>
          <w:szCs w:val="18"/>
          <w:color w:val="auto"/>
        </w:rPr>
      </w:pPr>
    </w:p>
    <w:p>
      <w:pPr>
        <w:ind w:left="720" w:right="179" w:hanging="319"/>
        <w:spacing w:after="0" w:line="272"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 consolidated basis, and based on our 2023 forecasted results of operations and business mix, we currently believe our annual decremental operating margin is in a range of 11% to 14% of net sales (revised from previous estimate of 10% to 15%). In other words, we believe for every dollar decrease in sales, relative to the prior year, our earnings from operations may decline by $0.11 to $0.14. Our decremental operating margin for the first nine months of 2023 was 12.8%. As a point of reference, our peak to trough decremental operating margin during the Great Recession was approximately 13.5% (2006 peak to 2011 trough). We currently estimate our annual decremental operating margins by segment as follows:</w:t>
      </w:r>
    </w:p>
    <w:p>
      <w:pPr>
        <w:spacing w:after="0" w:line="69" w:lineRule="exact"/>
        <w:rPr>
          <w:rFonts w:ascii="Arial" w:cs="Arial" w:eastAsia="Arial" w:hAnsi="Arial"/>
          <w:sz w:val="17"/>
          <w:szCs w:val="17"/>
          <w:color w:val="auto"/>
        </w:rPr>
      </w:pPr>
    </w:p>
    <w:p>
      <w:pPr>
        <w:ind w:left="1380" w:right="199" w:hanging="331"/>
        <w:spacing w:after="0" w:line="277"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Packaging in a range of 24% to 27% (revised from previous estimate of 20% to 25%). Our decremental operating margin for the first nine months of 2023 was 22.5%.</w:t>
      </w:r>
    </w:p>
    <w:p>
      <w:pPr>
        <w:spacing w:after="0" w:line="62" w:lineRule="exact"/>
        <w:rPr>
          <w:rFonts w:ascii="Arial" w:cs="Arial" w:eastAsia="Arial" w:hAnsi="Arial"/>
          <w:sz w:val="18"/>
          <w:szCs w:val="18"/>
          <w:color w:val="auto"/>
        </w:rPr>
      </w:pPr>
    </w:p>
    <w:p>
      <w:pPr>
        <w:ind w:left="1380" w:right="939" w:hanging="331"/>
        <w:spacing w:after="0" w:line="308" w:lineRule="auto"/>
        <w:tabs>
          <w:tab w:leader="none" w:pos="1380" w:val="left"/>
        </w:tabs>
        <w:numPr>
          <w:ilvl w:val="1"/>
          <w:numId w:val="32"/>
        </w:numPr>
        <w:rPr>
          <w:rFonts w:ascii="Arial" w:cs="Arial" w:eastAsia="Arial" w:hAnsi="Arial"/>
          <w:sz w:val="17"/>
          <w:szCs w:val="17"/>
          <w:color w:val="auto"/>
        </w:rPr>
      </w:pPr>
      <w:r>
        <w:rPr>
          <w:rFonts w:ascii="Arial" w:cs="Arial" w:eastAsia="Arial" w:hAnsi="Arial"/>
          <w:sz w:val="17"/>
          <w:szCs w:val="17"/>
          <w:color w:val="auto"/>
        </w:rPr>
        <w:t>Construction in a range of 14% to 17% (revised from previous estimate of 14% to 19%). Our decremental operating margin for the first nine months of 2023 was 15.3%.</w:t>
      </w:r>
    </w:p>
    <w:p>
      <w:pPr>
        <w:spacing w:after="0" w:line="38" w:lineRule="exact"/>
        <w:rPr>
          <w:rFonts w:ascii="Arial" w:cs="Arial" w:eastAsia="Arial" w:hAnsi="Arial"/>
          <w:sz w:val="17"/>
          <w:szCs w:val="17"/>
          <w:color w:val="auto"/>
        </w:rPr>
      </w:pPr>
    </w:p>
    <w:p>
      <w:pPr>
        <w:ind w:left="1380" w:right="119" w:hanging="331"/>
        <w:spacing w:after="0" w:line="311" w:lineRule="auto"/>
        <w:tabs>
          <w:tab w:leader="none" w:pos="13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We currently anticipate improvement in operating profits in our Retail segment in 2023, primarily due to an expectation of less volatile lumber prices in 2023 and other operational improvements. The severe volatility of lumber prices in 2022 and 2021 adversely impacted the results of this segment.</w:t>
      </w:r>
    </w:p>
    <w:p>
      <w:pPr>
        <w:spacing w:after="0" w:line="40" w:lineRule="exact"/>
        <w:rPr>
          <w:rFonts w:ascii="Arial" w:cs="Arial" w:eastAsia="Arial" w:hAnsi="Arial"/>
          <w:sz w:val="16"/>
          <w:szCs w:val="16"/>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Key factors that may impact the ranges provided above include estimates of:</w:t>
      </w:r>
    </w:p>
    <w:p>
      <w:pPr>
        <w:spacing w:after="0" w:line="117" w:lineRule="exact"/>
        <w:rPr>
          <w:rFonts w:ascii="Arial" w:cs="Arial" w:eastAsia="Arial" w:hAnsi="Arial"/>
          <w:sz w:val="18"/>
          <w:szCs w:val="18"/>
          <w:color w:val="auto"/>
        </w:rPr>
      </w:pPr>
    </w:p>
    <w:p>
      <w:pPr>
        <w:ind w:left="1380" w:right="159" w:hanging="331"/>
        <w:spacing w:after="0" w:line="277" w:lineRule="auto"/>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impact and level of the Lumber Market and trends in the commodity and other material costs of our products</w:t>
      </w:r>
    </w:p>
    <w:p>
      <w:pPr>
        <w:spacing w:after="0" w:line="62" w:lineRule="exact"/>
        <w:rPr>
          <w:rFonts w:ascii="Arial" w:cs="Arial" w:eastAsia="Arial" w:hAnsi="Arial"/>
          <w:sz w:val="18"/>
          <w:szCs w:val="18"/>
          <w:color w:val="auto"/>
        </w:rPr>
      </w:pPr>
    </w:p>
    <w:p>
      <w:pPr>
        <w:ind w:left="1380" w:hanging="331"/>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our selling prices</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our sales mix by segment, business unit, and product</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Changes in labor rates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ind w:left="1380" w:right="799" w:hanging="331"/>
        <w:spacing w:after="0" w:line="277" w:lineRule="auto"/>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reduce variable manufacturing, freight, selling, general, and administrative costs, particularly certain personnel costs, in line with net sales</w:t>
      </w:r>
    </w:p>
    <w:p>
      <w:pPr>
        <w:spacing w:after="0" w:line="62" w:lineRule="exact"/>
        <w:rPr>
          <w:rFonts w:ascii="Arial" w:cs="Arial" w:eastAsia="Arial" w:hAnsi="Arial"/>
          <w:sz w:val="18"/>
          <w:szCs w:val="18"/>
          <w:color w:val="auto"/>
        </w:rPr>
      </w:pPr>
    </w:p>
    <w:p>
      <w:pPr>
        <w:ind w:left="1380" w:right="499" w:hanging="331"/>
        <w:spacing w:after="0" w:line="277" w:lineRule="auto"/>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salaried bonus plan, which is based on pre-bonus profits and achieving minimum levels of pre-bonus return on investment over a required hurdle rate</w:t>
      </w:r>
    </w:p>
    <w:p>
      <w:pPr>
        <w:spacing w:after="0" w:line="62" w:lineRule="exact"/>
        <w:rPr>
          <w:rFonts w:ascii="Arial" w:cs="Arial" w:eastAsia="Arial" w:hAnsi="Arial"/>
          <w:sz w:val="18"/>
          <w:szCs w:val="18"/>
          <w:color w:val="auto"/>
        </w:rPr>
      </w:pPr>
    </w:p>
    <w:p>
      <w:pPr>
        <w:ind w:left="1380" w:hanging="331"/>
        <w:spacing w:after="0"/>
        <w:tabs>
          <w:tab w:leader="none" w:pos="1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Inflation and other changes in costs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Capital Allocation:</w:t>
      </w:r>
    </w:p>
    <w:p>
      <w:pPr>
        <w:spacing w:after="0" w:line="117" w:lineRule="exact"/>
        <w:rPr>
          <w:sz w:val="20"/>
          <w:szCs w:val="20"/>
          <w:color w:val="auto"/>
        </w:rPr>
      </w:pPr>
    </w:p>
    <w:p>
      <w:pPr>
        <w:jc w:val="both"/>
        <w:ind w:left="60" w:right="119"/>
        <w:spacing w:after="0" w:line="311" w:lineRule="auto"/>
        <w:rPr>
          <w:sz w:val="20"/>
          <w:szCs w:val="20"/>
          <w:color w:val="auto"/>
        </w:rPr>
      </w:pPr>
      <w:r>
        <w:rPr>
          <w:rFonts w:ascii="Arial" w:cs="Arial" w:eastAsia="Arial" w:hAnsi="Arial"/>
          <w:sz w:val="16"/>
          <w:szCs w:val="16"/>
          <w:color w:val="auto"/>
        </w:rPr>
        <w:t>We believe the strength of our cash flow generation and conservative capital structure provides us with sufficient resources to grow our business and also fund returns to our shareholders. We plan to continue to pursue a balanced and return-driven approach to capital allocation across dividends, share buybacks, capital investments and acquisitions. Specifically:</w:t>
      </w:r>
    </w:p>
    <w:p>
      <w:pPr>
        <w:spacing w:after="0" w:line="41" w:lineRule="exact"/>
        <w:rPr>
          <w:sz w:val="20"/>
          <w:szCs w:val="20"/>
          <w:color w:val="auto"/>
        </w:rPr>
      </w:pPr>
    </w:p>
    <w:p>
      <w:pPr>
        <w:ind w:left="720" w:right="79" w:hanging="319"/>
        <w:spacing w:after="0" w:line="259"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October 24, 2023, our board approved a quarterly cash dividend of $0.30 per share, which represents a 20% increase from the prior year. This dividend will be payable on December 15, 2023, to shareholders of record on December 1, 2023. We continue to consider our payout ratio and yield when determining the appropriate dividend rate.</w:t>
      </w:r>
    </w:p>
    <w:p>
      <w:pPr>
        <w:spacing w:after="0" w:line="78"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the first nine months of 2023, we repurchased 766,812 shares of our common stock at an average price of</w:t>
      </w:r>
    </w:p>
    <w:p>
      <w:pPr>
        <w:spacing w:after="0" w:line="46" w:lineRule="exact"/>
        <w:rPr>
          <w:rFonts w:ascii="Arial" w:cs="Arial" w:eastAsia="Arial" w:hAnsi="Arial"/>
          <w:sz w:val="16"/>
          <w:szCs w:val="16"/>
          <w:color w:val="auto"/>
        </w:rPr>
      </w:pPr>
    </w:p>
    <w:p>
      <w:pPr>
        <w:ind w:left="720" w:right="159"/>
        <w:spacing w:after="0" w:line="253" w:lineRule="auto"/>
        <w:rPr>
          <w:rFonts w:ascii="Arial" w:cs="Arial" w:eastAsia="Arial" w:hAnsi="Arial"/>
          <w:sz w:val="16"/>
          <w:szCs w:val="16"/>
          <w:color w:val="auto"/>
        </w:rPr>
      </w:pPr>
      <w:r>
        <w:rPr>
          <w:rFonts w:ascii="Arial" w:cs="Arial" w:eastAsia="Arial" w:hAnsi="Arial"/>
          <w:sz w:val="18"/>
          <w:szCs w:val="18"/>
          <w:color w:val="auto"/>
        </w:rPr>
        <w:t>$80.95 per share. On July 26, 2023, our board authorized the repurchase of up to $200 million worth of shares of outstanding stock through July 31, 2024. This share authorization supersedes and replaces our prior share repurchase authorizations. We currently have remaining authorization to repurchase up to $173 million through July 31, 2024.</w:t>
      </w:r>
    </w:p>
    <w:p>
      <w:pPr>
        <w:spacing w:after="0" w:line="84" w:lineRule="exact"/>
        <w:rPr>
          <w:rFonts w:ascii="Arial" w:cs="Arial" w:eastAsia="Arial" w:hAnsi="Arial"/>
          <w:sz w:val="16"/>
          <w:szCs w:val="16"/>
          <w:color w:val="auto"/>
        </w:rPr>
      </w:pPr>
    </w:p>
    <w:p>
      <w:pPr>
        <w:ind w:left="720" w:right="179" w:hanging="319"/>
        <w:spacing w:after="0" w:line="25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We’ve lowered our targeted range for capital expenditures to $175-$200 million, which will continue to be impacted by extended lead times required for most equipment and rolling stock. Priority continues to be given to projects that enhance the working environments of our plants and take advantage of automation opportunities, expand our transportation capacity, and drive strategies that have strong long-term growth potential of new and value-added products.</w:t>
      </w:r>
    </w:p>
    <w:p>
      <w:pPr>
        <w:spacing w:after="0" w:line="79" w:lineRule="exact"/>
        <w:rPr>
          <w:rFonts w:ascii="Arial" w:cs="Arial" w:eastAsia="Arial" w:hAnsi="Arial"/>
          <w:sz w:val="18"/>
          <w:szCs w:val="18"/>
          <w:color w:val="auto"/>
        </w:rPr>
      </w:pPr>
    </w:p>
    <w:p>
      <w:pPr>
        <w:ind w:left="720" w:right="25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continue to pursue a healthy pipeline of acquisition opportunities of companies that are a strong strategic fit and enhance our capabilities while providing higher margin, return, and growth potential.</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We are exposed to market risks related to fluctuations in interest rates on our variable rate debt, which consists of a revolving credit facility and industrial development revenue bonds. We do not currently enter into any material interest rate swaps, futures contracts or options on futures, or other types of derivative financial instruments to mitigate this risk.</w:t>
      </w:r>
    </w:p>
    <w:p>
      <w:pPr>
        <w:spacing w:after="0" w:line="14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UFP INDUSTRIES, INC.</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have been immaterial to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880" w:right="79" w:hanging="317"/>
        <w:spacing w:after="0" w:line="301"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September 30, 2023 (the “Evaluation Date”), have concluded that, as of such date, our disclosure controls and procedures were effective.</w:t>
      </w:r>
    </w:p>
    <w:p>
      <w:pPr>
        <w:spacing w:after="0" w:line="157" w:lineRule="exact"/>
        <w:rPr>
          <w:rFonts w:ascii="Arial" w:cs="Arial" w:eastAsia="Arial" w:hAnsi="Arial"/>
          <w:sz w:val="16"/>
          <w:szCs w:val="16"/>
          <w:color w:val="auto"/>
        </w:rPr>
      </w:pPr>
    </w:p>
    <w:p>
      <w:pPr>
        <w:jc w:val="both"/>
        <w:ind w:left="880" w:right="79" w:hanging="317"/>
        <w:spacing w:after="0" w:line="263"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September 30, 2023, there were no changes in our internal control over financial reporting that materially affected, or is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80" w:hanging="31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64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Month</w:t>
            </w: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6"/>
                <w:szCs w:val="16"/>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6"/>
                <w:szCs w:val="16"/>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(3)</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(4)</w:t>
            </w:r>
          </w:p>
        </w:tc>
      </w:tr>
      <w:tr>
        <w:trPr>
          <w:trHeight w:val="210"/>
        </w:trPr>
        <w:tc>
          <w:tcPr>
            <w:tcW w:w="54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July 2 - August 5, 2023</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200,000,000</w:t>
            </w:r>
          </w:p>
        </w:tc>
      </w:tr>
      <w:tr>
        <w:trPr>
          <w:trHeight w:val="216"/>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August 6 - September 2, 2023</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62,317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99.52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62,317</w:t>
            </w:r>
          </w:p>
        </w:tc>
        <w:tc>
          <w:tcPr>
            <w:tcW w:w="14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193,798,516</w:t>
            </w:r>
          </w:p>
        </w:tc>
      </w:tr>
      <w:tr>
        <w:trPr>
          <w:trHeight w:val="216"/>
        </w:trPr>
        <w:tc>
          <w:tcPr>
            <w:tcW w:w="56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September 3 - September 30, 2023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193,408,655</w:t>
            </w:r>
          </w:p>
        </w:tc>
      </w:tr>
      <w:tr>
        <w:trPr>
          <w:trHeight w:val="108"/>
        </w:trPr>
        <w:tc>
          <w:tcPr>
            <w:tcW w:w="2240" w:type="dxa"/>
            <w:vAlign w:val="bottom"/>
            <w:tcBorders>
              <w:bottom w:val="single" w:sz="8" w:color="auto"/>
            </w:tcBorders>
          </w:tcPr>
          <w:p>
            <w:pPr>
              <w:spacing w:after="0"/>
              <w:rPr>
                <w:sz w:val="9"/>
                <w:szCs w:val="9"/>
                <w:color w:val="auto"/>
              </w:rPr>
            </w:pPr>
          </w:p>
        </w:tc>
        <w:tc>
          <w:tcPr>
            <w:tcW w:w="3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r>
    </w:tbl>
    <w:p>
      <w:pPr>
        <w:spacing w:after="0" w:line="80" w:lineRule="exact"/>
        <w:rPr>
          <w:sz w:val="20"/>
          <w:szCs w:val="20"/>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Approximate dollar value of shares that may yet be purchased under the plans or programs.</w:t>
      </w:r>
    </w:p>
    <w:p>
      <w:pPr>
        <w:spacing w:after="0" w:line="211" w:lineRule="exact"/>
        <w:rPr>
          <w:sz w:val="20"/>
          <w:szCs w:val="20"/>
          <w:color w:val="auto"/>
        </w:rPr>
      </w:pPr>
    </w:p>
    <w:p>
      <w:pPr>
        <w:ind w:left="60" w:right="79" w:firstLine="648"/>
        <w:spacing w:after="0" w:line="342" w:lineRule="auto"/>
        <w:rPr>
          <w:sz w:val="20"/>
          <w:szCs w:val="20"/>
          <w:color w:val="auto"/>
        </w:rPr>
      </w:pPr>
      <w:r>
        <w:rPr>
          <w:rFonts w:ascii="Arial" w:cs="Arial" w:eastAsia="Arial" w:hAnsi="Arial"/>
          <w:sz w:val="16"/>
          <w:szCs w:val="16"/>
          <w:color w:val="auto"/>
        </w:rPr>
        <w:t>On and effective as of July 26, 2023, our board authorized the repurchase of up to $200 million worth of shares of our common stock through the period ending July 31, 2024, which supersedes and replaces prior authorizations.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60" w:right="519"/>
        <w:spacing w:after="0" w:line="342" w:lineRule="auto"/>
        <w:rPr>
          <w:sz w:val="20"/>
          <w:szCs w:val="20"/>
          <w:color w:val="auto"/>
        </w:rPr>
      </w:pPr>
      <w:r>
        <w:rPr>
          <w:rFonts w:ascii="Arial" w:cs="Arial" w:eastAsia="Arial" w:hAnsi="Arial"/>
          <w:sz w:val="16"/>
          <w:szCs w:val="16"/>
          <w:color w:val="auto"/>
        </w:rPr>
        <w:t>During the quarter ended September 30, 2023, no director or officer adopted or terminated a “Rule 10b5-1 trading arrangement” or a “non-Rule 10b5-1 trading arrangement,” as each term is defined in Item 408(a) of Regulation S-K.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40" w:hanging="490"/>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Executive Officer of UFP Industries, Inc., pursuant to Section 302 of the Sarbanes-Oxley Act of 2002 (18 U.S.C. 1350).</w:t>
      </w:r>
    </w:p>
    <w:p>
      <w:pPr>
        <w:spacing w:after="0" w:line="170"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Financial Officer of UFP Industries, Inc., pursuant to Section 302 of the Sarbanes-Oxley Act of 2002 (18 U.S.C. 1350).</w:t>
      </w:r>
    </w:p>
    <w:p>
      <w:pPr>
        <w:spacing w:after="0" w:line="170" w:lineRule="exact"/>
        <w:rPr>
          <w:rFonts w:ascii="Arial" w:cs="Arial" w:eastAsia="Arial" w:hAnsi="Arial"/>
          <w:sz w:val="18"/>
          <w:szCs w:val="18"/>
          <w:color w:val="auto"/>
        </w:rPr>
      </w:pPr>
    </w:p>
    <w:p>
      <w:pPr>
        <w:ind w:left="540" w:hanging="490"/>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Executive Officer of UFP Industries, Inc., pursuant to Section 906 of the Sarbanes-Oxley Act of 2002 (18 U.S.C. 1350).</w:t>
      </w:r>
    </w:p>
    <w:p>
      <w:pPr>
        <w:spacing w:after="0" w:line="170" w:lineRule="exact"/>
        <w:rPr>
          <w:rFonts w:ascii="Arial" w:cs="Arial" w:eastAsia="Arial" w:hAnsi="Arial"/>
          <w:sz w:val="18"/>
          <w:szCs w:val="18"/>
          <w:color w:val="auto"/>
        </w:rPr>
      </w:pPr>
    </w:p>
    <w:p>
      <w:pPr>
        <w:ind w:left="1100" w:right="139" w:hanging="564"/>
        <w:spacing w:after="0" w:line="277" w:lineRule="auto"/>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Financial Officer of UFP Industries, Inc., pursuant to Section 906 of the Sarbanes-Oxley Act of 2002 (18 U.S.C. 1350).</w:t>
      </w:r>
    </w:p>
    <w:p>
      <w:pPr>
        <w:spacing w:after="0" w:line="170" w:lineRule="exact"/>
        <w:rPr>
          <w:sz w:val="20"/>
          <w:szCs w:val="20"/>
          <w:color w:val="auto"/>
        </w:rPr>
      </w:pPr>
    </w:p>
    <w:p>
      <w:pPr>
        <w:ind w:left="540" w:right="1859" w:hanging="490"/>
        <w:spacing w:after="0" w:line="50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Interactive Data File formatted in iXBRL (Inline eXtensible Business Reporting Language). (INS) iXBRL Instance Document.</w:t>
      </w:r>
    </w:p>
    <w:p>
      <w:pPr>
        <w:spacing w:after="0" w:line="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(SCH) iXBRL Schema Document.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(CAL) iXBRL Taxonomy Extension Calculation Linkbase Document.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(LAB) iXBRL Taxonomy Extension Label Linkbase Document.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  iXBRL Taxonomy Extension Presentation Linkbase Document.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(DEF) iXBRL Taxonomy Extension Definition Linkbase Document.</w:t>
      </w:r>
    </w:p>
    <w:p>
      <w:pPr>
        <w:spacing w:after="0" w:line="225" w:lineRule="exact"/>
        <w:rPr>
          <w:sz w:val="20"/>
          <w:szCs w:val="20"/>
          <w:color w:val="auto"/>
        </w:rPr>
      </w:pPr>
    </w:p>
    <w:p>
      <w:pPr>
        <w:ind w:left="540" w:hanging="490"/>
        <w:spacing w:after="0"/>
        <w:tabs>
          <w:tab w:leader="none" w:pos="5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Cover Page Interactive Data File (the cover page XBRL tags are embedded in the Inline XBRL document).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4" w:lineRule="exact"/>
        <w:rPr>
          <w:rFonts w:ascii="Arial" w:cs="Arial" w:eastAsia="Arial" w:hAnsi="Arial"/>
          <w:sz w:val="17"/>
          <w:szCs w:val="17"/>
          <w:color w:val="auto"/>
        </w:rPr>
      </w:pPr>
    </w:p>
    <w:p>
      <w:pPr>
        <w:ind w:left="4420"/>
        <w:spacing w:after="0"/>
        <w:rPr>
          <w:rFonts w:ascii="Arial" w:cs="Arial" w:eastAsia="Arial" w:hAnsi="Arial"/>
          <w:sz w:val="17"/>
          <w:szCs w:val="17"/>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920" w:type="dxa"/>
            <w:vAlign w:val="bottom"/>
            <w:gridSpan w:val="2"/>
          </w:tcPr>
          <w:p>
            <w:pPr>
              <w:ind w:left="1200"/>
              <w:spacing w:after="0"/>
              <w:rPr>
                <w:sz w:val="20"/>
                <w:szCs w:val="20"/>
                <w:color w:val="auto"/>
              </w:rPr>
            </w:pPr>
            <w:r>
              <w:rPr>
                <w:rFonts w:ascii="Arial" w:cs="Arial" w:eastAsia="Arial" w:hAnsi="Arial"/>
                <w:sz w:val="18"/>
                <w:szCs w:val="18"/>
                <w:b w:val="1"/>
                <w:bCs w:val="1"/>
                <w:color w:val="auto"/>
              </w:rPr>
              <w:t>UFP INDUSTRIES, INC.</w:t>
            </w:r>
          </w:p>
        </w:tc>
      </w:tr>
      <w:tr>
        <w:trPr>
          <w:trHeight w:val="405"/>
        </w:trPr>
        <w:tc>
          <w:tcPr>
            <w:tcW w:w="2960" w:type="dxa"/>
            <w:vAlign w:val="bottom"/>
            <w:gridSpan w:val="3"/>
          </w:tcPr>
          <w:p>
            <w:pPr>
              <w:spacing w:after="0"/>
              <w:rPr>
                <w:sz w:val="20"/>
                <w:szCs w:val="20"/>
                <w:color w:val="auto"/>
              </w:rPr>
            </w:pPr>
            <w:r>
              <w:rPr>
                <w:rFonts w:ascii="Arial" w:cs="Arial" w:eastAsia="Arial" w:hAnsi="Arial"/>
                <w:sz w:val="18"/>
                <w:szCs w:val="18"/>
                <w:color w:val="auto"/>
              </w:rPr>
              <w:t>Date: November 8, 2023</w:t>
            </w:r>
          </w:p>
        </w:tc>
        <w:tc>
          <w:tcPr>
            <w:tcW w:w="1920" w:type="dxa"/>
            <w:vAlign w:val="bottom"/>
          </w:tcPr>
          <w:p>
            <w:pPr>
              <w:ind w:left="120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Matthew J. Missad</w:t>
            </w:r>
          </w:p>
        </w:tc>
      </w:tr>
      <w:tr>
        <w:trPr>
          <w:trHeight w:val="20"/>
        </w:trPr>
        <w:tc>
          <w:tcPr>
            <w:tcW w:w="4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82"/>
        </w:trPr>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920" w:type="dxa"/>
            <w:vAlign w:val="bottom"/>
            <w:gridSpan w:val="2"/>
          </w:tcPr>
          <w:p>
            <w:pPr>
              <w:ind w:left="1200"/>
              <w:spacing w:after="0" w:line="182" w:lineRule="exact"/>
              <w:rPr>
                <w:sz w:val="20"/>
                <w:szCs w:val="20"/>
                <w:color w:val="auto"/>
              </w:rPr>
            </w:pPr>
            <w:r>
              <w:rPr>
                <w:rFonts w:ascii="Arial" w:cs="Arial" w:eastAsia="Arial" w:hAnsi="Arial"/>
                <w:sz w:val="18"/>
                <w:szCs w:val="18"/>
                <w:color w:val="auto"/>
              </w:rPr>
              <w:t>Matthew J. Missad,</w:t>
            </w:r>
          </w:p>
        </w:tc>
      </w:tr>
      <w:tr>
        <w:trPr>
          <w:trHeight w:val="216"/>
        </w:trPr>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920" w:type="dxa"/>
            <w:vAlign w:val="bottom"/>
            <w:gridSpan w:val="2"/>
          </w:tcPr>
          <w:p>
            <w:pPr>
              <w:ind w:left="1200"/>
              <w:spacing w:after="0"/>
              <w:rPr>
                <w:sz w:val="20"/>
                <w:szCs w:val="20"/>
                <w:color w:val="auto"/>
              </w:rPr>
            </w:pPr>
            <w:r>
              <w:rPr>
                <w:rFonts w:ascii="Arial" w:cs="Arial" w:eastAsia="Arial" w:hAnsi="Arial"/>
                <w:sz w:val="18"/>
                <w:szCs w:val="18"/>
                <w:color w:val="auto"/>
              </w:rPr>
              <w:t>Chairman of the Board, Chief Executive Officer and</w:t>
            </w:r>
          </w:p>
        </w:tc>
      </w:tr>
      <w:tr>
        <w:trPr>
          <w:trHeight w:val="230"/>
        </w:trPr>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920" w:type="dxa"/>
            <w:vAlign w:val="bottom"/>
            <w:gridSpan w:val="2"/>
          </w:tcPr>
          <w:p>
            <w:pPr>
              <w:ind w:left="1200"/>
              <w:spacing w:after="0"/>
              <w:rPr>
                <w:sz w:val="20"/>
                <w:szCs w:val="20"/>
                <w:color w:val="auto"/>
              </w:rPr>
            </w:pPr>
            <w:r>
              <w:rPr>
                <w:rFonts w:ascii="Arial" w:cs="Arial" w:eastAsia="Arial" w:hAnsi="Arial"/>
                <w:sz w:val="18"/>
                <w:szCs w:val="18"/>
                <w:color w:val="auto"/>
              </w:rPr>
              <w:t>Principal Executive Officer</w:t>
            </w:r>
          </w:p>
        </w:tc>
      </w:tr>
      <w:tr>
        <w:trPr>
          <w:trHeight w:val="405"/>
        </w:trPr>
        <w:tc>
          <w:tcPr>
            <w:tcW w:w="2960" w:type="dxa"/>
            <w:vAlign w:val="bottom"/>
            <w:gridSpan w:val="3"/>
          </w:tcPr>
          <w:p>
            <w:pPr>
              <w:spacing w:after="0"/>
              <w:rPr>
                <w:sz w:val="20"/>
                <w:szCs w:val="20"/>
                <w:color w:val="auto"/>
              </w:rPr>
            </w:pPr>
            <w:r>
              <w:rPr>
                <w:rFonts w:ascii="Arial" w:cs="Arial" w:eastAsia="Arial" w:hAnsi="Arial"/>
                <w:sz w:val="18"/>
                <w:szCs w:val="18"/>
                <w:color w:val="auto"/>
              </w:rPr>
              <w:t>Date: November 8, 2023</w:t>
            </w:r>
          </w:p>
        </w:tc>
        <w:tc>
          <w:tcPr>
            <w:tcW w:w="1920" w:type="dxa"/>
            <w:vAlign w:val="bottom"/>
          </w:tcPr>
          <w:p>
            <w:pPr>
              <w:ind w:left="120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Michael R. Cole</w:t>
            </w:r>
          </w:p>
        </w:tc>
      </w:tr>
      <w:tr>
        <w:trPr>
          <w:trHeight w:val="20"/>
        </w:trPr>
        <w:tc>
          <w:tcPr>
            <w:tcW w:w="42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182"/>
        </w:trPr>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920" w:type="dxa"/>
            <w:vAlign w:val="bottom"/>
            <w:gridSpan w:val="2"/>
          </w:tcPr>
          <w:p>
            <w:pPr>
              <w:ind w:left="1200"/>
              <w:spacing w:after="0" w:line="182" w:lineRule="exact"/>
              <w:rPr>
                <w:sz w:val="20"/>
                <w:szCs w:val="20"/>
                <w:color w:val="auto"/>
              </w:rPr>
            </w:pPr>
            <w:r>
              <w:rPr>
                <w:rFonts w:ascii="Arial" w:cs="Arial" w:eastAsia="Arial" w:hAnsi="Arial"/>
                <w:sz w:val="18"/>
                <w:szCs w:val="18"/>
                <w:color w:val="auto"/>
              </w:rPr>
              <w:t>Michael R. Cole,</w:t>
            </w:r>
          </w:p>
        </w:tc>
      </w:tr>
      <w:tr>
        <w:trPr>
          <w:trHeight w:val="230"/>
        </w:trPr>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920" w:type="dxa"/>
            <w:vAlign w:val="bottom"/>
            <w:gridSpan w:val="2"/>
          </w:tcPr>
          <w:p>
            <w:pPr>
              <w:ind w:left="1200"/>
              <w:spacing w:after="0"/>
              <w:rPr>
                <w:sz w:val="20"/>
                <w:szCs w:val="20"/>
                <w:color w:val="auto"/>
              </w:rPr>
            </w:pPr>
            <w:r>
              <w:rPr>
                <w:rFonts w:ascii="Arial" w:cs="Arial" w:eastAsia="Arial" w:hAnsi="Arial"/>
                <w:sz w:val="18"/>
                <w:szCs w:val="18"/>
                <w:color w:val="auto"/>
              </w:rPr>
              <w:t>Chief Financial Officer,</w:t>
            </w:r>
          </w:p>
        </w:tc>
      </w:tr>
    </w:tbl>
    <w:p>
      <w:pPr>
        <w:ind w:left="42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37" w:name="page38"/>
    <w:bookmarkEnd w:id="37"/>
    <w:p>
      <w:pPr>
        <w:jc w:val="right"/>
        <w:ind w:right="59"/>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November 8, 2023</w:t>
            </w:r>
          </w:p>
        </w:tc>
        <w:tc>
          <w:tcPr>
            <w:tcW w:w="444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1"/>
        </w:trPr>
        <w:tc>
          <w:tcPr>
            <w:tcW w:w="4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8" w:name="page39"/>
    <w:bookmarkEnd w:id="38"/>
    <w:p>
      <w:pPr>
        <w:jc w:val="right"/>
        <w:ind w:right="59"/>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report on Form 10-Q of UFP Industries, Inc.;</w:t>
      </w:r>
    </w:p>
    <w:p>
      <w:pPr>
        <w:spacing w:after="0" w:line="225"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540" w:right="79" w:hanging="490"/>
        <w:spacing w:after="0" w:line="286"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jc w:val="both"/>
        <w:ind w:left="860" w:right="79" w:hanging="324"/>
        <w:spacing w:after="0" w:line="259"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860" w:right="79" w:hanging="324"/>
        <w:spacing w:after="0" w:line="259"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540" w:right="79" w:hanging="490"/>
        <w:spacing w:after="0" w:line="26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3" w:lineRule="exact"/>
        <w:rPr>
          <w:rFonts w:ascii="Arial" w:cs="Arial" w:eastAsia="Arial" w:hAnsi="Arial"/>
          <w:sz w:val="18"/>
          <w:szCs w:val="18"/>
          <w:color w:val="auto"/>
        </w:rPr>
      </w:pPr>
    </w:p>
    <w:p>
      <w:pPr>
        <w:jc w:val="both"/>
        <w:ind w:left="860" w:right="79" w:hanging="324"/>
        <w:spacing w:after="0" w:line="263"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860" w:right="79" w:hanging="324"/>
        <w:spacing w:after="0" w:line="277" w:lineRule="auto"/>
        <w:tabs>
          <w:tab w:leader="none" w:pos="8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Arial" w:cs="Arial" w:eastAsia="Arial" w:hAnsi="Arial"/>
                <w:sz w:val="18"/>
                <w:szCs w:val="18"/>
                <w:color w:val="auto"/>
              </w:rPr>
              <w:t>Date: November 8, 2023</w:t>
            </w:r>
          </w:p>
        </w:tc>
        <w:tc>
          <w:tcPr>
            <w:tcW w:w="444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6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777"/>
        </w:trPr>
        <w:tc>
          <w:tcPr>
            <w:tcW w:w="4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39" w:name="page40"/>
    <w:bookmarkEnd w:id="39"/>
    <w:p>
      <w:pPr>
        <w:jc w:val="right"/>
        <w:ind w:right="59"/>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CHAIRMAN OF THE BOARD AND 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I, Matthew J. Missad, Chairman of the Board and Chief Executive Officer of UFP Industries, Inc., certify, to the best of my knowledge and belief, pursuant to Section 906 of the Sarbanes-Oxley Act of 2002 (18 U.S.C. 1350) that:</w:t>
      </w:r>
    </w:p>
    <w:p>
      <w:pPr>
        <w:spacing w:after="0" w:line="146" w:lineRule="exact"/>
        <w:rPr>
          <w:sz w:val="20"/>
          <w:szCs w:val="20"/>
          <w:color w:val="auto"/>
        </w:rPr>
      </w:pPr>
    </w:p>
    <w:p>
      <w:pPr>
        <w:jc w:val="both"/>
        <w:ind w:left="620" w:right="79" w:hanging="570"/>
        <w:spacing w:after="0" w:line="263"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2023,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jc w:val="both"/>
        <w:ind w:left="620" w:right="79" w:hanging="570"/>
        <w:spacing w:after="0" w:line="263" w:lineRule="auto"/>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30, 2023, fairly presents, in all material respects, the financial condition and results of operations of UFP Industries, Inc.</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November 8, 2023</w:t>
            </w:r>
          </w:p>
        </w:tc>
        <w:tc>
          <w:tcPr>
            <w:tcW w:w="4440" w:type="dxa"/>
            <w:vAlign w:val="bottom"/>
          </w:tcPr>
          <w:p>
            <w:pPr>
              <w:spacing w:after="0"/>
              <w:rPr>
                <w:sz w:val="20"/>
                <w:szCs w:val="20"/>
                <w:color w:val="auto"/>
              </w:rPr>
            </w:pPr>
            <w:r>
              <w:rPr>
                <w:rFonts w:ascii="Arial" w:cs="Arial" w:eastAsia="Arial" w:hAnsi="Arial"/>
                <w:sz w:val="18"/>
                <w:szCs w:val="18"/>
                <w:color w:val="auto"/>
              </w:rPr>
              <w:t>By:  /s/ Matthew J. Missad</w:t>
            </w:r>
          </w:p>
        </w:tc>
      </w:tr>
      <w:tr>
        <w:trPr>
          <w:trHeight w:val="20"/>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of the Board and Chief Executive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0" w:name="page41"/>
    <w:bookmarkEnd w:id="40"/>
    <w:p>
      <w:pPr>
        <w:jc w:val="right"/>
        <w:ind w:right="59"/>
        <w:spacing w:after="0"/>
        <w:rPr>
          <w:sz w:val="20"/>
          <w:szCs w:val="20"/>
          <w:color w:val="auto"/>
        </w:rPr>
      </w:pPr>
      <w:r>
        <w:rPr>
          <w:rFonts w:ascii="Arial" w:cs="Arial" w:eastAsia="Arial" w:hAnsi="Arial"/>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UFP INDUSTRIES, INC.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 Michael R. Cole, Chief Financial Officer of UFP Industries, Inc., certify, to the best of my knowledge and belief, pursuant to Section 906 of the Sarbanes-Oxley Act of 2002 (18 U.S.C. 1350) that:</w:t>
      </w:r>
    </w:p>
    <w:p>
      <w:pPr>
        <w:spacing w:after="0" w:line="170" w:lineRule="exact"/>
        <w:rPr>
          <w:sz w:val="20"/>
          <w:szCs w:val="20"/>
          <w:color w:val="auto"/>
        </w:rPr>
      </w:pPr>
    </w:p>
    <w:p>
      <w:pPr>
        <w:jc w:val="both"/>
        <w:ind w:left="620" w:right="79" w:hanging="570"/>
        <w:spacing w:after="0" w:line="263"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quarterly report on Form 10-Q for the quarterly period ended September 30, 2023, which this statement accompanies, fully complies with requirements of Section 13(a) or 15(d) of the Securities Exchange Act of 1934; and</w:t>
      </w:r>
    </w:p>
    <w:p>
      <w:pPr>
        <w:spacing w:after="0" w:line="183" w:lineRule="exact"/>
        <w:rPr>
          <w:rFonts w:ascii="Arial" w:cs="Arial" w:eastAsia="Arial" w:hAnsi="Arial"/>
          <w:sz w:val="18"/>
          <w:szCs w:val="18"/>
          <w:color w:val="auto"/>
        </w:rPr>
      </w:pPr>
    </w:p>
    <w:p>
      <w:pPr>
        <w:jc w:val="both"/>
        <w:ind w:left="620" w:right="79" w:hanging="570"/>
        <w:spacing w:after="0" w:line="263" w:lineRule="auto"/>
        <w:tabs>
          <w:tab w:leader="none" w:pos="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10-Q for the quarterly period ended September 30, 2023, fairly presents, in all material respects, the financial condition and results of operations of UFP Industries, Inc.</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Arial" w:cs="Arial" w:eastAsia="Arial" w:hAnsi="Arial"/>
                <w:sz w:val="18"/>
                <w:szCs w:val="18"/>
                <w:color w:val="auto"/>
              </w:rPr>
              <w:t>Date: November 8, 2023</w:t>
            </w:r>
          </w:p>
        </w:tc>
        <w:tc>
          <w:tcPr>
            <w:tcW w:w="4440" w:type="dxa"/>
            <w:vAlign w:val="bottom"/>
          </w:tcPr>
          <w:p>
            <w:pPr>
              <w:spacing w:after="0"/>
              <w:rPr>
                <w:sz w:val="20"/>
                <w:szCs w:val="20"/>
                <w:color w:val="auto"/>
              </w:rPr>
            </w:pPr>
            <w:r>
              <w:rPr>
                <w:rFonts w:ascii="Arial" w:cs="Arial" w:eastAsia="Arial" w:hAnsi="Arial"/>
                <w:sz w:val="18"/>
                <w:szCs w:val="18"/>
                <w:color w:val="auto"/>
              </w:rPr>
              <w:t>By:  /s/ Michael R. Cole</w:t>
            </w:r>
          </w:p>
        </w:tc>
      </w:tr>
      <w:tr>
        <w:trPr>
          <w:trHeight w:val="21"/>
        </w:trPr>
        <w:tc>
          <w:tcPr>
            <w:tcW w:w="4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 and Principal Financial Officer</w:t>
            </w: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633095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upperLetter"/>
      <w:start w:val="1"/>
    </w:lvl>
  </w:abstractNum>
  <w:abstractNum w:abstractNumId="3">
    <w:nsid w:val="75A2A8D4"/>
    <w:multiLevelType w:val="hybridMultilevel"/>
    <w:lvl w:ilvl="0">
      <w:lvlJc w:val="left"/>
      <w:lvlText w:val="(%1)"/>
      <w:numFmt w:val="lowerRoman"/>
      <w:start w:val="1"/>
    </w:lvl>
  </w:abstractNum>
  <w:abstractNum w:abstractNumId="4">
    <w:nsid w:val="8EDBDAB"/>
    <w:multiLevelType w:val="hybridMultilevel"/>
    <w:lvl w:ilvl="0">
      <w:lvlJc w:val="left"/>
      <w:lvlText w:val="%1."/>
      <w:numFmt w:val="upperLetter"/>
      <w:start w:val="2"/>
    </w:lvl>
  </w:abstractNum>
  <w:abstractNum w:abstractNumId="5">
    <w:nsid w:val="79838CB2"/>
    <w:multiLevelType w:val="hybridMultilevel"/>
    <w:lvl w:ilvl="0">
      <w:lvlJc w:val="left"/>
      <w:lvlText w:val="%1."/>
      <w:numFmt w:val="upperLetter"/>
      <w:start w:val="3"/>
    </w:lvl>
  </w:abstractNum>
  <w:abstractNum w:abstractNumId="6">
    <w:nsid w:val="4353D0CD"/>
    <w:multiLevelType w:val="hybridMultilevel"/>
    <w:lvl w:ilvl="0">
      <w:lvlJc w:val="left"/>
      <w:lvlText w:val="%1."/>
      <w:numFmt w:val="upperLetter"/>
      <w:start w:val="4"/>
    </w:lvl>
  </w:abstractNum>
  <w:abstractNum w:abstractNumId="7">
    <w:nsid w:val="B03E0C6"/>
    <w:multiLevelType w:val="hybridMultilevel"/>
    <w:lvl w:ilvl="0">
      <w:lvlJc w:val="left"/>
      <w:lvlText w:val="%1."/>
      <w:numFmt w:val="upperLetter"/>
      <w:start w:val="5"/>
    </w:lvl>
  </w:abstractNum>
  <w:abstractNum w:abstractNumId="8">
    <w:nsid w:val="189A769B"/>
    <w:multiLevelType w:val="hybridMultilevel"/>
    <w:lvl w:ilvl="0">
      <w:lvlJc w:val="left"/>
      <w:lvlText w:val="%1."/>
      <w:numFmt w:val="upperLetter"/>
      <w:start w:val="6"/>
    </w:lvl>
  </w:abstractNum>
  <w:abstractNum w:abstractNumId="9">
    <w:nsid w:val="54E49EB4"/>
    <w:multiLevelType w:val="hybridMultilevel"/>
    <w:lvl w:ilvl="0">
      <w:lvlJc w:val="left"/>
      <w:lvlText w:val="%1."/>
      <w:numFmt w:val="upperLetter"/>
      <w:start w:val="7"/>
    </w:lvl>
  </w:abstractNum>
  <w:abstractNum w:abstractNumId="10">
    <w:nsid w:val="71F32454"/>
    <w:multiLevelType w:val="hybridMultilevel"/>
    <w:lvl w:ilvl="0">
      <w:lvlJc w:val="left"/>
      <w:lvlText w:val="%1."/>
      <w:numFmt w:val="upperLetter"/>
      <w:start w:val="8"/>
    </w:lvl>
  </w:abstractNum>
  <w:abstractNum w:abstractNumId="11">
    <w:nsid w:val="2CA88611"/>
    <w:multiLevelType w:val="hybridMultilevel"/>
    <w:lvl w:ilvl="0">
      <w:lvlJc w:val="left"/>
      <w:lvlText w:val="%1."/>
      <w:numFmt w:val="upperLetter"/>
      <w:start w:val="9"/>
    </w:lvl>
  </w:abstractNum>
  <w:abstractNum w:abstractNumId="12">
    <w:nsid w:val="836C40E"/>
    <w:multiLevelType w:val="hybridMultilevel"/>
    <w:lvl w:ilvl="0">
      <w:lvlJc w:val="left"/>
      <w:lvlText w:val="%1."/>
      <w:numFmt w:val="upperLetter"/>
      <w:start w:val="10"/>
    </w:lvl>
  </w:abstractNum>
  <w:abstractNum w:abstractNumId="13">
    <w:nsid w:val="2901D82"/>
    <w:multiLevelType w:val="hybridMultilevel"/>
    <w:lvl w:ilvl="0">
      <w:lvlJc w:val="left"/>
      <w:lvlText w:val="%1."/>
      <w:numFmt w:val="upperLetter"/>
      <w:start w:val="1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lvl w:ilvl="1">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1"/>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lvl w:ilvl="1">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31"/>
    </w:lvl>
    <w:lvl w:ilvl="1">
      <w:lvlJc w:val="left"/>
      <w:lvlText w:val="(%2)"/>
      <w:numFmt w:val="lowerLetter"/>
      <w:start w:val="1"/>
    </w:lvl>
  </w:abstractNum>
  <w:abstractNum w:abstractNumId="38">
    <w:nsid w:val="3855585C"/>
    <w:multiLevelType w:val="hybridMultilevel"/>
    <w:lvl w:ilvl="0">
      <w:lvlJc w:val="left"/>
      <w:lvlText w:val="%1"/>
      <w:numFmt w:val="decimal"/>
      <w:start w:val="101"/>
    </w:lvl>
  </w:abstractNum>
  <w:abstractNum w:abstractNumId="39">
    <w:nsid w:val="70A64E2A"/>
    <w:multiLevelType w:val="hybridMultilevel"/>
    <w:lvl w:ilvl="0">
      <w:lvlJc w:val="left"/>
      <w:lvlText w:val="%1"/>
      <w:numFmt w:val="decimal"/>
      <w:start w:val="104"/>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2023-11-08T16:05:12Z</dcterms:created>
  <dcterms:modified xsi:type="dcterms:W3CDTF">2023-11-08T16:05:12Z</dcterms:modified>
</cp:coreProperties>
</file>