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UNITED STATES</w:t>
      </w:r>
    </w:p>
    <w:p>
      <w:pPr>
        <w:jc w:val="center"/>
        <w:ind w:right="-20"/>
        <w:spacing w:after="0" w:line="20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SECURITIES AND EXCHANGE COMMISSION</w:t>
      </w:r>
    </w:p>
    <w:p>
      <w:pPr>
        <w:jc w:val="center"/>
        <w:ind w:right="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Washington, DC 20549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jc w:val="center"/>
        <w:ind w:right="-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FORM 8-K</w:t>
      </w:r>
    </w:p>
    <w:p>
      <w:pPr>
        <w:spacing w:after="0" w:line="382" w:lineRule="exact"/>
        <w:rPr>
          <w:sz w:val="24"/>
          <w:szCs w:val="24"/>
          <w:color w:val="auto"/>
        </w:rPr>
      </w:pPr>
    </w:p>
    <w:p>
      <w:pPr>
        <w:jc w:val="center"/>
        <w:ind w:right="-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CURRENT REPORT</w:t>
      </w:r>
    </w:p>
    <w:p>
      <w:pPr>
        <w:jc w:val="center"/>
        <w:ind w:right="-20"/>
        <w:spacing w:after="0" w:line="20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Pursuant to Section 13 or 15(d) of the</w:t>
      </w:r>
    </w:p>
    <w:p>
      <w:pPr>
        <w:jc w:val="center"/>
        <w:ind w:right="-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Securities Exchange Act of 1934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93" w:lineRule="exact"/>
        <w:rPr>
          <w:sz w:val="24"/>
          <w:szCs w:val="24"/>
          <w:color w:val="auto"/>
        </w:rPr>
      </w:pPr>
    </w:p>
    <w:p>
      <w:pPr>
        <w:jc w:val="center"/>
        <w:ind w:right="-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Date of Report (date of earliest event reported): April 18, 2017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jc w:val="center"/>
        <w:ind w:right="-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UNIVERSAL FOREST PRODUCTS, INC.</w:t>
      </w:r>
    </w:p>
    <w:p>
      <w:pPr>
        <w:jc w:val="center"/>
        <w:ind w:right="-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(Exact Name of Registrant as Specified in Charter)</w:t>
      </w:r>
    </w:p>
    <w:p>
      <w:pPr>
        <w:spacing w:after="0" w:line="340" w:lineRule="exact"/>
        <w:rPr>
          <w:sz w:val="24"/>
          <w:szCs w:val="24"/>
          <w:color w:val="auto"/>
        </w:rPr>
      </w:pPr>
    </w:p>
    <w:tbl>
      <w:tblPr>
        <w:tblLayout w:type="fixed"/>
        <w:tblInd w:w="5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80" w:type="dxa"/>
            <w:vAlign w:val="bottom"/>
          </w:tcPr>
          <w:p>
            <w:pPr>
              <w:jc w:val="center"/>
              <w:ind w:right="5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2"/>
              </w:rPr>
              <w:t>Michigan</w:t>
            </w:r>
          </w:p>
        </w:tc>
        <w:tc>
          <w:tcPr>
            <w:tcW w:w="23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88"/>
              </w:rPr>
              <w:t>00-22684</w:t>
            </w:r>
          </w:p>
        </w:tc>
        <w:tc>
          <w:tcPr>
            <w:tcW w:w="2220" w:type="dxa"/>
            <w:vAlign w:val="bottom"/>
          </w:tcPr>
          <w:p>
            <w:pPr>
              <w:jc w:val="right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38-1465835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3280" w:type="dxa"/>
            <w:vAlign w:val="bottom"/>
          </w:tcPr>
          <w:p>
            <w:pPr>
              <w:jc w:val="center"/>
              <w:ind w:right="472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(State or Other Jurisdiction</w:t>
            </w:r>
          </w:p>
        </w:tc>
        <w:tc>
          <w:tcPr>
            <w:tcW w:w="2360" w:type="dxa"/>
            <w:vAlign w:val="bottom"/>
          </w:tcPr>
          <w:p>
            <w:pPr>
              <w:jc w:val="center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(Commission</w:t>
            </w:r>
          </w:p>
        </w:tc>
        <w:tc>
          <w:tcPr>
            <w:tcW w:w="2220" w:type="dxa"/>
            <w:vAlign w:val="bottom"/>
          </w:tcPr>
          <w:p>
            <w:pPr>
              <w:jc w:val="center"/>
              <w:ind w:left="492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(IRS Employer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5"/>
        </w:trPr>
        <w:tc>
          <w:tcPr>
            <w:tcW w:w="3280" w:type="dxa"/>
            <w:vAlign w:val="bottom"/>
          </w:tcPr>
          <w:p>
            <w:pPr>
              <w:jc w:val="center"/>
              <w:ind w:right="4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2"/>
              </w:rPr>
              <w:t>of Incorporation)</w:t>
            </w:r>
          </w:p>
        </w:tc>
        <w:tc>
          <w:tcPr>
            <w:tcW w:w="23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2"/>
              </w:rPr>
              <w:t>File Number)</w:t>
            </w:r>
          </w:p>
        </w:tc>
        <w:tc>
          <w:tcPr>
            <w:tcW w:w="2220" w:type="dxa"/>
            <w:vAlign w:val="bottom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4"/>
              </w:rPr>
              <w:t>Identification No.)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8"/>
        </w:trPr>
        <w:tc>
          <w:tcPr>
            <w:tcW w:w="3280" w:type="dxa"/>
            <w:vAlign w:val="bottom"/>
          </w:tcPr>
          <w:p>
            <w:pPr>
              <w:jc w:val="center"/>
              <w:ind w:right="4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0"/>
              </w:rPr>
              <w:t>2801 East Beltline, N.E.</w:t>
            </w: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20" w:type="dxa"/>
            <w:vAlign w:val="bottom"/>
            <w:vMerge w:val="restart"/>
          </w:tcPr>
          <w:p>
            <w:pPr>
              <w:jc w:val="right"/>
              <w:ind w:right="4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280" w:type="dxa"/>
            <w:vAlign w:val="bottom"/>
          </w:tcPr>
          <w:p>
            <w:pPr>
              <w:jc w:val="center"/>
              <w:ind w:right="532"/>
              <w:spacing w:after="0" w:line="2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3"/>
              </w:rPr>
              <w:t>Grand Rapids, Michigan</w:t>
            </w: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3280" w:type="dxa"/>
            <w:vAlign w:val="bottom"/>
          </w:tcPr>
          <w:p>
            <w:pPr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(Address of principal executive</w:t>
            </w: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jc w:val="center"/>
              <w:ind w:left="492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(Zip Code)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5"/>
        </w:trPr>
        <w:tc>
          <w:tcPr>
            <w:tcW w:w="3280" w:type="dxa"/>
            <w:vAlign w:val="bottom"/>
          </w:tcPr>
          <w:p>
            <w:pPr>
              <w:jc w:val="center"/>
              <w:ind w:right="4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6"/>
              </w:rPr>
              <w:t>office)</w:t>
            </w: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68" w:lineRule="exact"/>
        <w:rPr>
          <w:sz w:val="24"/>
          <w:szCs w:val="24"/>
          <w:color w:val="auto"/>
        </w:rPr>
      </w:pPr>
    </w:p>
    <w:p>
      <w:pPr>
        <w:jc w:val="center"/>
        <w:ind w:right="-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 xml:space="preserve">Registrant's telephone number, including area code: </w:t>
      </w: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(616) 364-6161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ind w:left="160" w:right="159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Check the appropriate box below if the Form 8-K filing is intended to simultaneously satisfy the filing obligation of the registrant under any of the following provisions:</w:t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ind w:left="1000" w:hanging="849"/>
        <w:spacing w:after="0"/>
        <w:tabs>
          <w:tab w:leader="none" w:pos="100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9"/>
          <w:szCs w:val="19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Written communications pursuant to Rule 425 under the Securities Act (17 CFR 230.425)</w:t>
      </w:r>
    </w:p>
    <w:p>
      <w:pPr>
        <w:spacing w:after="0" w:line="15" w:lineRule="exact"/>
        <w:rPr>
          <w:rFonts w:ascii="MS PGothic" w:cs="MS PGothic" w:eastAsia="MS PGothic" w:hAnsi="MS PGothic"/>
          <w:sz w:val="19"/>
          <w:szCs w:val="19"/>
          <w:color w:val="auto"/>
        </w:rPr>
      </w:pPr>
    </w:p>
    <w:p>
      <w:pPr>
        <w:ind w:left="1000" w:hanging="849"/>
        <w:spacing w:after="0" w:line="237" w:lineRule="auto"/>
        <w:tabs>
          <w:tab w:leader="none" w:pos="100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9"/>
          <w:szCs w:val="19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Soliciting material pursuant to Rule 14a-12 under the Exchange Act (17 CFR 240.14a-12).</w:t>
      </w:r>
    </w:p>
    <w:p>
      <w:pPr>
        <w:ind w:left="820" w:right="159" w:hanging="669"/>
        <w:spacing w:after="0" w:line="205" w:lineRule="auto"/>
        <w:tabs>
          <w:tab w:leader="none" w:pos="997" w:val="left"/>
        </w:tabs>
        <w:numPr>
          <w:ilvl w:val="0"/>
          <w:numId w:val="1"/>
        </w:numPr>
        <w:rPr>
          <w:rFonts w:ascii="MS PGothic" w:cs="MS PGothic" w:eastAsia="MS PGothic" w:hAnsi="MS PGothic"/>
          <w:sz w:val="22"/>
          <w:szCs w:val="22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Pre-commencement communications pursuant to Rule 14d-2(b) under the Exchange Act (17 CFR 240-14d-2(b)).</w:t>
      </w:r>
    </w:p>
    <w:p>
      <w:pPr>
        <w:ind w:left="820" w:right="139" w:hanging="669"/>
        <w:spacing w:after="0" w:line="224" w:lineRule="auto"/>
        <w:tabs>
          <w:tab w:leader="none" w:pos="997" w:val="left"/>
        </w:tabs>
        <w:numPr>
          <w:ilvl w:val="0"/>
          <w:numId w:val="1"/>
        </w:numPr>
        <w:rPr>
          <w:rFonts w:ascii="MS PGothic" w:cs="MS PGothic" w:eastAsia="MS PGothic" w:hAnsi="MS PGothic"/>
          <w:sz w:val="22"/>
          <w:szCs w:val="22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Pre-commencement communications pursuant to Rule 13e-4(c) under the Exchange Act (17 CFR 240.13e-4(c)).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92075</wp:posOffset>
            </wp:positionH>
            <wp:positionV relativeFrom="paragraph">
              <wp:posOffset>122555</wp:posOffset>
            </wp:positionV>
            <wp:extent cx="5548630" cy="260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8630" cy="26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9019"/>
          </w:cols>
          <w:pgMar w:left="1440" w:top="194" w:right="1440" w:bottom="1440" w:gutter="0" w:footer="0" w:header="0"/>
        </w:sectPr>
      </w:pPr>
    </w:p>
    <w:bookmarkStart w:id="1" w:name="page2"/>
    <w:bookmarkEnd w:id="1"/>
    <w:p>
      <w:pPr>
        <w:ind w:left="160"/>
        <w:spacing w:after="0"/>
        <w:tabs>
          <w:tab w:leader="none" w:pos="1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Section 5.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Corporate Governance and Management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ind w:left="2100" w:right="1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Item 5.07. Submission of Matters to a Vote of Security Holders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jc w:val="both"/>
        <w:ind w:left="160" w:right="139" w:firstLine="648"/>
        <w:spacing w:after="0" w:line="21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On April 18, 2017, the Company held its 2017 Annual Meeting of Shareholders. The matters listed below were submitted to a vote of the shareholders through the solicitation of proxies; the proposals are described in detail in the Company’s Proxy Statement dated March 9, 2017. The voting results are as follows:</w:t>
      </w:r>
    </w:p>
    <w:p>
      <w:pPr>
        <w:spacing w:after="0" w:line="161" w:lineRule="exact"/>
        <w:rPr>
          <w:sz w:val="20"/>
          <w:szCs w:val="20"/>
          <w:color w:val="auto"/>
        </w:rPr>
      </w:pPr>
    </w:p>
    <w:p>
      <w:pPr>
        <w:ind w:left="1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u w:val="single" w:color="auto"/>
          <w:color w:val="auto"/>
        </w:rPr>
        <w:t>Proposal 1 – Election of Directors</w:t>
      </w:r>
    </w:p>
    <w:p>
      <w:pPr>
        <w:spacing w:after="0" w:line="179" w:lineRule="exact"/>
        <w:rPr>
          <w:sz w:val="20"/>
          <w:szCs w:val="20"/>
          <w:color w:val="auto"/>
        </w:rPr>
      </w:pPr>
    </w:p>
    <w:p>
      <w:pPr>
        <w:jc w:val="both"/>
        <w:ind w:left="160" w:right="139" w:firstLine="648"/>
        <w:spacing w:after="0" w:line="29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The following individuals were elected to serve as directors of the Company to hold office until the 2020 Annual Meeting of Shareholders, under the terms of the Company's Bylaws:</w:t>
      </w:r>
    </w:p>
    <w:p>
      <w:pPr>
        <w:spacing w:after="0" w:line="69" w:lineRule="exact"/>
        <w:rPr>
          <w:sz w:val="20"/>
          <w:szCs w:val="20"/>
          <w:color w:val="auto"/>
        </w:rPr>
      </w:pPr>
    </w:p>
    <w:tbl>
      <w:tblPr>
        <w:tblLayout w:type="fixed"/>
        <w:tblInd w:w="8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Nominee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For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Against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Abstain</w:t>
            </w:r>
          </w:p>
        </w:tc>
        <w:tc>
          <w:tcPr>
            <w:tcW w:w="11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2"/>
              </w:rPr>
              <w:t>Broker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jc w:val="center"/>
              <w:spacing w:after="0" w:line="2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8"/>
              </w:rPr>
              <w:t>Non-Votes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4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jc w:val="right"/>
              <w:ind w:right="3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229,721</w:t>
            </w:r>
          </w:p>
        </w:tc>
        <w:tc>
          <w:tcPr>
            <w:tcW w:w="12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1400" w:type="dxa"/>
            <w:vAlign w:val="bottom"/>
          </w:tcPr>
          <w:p>
            <w:pPr>
              <w:ind w:left="120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  <w:w w:val="90"/>
              </w:rPr>
              <w:t>Gary F. Goode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jc w:val="center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  <w:w w:val="91"/>
              </w:rPr>
              <w:t>17,692,432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jc w:val="right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>10,622</w:t>
            </w: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jc w:val="center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  <w:w w:val="92"/>
              </w:rPr>
              <w:t>964,458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1400" w:type="dxa"/>
            <w:vAlign w:val="bottom"/>
          </w:tcPr>
          <w:p>
            <w:pPr>
              <w:ind w:left="120"/>
              <w:spacing w:after="0" w:line="2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6"/>
              </w:rPr>
              <w:t>Mary E. Tuuk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jc w:val="center"/>
              <w:spacing w:after="0" w:line="2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7"/>
              </w:rPr>
              <w:t>17,846,044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jc w:val="right"/>
              <w:ind w:right="380"/>
              <w:spacing w:after="0" w:line="2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76,127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spacing w:after="0" w:line="2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10,604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jc w:val="center"/>
              <w:spacing w:after="0" w:line="2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7"/>
              </w:rPr>
              <w:t>964,458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1400" w:type="dxa"/>
            <w:vAlign w:val="bottom"/>
          </w:tcPr>
          <w:p>
            <w:pPr>
              <w:ind w:left="120"/>
              <w:spacing w:after="0" w:line="2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Michael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2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G.</w:t>
            </w:r>
          </w:p>
        </w:tc>
        <w:tc>
          <w:tcPr>
            <w:tcW w:w="1240" w:type="dxa"/>
            <w:vAlign w:val="bottom"/>
          </w:tcPr>
          <w:p>
            <w:pPr>
              <w:jc w:val="center"/>
              <w:spacing w:after="0" w:line="2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7"/>
              </w:rPr>
              <w:t>17,841,029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jc w:val="right"/>
              <w:ind w:right="380"/>
              <w:spacing w:after="0" w:line="2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79,743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spacing w:after="0" w:line="2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12,003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jc w:val="center"/>
              <w:spacing w:after="0" w:line="2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7"/>
              </w:rPr>
              <w:t>964,458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5"/>
        </w:trPr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Wooldridge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50" w:lineRule="exact"/>
        <w:rPr>
          <w:sz w:val="20"/>
          <w:szCs w:val="20"/>
          <w:color w:val="auto"/>
        </w:rPr>
      </w:pPr>
    </w:p>
    <w:p>
      <w:pPr>
        <w:jc w:val="both"/>
        <w:ind w:left="160" w:right="159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u w:val="single" w:color="auto"/>
          <w:color w:val="auto"/>
        </w:rPr>
        <w:t>Proposal 2 – Approval of Amendment to the Articles of Incorporation to add an additional 40,000,000 shares of common stock.</w:t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jc w:val="both"/>
        <w:ind w:left="160" w:right="159" w:firstLine="648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The shareholders approved the Amendment to the Articles of Incorporation to add an additional 40,000,000 shares of common stock.</w:t>
      </w:r>
    </w:p>
    <w:p>
      <w:pPr>
        <w:spacing w:after="0" w:line="157" w:lineRule="exact"/>
        <w:rPr>
          <w:sz w:val="20"/>
          <w:szCs w:val="20"/>
          <w:color w:val="auto"/>
        </w:rPr>
      </w:pPr>
    </w:p>
    <w:tbl>
      <w:tblPr>
        <w:tblLayout w:type="fixed"/>
        <w:tblInd w:w="11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40" w:type="dxa"/>
            <w:vAlign w:val="bottom"/>
            <w:gridSpan w:val="2"/>
          </w:tcPr>
          <w:p>
            <w:pPr>
              <w:jc w:val="center"/>
              <w:ind w:righ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For</w:t>
            </w:r>
          </w:p>
        </w:tc>
        <w:tc>
          <w:tcPr>
            <w:tcW w:w="2360" w:type="dxa"/>
            <w:vAlign w:val="bottom"/>
            <w:gridSpan w:val="2"/>
          </w:tcPr>
          <w:p>
            <w:pPr>
              <w:jc w:val="center"/>
              <w:ind w:righ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Against</w:t>
            </w:r>
          </w:p>
        </w:tc>
        <w:tc>
          <w:tcPr>
            <w:tcW w:w="14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Abstain</w:t>
            </w:r>
          </w:p>
        </w:tc>
      </w:tr>
      <w:tr>
        <w:trPr>
          <w:trHeight w:val="268"/>
        </w:trPr>
        <w:tc>
          <w:tcPr>
            <w:tcW w:w="1400" w:type="dxa"/>
            <w:vAlign w:val="bottom"/>
            <w:tcBorders>
              <w:top w:val="single" w:sz="8" w:color="auto"/>
            </w:tcBorders>
          </w:tcPr>
          <w:p>
            <w:pPr>
              <w:jc w:val="right"/>
              <w:ind w:righ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15,137,263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top w:val="single" w:sz="8" w:color="auto"/>
            </w:tcBorders>
          </w:tcPr>
          <w:p>
            <w:pPr>
              <w:jc w:val="right"/>
              <w:ind w:right="3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3,619,813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auto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140,157</w:t>
            </w:r>
          </w:p>
        </w:tc>
      </w:tr>
    </w:tbl>
    <w:p>
      <w:pPr>
        <w:spacing w:after="0" w:line="123" w:lineRule="exact"/>
        <w:rPr>
          <w:sz w:val="20"/>
          <w:szCs w:val="20"/>
          <w:color w:val="auto"/>
        </w:rPr>
      </w:pPr>
    </w:p>
    <w:p>
      <w:pPr>
        <w:ind w:left="160" w:right="139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u w:val="single" w:color="auto"/>
          <w:color w:val="auto"/>
        </w:rPr>
        <w:t>Proposal 3 – Ratification of the Appointment of Deloitte &amp; Touche LLP as the Company's Independent Registered Public Accounting Firm for Fiscal 2017.</w:t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ind w:left="160" w:right="139" w:firstLine="648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The shareholders ratified the appointment of Deloitte &amp; Touche LLP to serve as the Company's independent registered public accounting firm for fiscal 2017.</w:t>
      </w:r>
    </w:p>
    <w:p>
      <w:pPr>
        <w:spacing w:after="0" w:line="157" w:lineRule="exact"/>
        <w:rPr>
          <w:sz w:val="20"/>
          <w:szCs w:val="20"/>
          <w:color w:val="auto"/>
        </w:rPr>
      </w:pPr>
    </w:p>
    <w:tbl>
      <w:tblPr>
        <w:tblLayout w:type="fixed"/>
        <w:tblInd w:w="1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60" w:type="dxa"/>
            <w:vAlign w:val="bottom"/>
            <w:gridSpan w:val="2"/>
          </w:tcPr>
          <w:p>
            <w:pPr>
              <w:jc w:val="center"/>
              <w:ind w:righ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For</w:t>
            </w:r>
          </w:p>
        </w:tc>
        <w:tc>
          <w:tcPr>
            <w:tcW w:w="2300" w:type="dxa"/>
            <w:vAlign w:val="bottom"/>
            <w:gridSpan w:val="2"/>
          </w:tcPr>
          <w:p>
            <w:pPr>
              <w:jc w:val="center"/>
              <w:ind w:righ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2"/>
              </w:rPr>
              <w:t>Against</w:t>
            </w:r>
          </w:p>
        </w:tc>
        <w:tc>
          <w:tcPr>
            <w:tcW w:w="14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2"/>
              </w:rPr>
              <w:t>Abstain</w:t>
            </w: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68"/>
        </w:trPr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auto"/>
            </w:tcBorders>
          </w:tcPr>
          <w:p>
            <w:pPr>
              <w:jc w:val="right"/>
              <w:ind w:righ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18,834,791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auto"/>
            </w:tcBorders>
          </w:tcPr>
          <w:p>
            <w:pPr>
              <w:jc w:val="right"/>
              <w:ind w:right="4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57,325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auto"/>
            </w:tcBorders>
          </w:tcPr>
          <w:p>
            <w:pPr>
              <w:jc w:val="right"/>
              <w:ind w:right="3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5,117</w:t>
            </w: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394"/>
        </w:trPr>
        <w:tc>
          <w:tcPr>
            <w:tcW w:w="10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9019"/>
          </w:cols>
          <w:pgMar w:left="1440" w:top="98" w:right="1440" w:bottom="1440" w:gutter="0" w:footer="0" w:header="0"/>
        </w:sectPr>
      </w:pPr>
    </w:p>
    <w:bookmarkStart w:id="2" w:name="page3"/>
    <w:bookmarkEnd w:id="2"/>
    <w:p>
      <w:pPr>
        <w:ind w:left="1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u w:val="single" w:color="auto"/>
          <w:color w:val="auto"/>
        </w:rPr>
        <w:t>Proposal 4 –Advisory (Non-Binding) Vote on Executive Compensation.</w:t>
      </w:r>
    </w:p>
    <w:p>
      <w:pPr>
        <w:spacing w:after="0" w:line="179" w:lineRule="exact"/>
        <w:rPr>
          <w:sz w:val="20"/>
          <w:szCs w:val="20"/>
          <w:color w:val="auto"/>
        </w:rPr>
      </w:pPr>
    </w:p>
    <w:p>
      <w:pPr>
        <w:jc w:val="both"/>
        <w:ind w:left="160" w:right="139" w:firstLine="648"/>
        <w:spacing w:after="0" w:line="22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The shareholders approved the proposed resolution to approve the compensation of the Company's named executive officers, as disclosed pursuant to the compensation disclosure rules of the SEC.</w:t>
      </w:r>
    </w:p>
    <w:p>
      <w:pPr>
        <w:spacing w:after="0" w:line="122" w:lineRule="exact"/>
        <w:rPr>
          <w:sz w:val="20"/>
          <w:szCs w:val="20"/>
          <w:color w:val="auto"/>
        </w:rPr>
      </w:pPr>
    </w:p>
    <w:tbl>
      <w:tblPr>
        <w:tblLayout w:type="fixed"/>
        <w:tblInd w:w="1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20" w:type="dxa"/>
            <w:vAlign w:val="bottom"/>
            <w:gridSpan w:val="2"/>
            <w:vMerge w:val="restart"/>
          </w:tcPr>
          <w:p>
            <w:pPr>
              <w:jc w:val="center"/>
              <w:ind w:righ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For</w:t>
            </w:r>
          </w:p>
        </w:tc>
        <w:tc>
          <w:tcPr>
            <w:tcW w:w="2320" w:type="dxa"/>
            <w:vAlign w:val="bottom"/>
            <w:gridSpan w:val="2"/>
            <w:vMerge w:val="restart"/>
          </w:tcPr>
          <w:p>
            <w:pPr>
              <w:jc w:val="center"/>
              <w:ind w:righ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2"/>
              </w:rPr>
              <w:t>Against</w:t>
            </w:r>
          </w:p>
        </w:tc>
        <w:tc>
          <w:tcPr>
            <w:tcW w:w="2100" w:type="dxa"/>
            <w:vAlign w:val="bottom"/>
            <w:gridSpan w:val="2"/>
            <w:vMerge w:val="restart"/>
          </w:tcPr>
          <w:p>
            <w:pPr>
              <w:jc w:val="center"/>
              <w:ind w:righ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2"/>
              </w:rPr>
              <w:t>Abstain</w:t>
            </w:r>
          </w:p>
        </w:tc>
        <w:tc>
          <w:tcPr>
            <w:tcW w:w="13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2"/>
              </w:rPr>
              <w:t>Broker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jc w:val="center"/>
              <w:spacing w:after="0" w:line="25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8"/>
              </w:rPr>
              <w:t>Non-Votes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top w:val="single" w:sz="8" w:color="auto"/>
            </w:tcBorders>
          </w:tcPr>
          <w:p>
            <w:pPr>
              <w:jc w:val="right"/>
              <w:ind w:righ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13,121,916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top w:val="single" w:sz="8" w:color="auto"/>
            </w:tcBorders>
          </w:tcPr>
          <w:p>
            <w:pPr>
              <w:jc w:val="right"/>
              <w:ind w:right="2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4,737,393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auto"/>
            </w:tcBorders>
          </w:tcPr>
          <w:p>
            <w:pPr>
              <w:jc w:val="right"/>
              <w:ind w:right="3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73,466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7"/>
              </w:rPr>
              <w:t>964,458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1"/>
        </w:trPr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9019"/>
          </w:cols>
          <w:pgMar w:left="1440" w:top="321" w:right="1440" w:bottom="1440" w:gutter="0" w:footer="0" w:header="0"/>
        </w:sectPr>
      </w:pPr>
    </w:p>
    <w:bookmarkStart w:id="3" w:name="page4"/>
    <w:bookmarkEnd w:id="3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u w:val="single" w:color="auto"/>
          <w:color w:val="auto"/>
        </w:rPr>
        <w:t>SIGNATURE</w:t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ind w:left="160" w:right="139" w:firstLine="648"/>
        <w:spacing w:after="0" w:line="29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Pursuant to the requirements of the Securities Exchange Act of 1934, the registrant has duly caused this report to be signed on its behalf by the undersigned thereunto duly authorized.</w:t>
      </w:r>
    </w:p>
    <w:p>
      <w:pPr>
        <w:spacing w:after="0" w:line="69" w:lineRule="exact"/>
        <w:rPr>
          <w:sz w:val="20"/>
          <w:szCs w:val="20"/>
          <w:color w:val="auto"/>
        </w:rPr>
      </w:pPr>
    </w:p>
    <w:tbl>
      <w:tblPr>
        <w:tblLayout w:type="fixed"/>
        <w:tblInd w:w="1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Dated: April 18, 2017</w:t>
            </w:r>
          </w:p>
        </w:tc>
        <w:tc>
          <w:tcPr>
            <w:tcW w:w="5720" w:type="dxa"/>
            <w:vAlign w:val="bottom"/>
            <w:gridSpan w:val="3"/>
          </w:tcPr>
          <w:p>
            <w:pPr>
              <w:ind w:left="1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UNIVERSAL FOREST PRODUCTS, INC.</w:t>
            </w:r>
          </w:p>
        </w:tc>
      </w:tr>
      <w:tr>
        <w:trPr>
          <w:trHeight w:val="27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720" w:type="dxa"/>
            <w:vAlign w:val="bottom"/>
            <w:gridSpan w:val="3"/>
          </w:tcPr>
          <w:p>
            <w:pPr>
              <w:ind w:left="1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(Registrant)</w:t>
            </w:r>
          </w:p>
        </w:tc>
      </w:tr>
      <w:tr>
        <w:trPr>
          <w:trHeight w:val="409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720" w:type="dxa"/>
            <w:vAlign w:val="bottom"/>
            <w:gridSpan w:val="3"/>
          </w:tcPr>
          <w:p>
            <w:pPr>
              <w:ind w:left="1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By:  /s/ Michael R. Cole</w:t>
            </w:r>
          </w:p>
        </w:tc>
      </w:tr>
      <w:tr>
        <w:trPr>
          <w:trHeight w:val="17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14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 w:line="1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auto"/>
              </w:rPr>
              <w:t>Michael R. Cole</w:t>
            </w:r>
          </w:p>
        </w:tc>
      </w:tr>
      <w:tr>
        <w:trPr>
          <w:trHeight w:val="27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Principal Financial Officer and Treasurer</w:t>
            </w:r>
          </w:p>
        </w:tc>
      </w:tr>
      <w:tr>
        <w:trPr>
          <w:trHeight w:val="564"/>
        </w:trPr>
        <w:tc>
          <w:tcPr>
            <w:tcW w:w="3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019"/>
      </w:cols>
      <w:pgMar w:left="1440" w:top="118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2019-12-05T22:32:40Z</dcterms:created>
  <dcterms:modified xsi:type="dcterms:W3CDTF">2019-12-05T22:32:40Z</dcterms:modified>
</cp:coreProperties>
</file>