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20" w:type="dxa"/>
            <w:vAlign w:val="bottom"/>
          </w:tcPr>
          <w:p>
            <w:pPr>
              <w:jc w:val="center"/>
              <w:ind w:right="29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29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1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15875</wp:posOffset>
            </wp:positionV>
            <wp:extent cx="7325995" cy="5559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55594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520"/>
            <w:col w:w="8740"/>
          </w:cols>
          <w:pgMar w:left="240" w:top="221"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CURRIE WILLIAM G</w:t>
        </w:r>
      </w:hyperlink>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200" w:type="dxa"/>
            <w:vAlign w:val="bottom"/>
            <w:gridSpan w:val="2"/>
          </w:tcPr>
          <w:p>
            <w:pPr>
              <w:ind w:left="20"/>
              <w:spacing w:after="0"/>
              <w:rPr>
                <w:sz w:val="20"/>
                <w:szCs w:val="20"/>
                <w:color w:val="auto"/>
              </w:rPr>
            </w:pPr>
            <w:r>
              <w:rPr>
                <w:rFonts w:ascii="Arial" w:cs="Arial" w:eastAsia="Arial" w:hAnsi="Arial"/>
                <w:sz w:val="17"/>
                <w:szCs w:val="17"/>
                <w:color w:val="0000FF"/>
              </w:rPr>
              <w:t>2801 EAST BELTINE N E</w:t>
            </w:r>
          </w:p>
        </w:tc>
        <w:tc>
          <w:tcPr>
            <w:tcW w:w="160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57"/>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60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37"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UNIVERSAL FOREST PRODUCTS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 xml:space="preserve">UFPI </w:t>
      </w:r>
      <w:r>
        <w:rPr>
          <w:rFonts w:ascii="Arial" w:cs="Arial" w:eastAsia="Arial" w:hAnsi="Arial"/>
          <w:sz w:val="20"/>
          <w:szCs w:val="20"/>
          <w:color w:val="000000"/>
        </w:rPr>
        <w:t>]</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04/21/2008</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7" w:right="760" w:firstLine="7"/>
        <w:spacing w:after="0" w:line="237"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3"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73"/>
        <w:spacing w:after="0"/>
        <w:rPr>
          <w:sz w:val="20"/>
          <w:szCs w:val="20"/>
          <w:color w:val="auto"/>
        </w:rPr>
      </w:pPr>
      <w:r>
        <w:rPr>
          <w:rFonts w:ascii="Arial" w:cs="Arial" w:eastAsia="Arial" w:hAnsi="Arial"/>
          <w:sz w:val="17"/>
          <w:szCs w:val="17"/>
          <w:color w:val="0000FF"/>
        </w:rPr>
        <w:t>Executive Chairman</w:t>
      </w:r>
    </w:p>
    <w:p>
      <w:pPr>
        <w:spacing w:after="0" w:line="578" w:lineRule="exact"/>
        <w:rPr>
          <w:sz w:val="24"/>
          <w:szCs w:val="24"/>
          <w:color w:val="auto"/>
        </w:rPr>
      </w:pPr>
    </w:p>
    <w:p>
      <w:pPr>
        <w:sectPr>
          <w:pgSz w:w="11900" w:h="16838" w:orient="portrait"/>
          <w:cols w:equalWidth="0" w:num="3">
            <w:col w:w="3900" w:space="160"/>
            <w:col w:w="3640" w:space="347"/>
            <w:col w:w="3473"/>
          </w:cols>
          <w:pgMar w:left="240" w:top="221" w:right="139" w:bottom="1440" w:gutter="0" w:footer="0" w:header="0"/>
          <w:type w:val="continuous"/>
        </w:sectPr>
      </w:pPr>
    </w:p>
    <w:tbl>
      <w:tblPr>
        <w:tblLayout w:type="fixed"/>
        <w:tblInd w:w="100" w:type="dxa"/>
        <w:tblCellMar>
          <w:top w:w="0" w:type="dxa"/>
          <w:left w:w="0" w:type="dxa"/>
          <w:bottom w:w="0" w:type="dxa"/>
          <w:right w:w="0" w:type="dxa"/>
        </w:tblCellMar>
      </w:tblPr>
      <w:tr>
        <w:trPr>
          <w:trHeight w:val="206"/>
        </w:trPr>
        <w:tc>
          <w:tcPr>
            <w:tcW w:w="960" w:type="dxa"/>
            <w:vAlign w:val="bottom"/>
          </w:tcPr>
          <w:p>
            <w:pPr>
              <w:ind w:left="20"/>
              <w:spacing w:after="0"/>
              <w:rPr>
                <w:sz w:val="20"/>
                <w:szCs w:val="20"/>
                <w:color w:val="auto"/>
              </w:rPr>
            </w:pPr>
            <w:r>
              <w:rPr>
                <w:rFonts w:ascii="Arial" w:cs="Arial" w:eastAsia="Arial" w:hAnsi="Arial"/>
                <w:sz w:val="17"/>
                <w:szCs w:val="17"/>
                <w:color w:val="0000FF"/>
              </w:rPr>
              <w:t>GRAND</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MI</w:t>
            </w:r>
          </w:p>
        </w:tc>
        <w:tc>
          <w:tcPr>
            <w:tcW w:w="1680" w:type="dxa"/>
            <w:vAlign w:val="bottom"/>
            <w:vMerge w:val="restart"/>
          </w:tcPr>
          <w:p>
            <w:pPr>
              <w:ind w:left="460"/>
              <w:spacing w:after="0"/>
              <w:rPr>
                <w:sz w:val="20"/>
                <w:szCs w:val="20"/>
                <w:color w:val="auto"/>
              </w:rPr>
            </w:pPr>
            <w:r>
              <w:rPr>
                <w:rFonts w:ascii="Arial" w:cs="Arial" w:eastAsia="Arial" w:hAnsi="Arial"/>
                <w:sz w:val="17"/>
                <w:szCs w:val="17"/>
                <w:color w:val="0000FF"/>
              </w:rPr>
              <w:t>49505</w:t>
            </w:r>
          </w:p>
        </w:tc>
        <w:tc>
          <w:tcPr>
            <w:tcW w:w="0" w:type="dxa"/>
            <w:vAlign w:val="bottom"/>
          </w:tcPr>
          <w:p>
            <w:pPr>
              <w:spacing w:after="0"/>
              <w:rPr>
                <w:sz w:val="1"/>
                <w:szCs w:val="1"/>
                <w:color w:val="auto"/>
              </w:rPr>
            </w:pPr>
          </w:p>
        </w:tc>
      </w:tr>
      <w:tr>
        <w:trPr>
          <w:trHeight w:val="110"/>
        </w:trPr>
        <w:tc>
          <w:tcPr>
            <w:tcW w:w="960" w:type="dxa"/>
            <w:vAlign w:val="bottom"/>
            <w:vMerge w:val="restart"/>
          </w:tcPr>
          <w:p>
            <w:pPr>
              <w:ind w:left="20"/>
              <w:spacing w:after="0"/>
              <w:rPr>
                <w:sz w:val="20"/>
                <w:szCs w:val="20"/>
                <w:color w:val="auto"/>
              </w:rPr>
            </w:pPr>
            <w:r>
              <w:rPr>
                <w:rFonts w:ascii="Arial" w:cs="Arial" w:eastAsia="Arial" w:hAnsi="Arial"/>
                <w:sz w:val="17"/>
                <w:szCs w:val="17"/>
                <w:color w:val="0000FF"/>
              </w:rPr>
              <w:t>RAPIDS</w:t>
            </w: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9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80" w:type="dxa"/>
            <w:vAlign w:val="bottom"/>
          </w:tcPr>
          <w:p>
            <w:pPr>
              <w:ind w:left="4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ind w:right="200" w:hanging="4193"/>
        <w:spacing w:after="0" w:line="308"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 xml:space="preserve">6. Individual or Joint/Group Filing (Check Applicable Line) </w:t>
      </w: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p>
      <w:pPr>
        <w:spacing w:after="0" w:line="10" w:lineRule="exact"/>
        <w:rPr>
          <w:sz w:val="24"/>
          <w:szCs w:val="24"/>
          <w:color w:val="auto"/>
        </w:rPr>
      </w:pPr>
    </w:p>
    <w:p>
      <w:pPr>
        <w:ind w:left="560"/>
        <w:spacing w:after="0"/>
        <w:rPr>
          <w:sz w:val="20"/>
          <w:szCs w:val="20"/>
          <w:color w:val="auto"/>
        </w:rPr>
      </w:pPr>
      <w:r>
        <w:rPr>
          <w:rFonts w:ascii="Arial" w:cs="Arial" w:eastAsia="Arial" w:hAnsi="Arial"/>
          <w:sz w:val="13"/>
          <w:szCs w:val="13"/>
          <w:color w:val="auto"/>
        </w:rPr>
        <w:t>Form filed by More than One Reporting Person</w:t>
      </w:r>
    </w:p>
    <w:p>
      <w:pPr>
        <w:spacing w:after="0" w:line="426" w:lineRule="exact"/>
        <w:rPr>
          <w:sz w:val="24"/>
          <w:szCs w:val="24"/>
          <w:color w:val="auto"/>
        </w:rPr>
      </w:pPr>
    </w:p>
    <w:p>
      <w:pPr>
        <w:sectPr>
          <w:pgSz w:w="11900" w:h="16838" w:orient="portrait"/>
          <w:cols w:equalWidth="0" w:num="2">
            <w:col w:w="7320" w:space="720"/>
            <w:col w:w="3480"/>
          </w:cols>
          <w:pgMar w:left="240" w:top="221"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6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70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1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20" w:type="dxa"/>
            <w:vAlign w:val="bottom"/>
            <w:gridSpan w:val="2"/>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58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7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04/21/2008</w:t>
            </w:r>
          </w:p>
        </w:tc>
        <w:tc>
          <w:tcPr>
            <w:tcW w:w="1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J</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200,000</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222,970</w:t>
            </w:r>
            <w:r>
              <w:rPr>
                <w:rFonts w:ascii="Arial" w:cs="Arial" w:eastAsia="Arial" w:hAnsi="Arial"/>
                <w:sz w:val="21"/>
                <w:szCs w:val="21"/>
                <w:color w:val="008000"/>
                <w:w w:val="83"/>
                <w:vertAlign w:val="superscript"/>
              </w:rPr>
              <w:t>(1)</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I</w:t>
            </w:r>
          </w:p>
        </w:tc>
        <w:tc>
          <w:tcPr>
            <w:tcW w:w="74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8"/>
              </w:rPr>
              <w:t>22,450</w:t>
            </w:r>
          </w:p>
        </w:tc>
        <w:tc>
          <w:tcPr>
            <w:tcW w:w="32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7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97,363</w:t>
            </w:r>
          </w:p>
        </w:tc>
        <w:tc>
          <w:tcPr>
            <w:tcW w:w="32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P/S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8"/>
              </w:rPr>
              <w:t>12,869</w:t>
            </w:r>
          </w:p>
        </w:tc>
        <w:tc>
          <w:tcPr>
            <w:tcW w:w="320" w:type="dxa"/>
            <w:vAlign w:val="bottom"/>
          </w:tcPr>
          <w:p>
            <w:pPr>
              <w:spacing w:after="0"/>
              <w:rPr>
                <w:sz w:val="22"/>
                <w:szCs w:val="22"/>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6"/>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34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Amount of</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 (Instr.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10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6"/>
              </w:rPr>
              <w:t>Acquired (A)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 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80" w:type="dxa"/>
            <w:vAlign w:val="bottom"/>
          </w:tcPr>
          <w:p>
            <w:pPr>
              <w:ind w:left="60"/>
              <w:spacing w:after="0"/>
              <w:rPr>
                <w:sz w:val="20"/>
                <w:szCs w:val="20"/>
                <w:color w:val="auto"/>
              </w:rPr>
            </w:pPr>
            <w:r>
              <w:rPr>
                <w:rFonts w:ascii="Arial" w:cs="Arial" w:eastAsia="Arial" w:hAnsi="Arial"/>
                <w:sz w:val="13"/>
                <w:szCs w:val="13"/>
                <w:color w:val="0000FF"/>
              </w:rPr>
              <w:t>Forward</w:t>
            </w: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ind w:left="60"/>
              <w:spacing w:after="0" w:line="142" w:lineRule="exact"/>
              <w:rPr>
                <w:sz w:val="20"/>
                <w:szCs w:val="20"/>
                <w:color w:val="auto"/>
              </w:rPr>
            </w:pPr>
            <w:r>
              <w:rPr>
                <w:rFonts w:ascii="Arial" w:cs="Arial" w:eastAsia="Arial" w:hAnsi="Arial"/>
                <w:sz w:val="13"/>
                <w:szCs w:val="13"/>
                <w:color w:val="0000FF"/>
              </w:rPr>
              <w:t>Contract</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ind w:left="240"/>
              <w:spacing w:after="0"/>
              <w:rPr>
                <w:sz w:val="20"/>
                <w:szCs w:val="20"/>
                <w:color w:val="auto"/>
              </w:rPr>
            </w:pPr>
            <w:r>
              <w:rPr>
                <w:rFonts w:ascii="Arial" w:cs="Arial" w:eastAsia="Arial" w:hAnsi="Arial"/>
                <w:sz w:val="13"/>
                <w:szCs w:val="13"/>
                <w:color w:val="0000FF"/>
              </w:rPr>
              <w:t>04/21/2008</w:t>
            </w:r>
          </w:p>
        </w:tc>
        <w:tc>
          <w:tcPr>
            <w:tcW w:w="1100" w:type="dxa"/>
            <w:vAlign w:val="bottom"/>
          </w:tcPr>
          <w:p>
            <w:pPr>
              <w:spacing w:after="0"/>
              <w:rPr>
                <w:sz w:val="12"/>
                <w:szCs w:val="12"/>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J</w:t>
            </w:r>
          </w:p>
        </w:tc>
        <w:tc>
          <w:tcPr>
            <w:tcW w:w="180" w:type="dxa"/>
            <w:vAlign w:val="bottom"/>
          </w:tcPr>
          <w:p>
            <w:pPr>
              <w:spacing w:after="0"/>
              <w:rPr>
                <w:sz w:val="12"/>
                <w:szCs w:val="12"/>
                <w:color w:val="auto"/>
              </w:rPr>
            </w:pPr>
          </w:p>
        </w:tc>
        <w:tc>
          <w:tcPr>
            <w:tcW w:w="940" w:type="dxa"/>
            <w:vAlign w:val="bottom"/>
            <w:gridSpan w:val="2"/>
            <w:vMerge w:val="restart"/>
          </w:tcPr>
          <w:p>
            <w:pPr>
              <w:ind w:left="380"/>
              <w:spacing w:after="0"/>
              <w:rPr>
                <w:sz w:val="20"/>
                <w:szCs w:val="20"/>
                <w:color w:val="auto"/>
              </w:rPr>
            </w:pPr>
            <w:r>
              <w:rPr>
                <w:rFonts w:ascii="Arial" w:cs="Arial" w:eastAsia="Arial" w:hAnsi="Arial"/>
                <w:sz w:val="13"/>
                <w:szCs w:val="13"/>
                <w:color w:val="0000FF"/>
                <w:w w:val="84"/>
              </w:rPr>
              <w:t>200,000</w:t>
            </w:r>
            <w:r>
              <w:rPr>
                <w:rFonts w:ascii="Arial" w:cs="Arial" w:eastAsia="Arial" w:hAnsi="Arial"/>
                <w:sz w:val="21"/>
                <w:szCs w:val="21"/>
                <w:color w:val="008000"/>
                <w:w w:val="84"/>
                <w:vertAlign w:val="superscript"/>
              </w:rPr>
              <w:t>(2)</w:t>
            </w: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640" w:type="dxa"/>
            <w:vAlign w:val="bottom"/>
          </w:tcPr>
          <w:p>
            <w:pPr>
              <w:ind w:left="80"/>
              <w:spacing w:after="0" w:line="142" w:lineRule="exact"/>
              <w:rPr>
                <w:sz w:val="20"/>
                <w:szCs w:val="20"/>
                <w:color w:val="auto"/>
              </w:rPr>
            </w:pPr>
            <w:r>
              <w:rPr>
                <w:rFonts w:ascii="Arial" w:cs="Arial" w:eastAsia="Arial" w:hAnsi="Arial"/>
                <w:sz w:val="13"/>
                <w:szCs w:val="13"/>
                <w:color w:val="0000FF"/>
              </w:rPr>
              <w:t>Common</w:t>
            </w:r>
          </w:p>
        </w:tc>
        <w:tc>
          <w:tcPr>
            <w:tcW w:w="40" w:type="dxa"/>
            <w:vAlign w:val="bottom"/>
          </w:tcPr>
          <w:p>
            <w:pPr>
              <w:spacing w:after="0"/>
              <w:rPr>
                <w:sz w:val="12"/>
                <w:szCs w:val="12"/>
                <w:color w:val="auto"/>
              </w:rPr>
            </w:pPr>
          </w:p>
        </w:tc>
        <w:tc>
          <w:tcPr>
            <w:tcW w:w="520" w:type="dxa"/>
            <w:vAlign w:val="bottom"/>
            <w:vMerge w:val="restart"/>
          </w:tcPr>
          <w:p>
            <w:pPr>
              <w:ind w:left="160"/>
              <w:spacing w:after="0"/>
              <w:rPr>
                <w:sz w:val="20"/>
                <w:szCs w:val="20"/>
                <w:color w:val="auto"/>
              </w:rPr>
            </w:pPr>
            <w:r>
              <w:rPr>
                <w:rFonts w:ascii="Arial" w:cs="Arial" w:eastAsia="Arial" w:hAnsi="Arial"/>
                <w:sz w:val="11"/>
                <w:szCs w:val="11"/>
                <w:color w:val="008000"/>
              </w:rPr>
              <w:t>(2)</w:t>
            </w:r>
          </w:p>
        </w:tc>
        <w:tc>
          <w:tcPr>
            <w:tcW w:w="20" w:type="dxa"/>
            <w:vAlign w:val="bottom"/>
          </w:tcPr>
          <w:p>
            <w:pPr>
              <w:spacing w:after="0"/>
              <w:rPr>
                <w:sz w:val="12"/>
                <w:szCs w:val="12"/>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580" w:type="dxa"/>
            <w:vAlign w:val="bottom"/>
            <w:vMerge w:val="restart"/>
          </w:tcPr>
          <w:p>
            <w:pPr>
              <w:ind w:left="360"/>
              <w:spacing w:after="0" w:line="266" w:lineRule="exact"/>
              <w:rPr>
                <w:sz w:val="20"/>
                <w:szCs w:val="20"/>
                <w:color w:val="auto"/>
              </w:rPr>
            </w:pPr>
            <w:r>
              <w:rPr>
                <w:rFonts w:ascii="Arial" w:cs="Arial" w:eastAsia="Arial" w:hAnsi="Arial"/>
                <w:sz w:val="25"/>
                <w:szCs w:val="25"/>
                <w:color w:val="0000FF"/>
                <w:w w:val="87"/>
                <w:vertAlign w:val="subscript"/>
              </w:rPr>
              <w:t>0</w:t>
            </w:r>
            <w:r>
              <w:rPr>
                <w:rFonts w:ascii="Arial" w:cs="Arial" w:eastAsia="Arial" w:hAnsi="Arial"/>
                <w:sz w:val="11"/>
                <w:szCs w:val="11"/>
                <w:color w:val="008000"/>
                <w:w w:val="87"/>
              </w:rPr>
              <w:t>(2)</w:t>
            </w:r>
          </w:p>
        </w:tc>
        <w:tc>
          <w:tcPr>
            <w:tcW w:w="32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80" w:type="dxa"/>
            <w:vAlign w:val="bottom"/>
            <w:vMerge w:val="restart"/>
          </w:tcPr>
          <w:p>
            <w:pPr>
              <w:ind w:left="60"/>
              <w:spacing w:after="0"/>
              <w:rPr>
                <w:sz w:val="20"/>
                <w:szCs w:val="20"/>
                <w:color w:val="auto"/>
              </w:rPr>
            </w:pPr>
            <w:r>
              <w:rPr>
                <w:rFonts w:ascii="Arial" w:cs="Arial" w:eastAsia="Arial" w:hAnsi="Arial"/>
                <w:sz w:val="13"/>
                <w:szCs w:val="13"/>
                <w:color w:val="0000FF"/>
              </w:rPr>
              <w:t>(right/obligation</w:t>
            </w:r>
          </w:p>
        </w:tc>
        <w:tc>
          <w:tcPr>
            <w:tcW w:w="7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to sell)</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the settlement of the Forward Contract referenced in Table II and the release of any deemed interest in the 200,000 shares delivered in connection with the settlement of that Forward Contract.</w:t>
      </w:r>
    </w:p>
    <w:p>
      <w:pPr>
        <w:spacing w:after="0" w:line="55" w:lineRule="exact"/>
        <w:rPr>
          <w:rFonts w:ascii="Arial" w:cs="Arial" w:eastAsia="Arial" w:hAnsi="Arial"/>
          <w:sz w:val="12"/>
          <w:szCs w:val="12"/>
          <w:color w:val="008000"/>
        </w:rPr>
      </w:pPr>
    </w:p>
    <w:p>
      <w:pPr>
        <w:ind w:left="40" w:right="3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Effective April 21, 2008, William G. Currie settled his obligations under a prepaid variable forward sale contract ("Forward Contract") entered into on September 11, 2003 with Wachovia Bank. As of that date, Mr. Currie settled his obligations by delivering 200,000 shares of issuer stock, which were previously pledged to Wachovia Bank.</w:t>
      </w:r>
    </w:p>
    <w:p>
      <w:pPr>
        <w:spacing w:after="0" w:line="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7"/>
          <w:szCs w:val="17"/>
          <w:color w:val="0000FF"/>
        </w:rPr>
        <w:t>Attorney in Fact for William G.</w:t>
      </w:r>
      <w:r>
        <w:rPr>
          <w:sz w:val="20"/>
          <w:szCs w:val="20"/>
          <w:color w:val="auto"/>
        </w:rPr>
        <w:tab/>
      </w:r>
      <w:r>
        <w:rPr>
          <w:rFonts w:ascii="Arial" w:cs="Arial" w:eastAsia="Arial" w:hAnsi="Arial"/>
          <w:sz w:val="15"/>
          <w:szCs w:val="15"/>
          <w:color w:val="0000FF"/>
        </w:rPr>
        <w:t>04/22/2008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-15875</wp:posOffset>
            </wp:positionV>
            <wp:extent cx="1941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18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Currie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-15875</wp:posOffset>
            </wp:positionV>
            <wp:extent cx="2717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1780"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404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40226"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2019-12-16T10:08:04Z</dcterms:created>
  <dcterms:modified xsi:type="dcterms:W3CDTF">2019-12-16T10:08:04Z</dcterms:modified>
</cp:coreProperties>
</file>