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UNITED STATES SECURITIES AND EXCHANGE COMMISSION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4"/>
          <w:szCs w:val="24"/>
          <w:color w:val="auto"/>
        </w:rPr>
      </w:pPr>
    </w:p>
    <w:p>
      <w:pPr>
        <w:ind w:left="4020" w:right="2380" w:hanging="3985"/>
        <w:spacing w:after="0" w:line="454" w:lineRule="auto"/>
        <w:tabs>
          <w:tab w:leader="none" w:pos="38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26, 2016</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333" w:lineRule="exact"/>
        <w:rPr>
          <w:sz w:val="24"/>
          <w:szCs w:val="24"/>
          <w:color w:val="auto"/>
        </w:rPr>
      </w:pPr>
    </w:p>
    <w:p>
      <w:pPr>
        <w:ind w:left="4460" w:right="2360" w:hanging="4425"/>
        <w:spacing w:after="0" w:line="445"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jc w:val="center"/>
        <w:ind w:right="20"/>
        <w:spacing w:after="0"/>
        <w:rPr>
          <w:sz w:val="20"/>
          <w:szCs w:val="20"/>
          <w:color w:val="auto"/>
        </w:rPr>
      </w:pPr>
      <w:r>
        <w:rPr>
          <w:rFonts w:ascii="Arial" w:cs="Arial" w:eastAsia="Arial" w:hAnsi="Arial"/>
          <w:sz w:val="43"/>
          <w:szCs w:val="43"/>
          <w:b w:val="1"/>
          <w:bCs w:val="1"/>
          <w:color w:val="auto"/>
        </w:rPr>
        <w:t>UNIVERSAL FOREST PRODUCTS, INC.</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7"/>
              </w:rPr>
              <w:t>Michigan</w:t>
            </w:r>
          </w:p>
        </w:tc>
        <w:tc>
          <w:tcPr>
            <w:tcW w:w="4580" w:type="dxa"/>
            <w:vAlign w:val="bottom"/>
          </w:tcPr>
          <w:p>
            <w:pPr>
              <w:jc w:val="right"/>
              <w:ind w:right="1770"/>
              <w:spacing w:after="0"/>
              <w:rPr>
                <w:sz w:val="20"/>
                <w:szCs w:val="20"/>
                <w:color w:val="auto"/>
              </w:rPr>
            </w:pPr>
            <w:r>
              <w:rPr>
                <w:rFonts w:ascii="Arial" w:cs="Arial" w:eastAsia="Arial" w:hAnsi="Arial"/>
                <w:sz w:val="18"/>
                <w:szCs w:val="18"/>
                <w:color w:val="auto"/>
              </w:rPr>
              <w:t>38-1465835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540"/>
        </w:trPr>
        <w:tc>
          <w:tcPr>
            <w:tcW w:w="5700" w:type="dxa"/>
            <w:vAlign w:val="bottom"/>
            <w:gridSpan w:val="4"/>
          </w:tcPr>
          <w:p>
            <w:pPr>
              <w:jc w:val="center"/>
              <w:ind w:right="1100"/>
              <w:spacing w:after="0"/>
              <w:rPr>
                <w:sz w:val="20"/>
                <w:szCs w:val="20"/>
                <w:color w:val="auto"/>
              </w:rPr>
            </w:pPr>
            <w:r>
              <w:rPr>
                <w:rFonts w:ascii="Arial" w:cs="Arial" w:eastAsia="Arial" w:hAnsi="Arial"/>
                <w:sz w:val="18"/>
                <w:szCs w:val="18"/>
                <w:color w:val="auto"/>
                <w:w w:val="92"/>
              </w:rPr>
              <w:t>2801 East Beltline NE, Grand Rapids, Michigan</w:t>
            </w:r>
          </w:p>
        </w:tc>
        <w:tc>
          <w:tcPr>
            <w:tcW w:w="4580" w:type="dxa"/>
            <w:vAlign w:val="bottom"/>
          </w:tcPr>
          <w:p>
            <w:pPr>
              <w:jc w:val="right"/>
              <w:ind w:right="1970"/>
              <w:spacing w:after="0"/>
              <w:rPr>
                <w:sz w:val="20"/>
                <w:szCs w:val="20"/>
                <w:color w:val="auto"/>
              </w:rPr>
            </w:pPr>
            <w:r>
              <w:rPr>
                <w:rFonts w:ascii="Arial" w:cs="Arial" w:eastAsia="Arial" w:hAnsi="Arial"/>
                <w:sz w:val="18"/>
                <w:szCs w:val="18"/>
                <w:color w:val="auto"/>
              </w:rPr>
              <w:t>49525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365"/>
        </w:trPr>
        <w:tc>
          <w:tcPr>
            <w:tcW w:w="5700" w:type="dxa"/>
            <w:vAlign w:val="bottom"/>
            <w:gridSpan w:val="4"/>
          </w:tcPr>
          <w:p>
            <w:pPr>
              <w:ind w:left="400"/>
              <w:spacing w:after="0"/>
              <w:rPr>
                <w:sz w:val="20"/>
                <w:szCs w:val="20"/>
                <w:color w:val="auto"/>
              </w:rPr>
            </w:pPr>
            <w:r>
              <w:rPr>
                <w:rFonts w:ascii="Arial" w:cs="Arial" w:eastAsia="Arial" w:hAnsi="Arial"/>
                <w:sz w:val="18"/>
                <w:szCs w:val="18"/>
                <w:color w:val="auto"/>
                <w:w w:val="98"/>
              </w:rPr>
              <w:t>Registrant's telephone number, including area code (616) 364-6161</w:t>
            </w:r>
          </w:p>
        </w:tc>
        <w:tc>
          <w:tcPr>
            <w:tcW w:w="458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31750</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1089" w:right="219" w:bottom="1440" w:gutter="0" w:footer="0" w:header="0"/>
        </w:sect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67" w:lineRule="exact"/>
        <w:rPr>
          <w:sz w:val="24"/>
          <w:szCs w:val="24"/>
          <w:color w:val="auto"/>
        </w:rPr>
      </w:pPr>
    </w:p>
    <w:p>
      <w:pPr>
        <w:sectPr>
          <w:pgSz w:w="11900" w:h="16838" w:orient="portrait"/>
          <w:cols w:equalWidth="0" w:num="4">
            <w:col w:w="2180" w:space="720"/>
            <w:col w:w="2120" w:space="720"/>
            <w:col w:w="2140" w:space="720"/>
            <w:col w:w="2840"/>
          </w:cols>
          <w:pgMar w:left="240" w:top="1089" w:right="21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checkmark whether the registrant is a shell company (as defined by Rule 12b-2 of the Exchange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129" w:lineRule="exact"/>
        <w:rPr>
          <w:sz w:val="24"/>
          <w:szCs w:val="24"/>
          <w:color w:val="auto"/>
        </w:rPr>
      </w:pPr>
    </w:p>
    <w:p>
      <w:pPr>
        <w:sectPr>
          <w:pgSz w:w="11900" w:h="16838" w:orient="portrait"/>
          <w:cols w:equalWidth="0" w:num="2">
            <w:col w:w="8660" w:space="140"/>
            <w:col w:w="2640"/>
          </w:cols>
          <w:pgMar w:left="240" w:top="1089"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4"/>
              </w:rPr>
              <w:t>Class</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Outstanding as of March 26, 2016</w:t>
            </w:r>
          </w:p>
        </w:tc>
        <w:tc>
          <w:tcPr>
            <w:tcW w:w="580" w:type="dxa"/>
            <w:vAlign w:val="bottom"/>
          </w:tcPr>
          <w:p>
            <w:pPr>
              <w:spacing w:after="0"/>
              <w:rPr>
                <w:sz w:val="20"/>
                <w:szCs w:val="20"/>
                <w:color w:val="auto"/>
              </w:rPr>
            </w:pPr>
          </w:p>
        </w:tc>
      </w:tr>
      <w:tr>
        <w:trPr>
          <w:trHeight w:val="34"/>
        </w:trPr>
        <w:tc>
          <w:tcPr>
            <w:tcW w:w="5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Common stock, no par value</w:t>
            </w:r>
          </w:p>
        </w:tc>
        <w:tc>
          <w:tcPr>
            <w:tcW w:w="4580" w:type="dxa"/>
            <w:vAlign w:val="bottom"/>
          </w:tcPr>
          <w:p>
            <w:pPr>
              <w:jc w:val="right"/>
              <w:ind w:right="1790"/>
              <w:spacing w:after="0"/>
              <w:rPr>
                <w:sz w:val="20"/>
                <w:szCs w:val="20"/>
                <w:color w:val="auto"/>
              </w:rPr>
            </w:pPr>
            <w:r>
              <w:rPr>
                <w:rFonts w:ascii="Arial" w:cs="Arial" w:eastAsia="Arial" w:hAnsi="Arial"/>
                <w:sz w:val="18"/>
                <w:szCs w:val="18"/>
                <w:color w:val="auto"/>
              </w:rPr>
              <w:t>20,301,084</w:t>
            </w:r>
          </w:p>
        </w:tc>
        <w:tc>
          <w:tcPr>
            <w:tcW w:w="580" w:type="dxa"/>
            <w:vAlign w:val="bottom"/>
          </w:tcPr>
          <w:p>
            <w:pPr>
              <w:spacing w:after="0"/>
              <w:rPr>
                <w:sz w:val="21"/>
                <w:szCs w:val="21"/>
                <w:color w:val="auto"/>
              </w:rPr>
            </w:pPr>
          </w:p>
        </w:tc>
      </w:tr>
      <w:tr>
        <w:trPr>
          <w:trHeight w:val="162"/>
        </w:trPr>
        <w:tc>
          <w:tcPr>
            <w:tcW w:w="5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2"/>
        </w:trPr>
        <w:tc>
          <w:tcPr>
            <w:tcW w:w="580" w:type="dxa"/>
            <w:vAlign w:val="bottom"/>
            <w:tcBorders>
              <w:left w:val="single" w:sz="8" w:color="auto"/>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440"/>
          </w:cols>
          <w:pgMar w:left="240" w:top="1089" w:right="21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40" w:type="dxa"/>
            <w:vAlign w:val="bottom"/>
            <w:gridSpan w:val="7"/>
          </w:tcPr>
          <w:p>
            <w:pPr>
              <w:jc w:val="center"/>
              <w:ind w:right="2280"/>
              <w:spacing w:after="0"/>
              <w:rPr>
                <w:sz w:val="20"/>
                <w:szCs w:val="20"/>
                <w:color w:val="auto"/>
              </w:rPr>
            </w:pPr>
            <w:r>
              <w:rPr>
                <w:rFonts w:ascii="Arial" w:cs="Arial" w:eastAsia="Arial" w:hAnsi="Arial"/>
                <w:sz w:val="18"/>
                <w:szCs w:val="18"/>
                <w:b w:val="1"/>
                <w:bCs w:val="1"/>
                <w:color w:val="auto"/>
                <w:w w:val="99"/>
              </w:rPr>
              <w:t>UNIVERSAL FOREST PRODUCTS, INC.</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40" w:type="dxa"/>
            <w:vAlign w:val="bottom"/>
            <w:gridSpan w:val="7"/>
          </w:tcPr>
          <w:p>
            <w:pPr>
              <w:jc w:val="center"/>
              <w:ind w:right="228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34"/>
        </w:trPr>
        <w:tc>
          <w:tcPr>
            <w:tcW w:w="1640" w:type="dxa"/>
            <w:vAlign w:val="bottom"/>
            <w:vMerge w:val="restart"/>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gridSpan w:val="12"/>
            <w:vMerge w:val="restart"/>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640" w:type="dxa"/>
            <w:vAlign w:val="bottom"/>
            <w:vMerge w:val="continue"/>
          </w:tcPr>
          <w:p>
            <w:pPr>
              <w:spacing w:after="0"/>
              <w:rPr>
                <w:sz w:val="24"/>
                <w:szCs w:val="24"/>
                <w:color w:val="auto"/>
              </w:rPr>
            </w:pPr>
          </w:p>
        </w:tc>
        <w:tc>
          <w:tcPr>
            <w:tcW w:w="8540" w:type="dxa"/>
            <w:vAlign w:val="bottom"/>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at March 26, 2016, December 26, 2015 and March 28, 2015.</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tcBorders>
              <w:bottom w:val="single" w:sz="8" w:color="CCEEFF"/>
            </w:tcBorders>
            <w:shd w:val="clear" w:color="auto" w:fill="CCEEFF"/>
          </w:tcPr>
          <w:p>
            <w:pPr>
              <w:spacing w:after="0"/>
              <w:rPr>
                <w:sz w:val="17"/>
                <w:szCs w:val="17"/>
                <w:color w:val="auto"/>
              </w:rPr>
            </w:pPr>
          </w:p>
        </w:tc>
        <w:tc>
          <w:tcPr>
            <w:tcW w:w="8500" w:type="dxa"/>
            <w:vAlign w:val="bottom"/>
            <w:tcBorders>
              <w:bottom w:val="single" w:sz="8" w:color="0000EE"/>
            </w:tcBorders>
            <w:gridSpan w:val="11"/>
            <w:shd w:val="clear" w:color="auto" w:fill="CCEEFF"/>
          </w:tcPr>
          <w:p>
            <w:pPr>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Condensed Statements of Earnings and Comprehensive Income for the Three Months Ended March 26,</w:t>
              </w:r>
            </w:hyperlink>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 and March 28, 2015.</w:t>
              </w:r>
            </w:hyperlink>
          </w:p>
        </w:tc>
        <w:tc>
          <w:tcPr>
            <w:tcW w:w="700" w:type="dxa"/>
            <w:vAlign w:val="bottom"/>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Shareholders’ Equity for the Three Months Ended March 26, 2016 and March</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28, 2015.</w:t>
              </w:r>
            </w:hyperlink>
          </w:p>
        </w:tc>
        <w:tc>
          <w:tcPr>
            <w:tcW w:w="80" w:type="dxa"/>
            <w:vAlign w:val="bottom"/>
            <w:tcBorders>
              <w:top w:val="single" w:sz="8" w:color="0000EE"/>
            </w:tcBorders>
            <w:shd w:val="clear" w:color="auto" w:fill="CCEEFF"/>
          </w:tcPr>
          <w:p>
            <w:pPr>
              <w:spacing w:after="0"/>
              <w:rPr>
                <w:sz w:val="21"/>
                <w:szCs w:val="21"/>
                <w:color w:val="auto"/>
              </w:rPr>
            </w:pPr>
          </w:p>
        </w:tc>
        <w:tc>
          <w:tcPr>
            <w:tcW w:w="24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40" w:type="dxa"/>
            <w:vAlign w:val="bottom"/>
            <w:tcBorders>
              <w:top w:val="single" w:sz="8" w:color="0000EE"/>
            </w:tcBorders>
            <w:shd w:val="clear" w:color="auto" w:fill="CCEEFF"/>
          </w:tcPr>
          <w:p>
            <w:pPr>
              <w:spacing w:after="0"/>
              <w:rPr>
                <w:sz w:val="21"/>
                <w:szCs w:val="21"/>
                <w:color w:val="auto"/>
              </w:rPr>
            </w:pPr>
          </w:p>
        </w:tc>
        <w:tc>
          <w:tcPr>
            <w:tcW w:w="164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11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Condensed Statements of Cash Flows for the Three Months Ended March 26, 2016 and March 28,</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2015.</w:t>
              </w:r>
            </w:hyperlink>
          </w:p>
        </w:tc>
        <w:tc>
          <w:tcPr>
            <w:tcW w:w="40" w:type="dxa"/>
            <w:vAlign w:val="bottom"/>
            <w:tcBorders>
              <w:top w:val="single" w:sz="8" w:color="0000EE"/>
            </w:tcBorders>
            <w:shd w:val="clear" w:color="auto" w:fill="CCEEFF"/>
          </w:tcPr>
          <w:p>
            <w:pPr>
              <w:spacing w:after="0"/>
              <w:rPr>
                <w:sz w:val="21"/>
                <w:szCs w:val="21"/>
                <w:color w:val="auto"/>
              </w:rPr>
            </w:pPr>
          </w:p>
        </w:tc>
        <w:tc>
          <w:tcPr>
            <w:tcW w:w="114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4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40" w:type="dxa"/>
            <w:vAlign w:val="bottom"/>
            <w:tcBorders>
              <w:top w:val="single" w:sz="8" w:color="0000EE"/>
            </w:tcBorders>
            <w:shd w:val="clear" w:color="auto" w:fill="CCEEFF"/>
          </w:tcPr>
          <w:p>
            <w:pPr>
              <w:spacing w:after="0"/>
              <w:rPr>
                <w:sz w:val="21"/>
                <w:szCs w:val="21"/>
                <w:color w:val="auto"/>
              </w:rPr>
            </w:pPr>
          </w:p>
        </w:tc>
        <w:tc>
          <w:tcPr>
            <w:tcW w:w="164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11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Condensed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3.</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6720" w:type="dxa"/>
            <w:vAlign w:val="bottom"/>
            <w:tcBorders>
              <w:bottom w:val="single" w:sz="8" w:color="CCEEFF"/>
            </w:tcBorders>
            <w:gridSpan w:val="8"/>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1A.</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Risk Factors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3.</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4.</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5.</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Other Information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6.</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9"/>
              </w:rPr>
              <w:t>UNIVERSAL FOREST PRODUCTS, INC.</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340" w:type="dxa"/>
            <w:vAlign w:val="bottom"/>
            <w:gridSpan w:val="4"/>
          </w:tcPr>
          <w:p>
            <w:pPr>
              <w:jc w:val="center"/>
              <w:ind w:left="295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20" w:type="dxa"/>
            <w:vAlign w:val="bottom"/>
          </w:tcPr>
          <w:p>
            <w:pPr>
              <w:jc w:val="center"/>
              <w:ind w:left="45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20" w:type="dxa"/>
            <w:vAlign w:val="bottom"/>
          </w:tcPr>
          <w:p>
            <w:pPr>
              <w:ind w:left="20"/>
              <w:spacing w:after="0"/>
              <w:rPr>
                <w:sz w:val="20"/>
                <w:szCs w:val="20"/>
                <w:color w:val="auto"/>
              </w:rPr>
            </w:pPr>
            <w:r>
              <w:rPr>
                <w:rFonts w:ascii="Arial" w:cs="Arial" w:eastAsia="Arial" w:hAnsi="Arial"/>
                <w:sz w:val="18"/>
                <w:szCs w:val="18"/>
                <w:color w:val="auto"/>
              </w:rPr>
              <w:t>(in thousands, except share data)</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March 26, 2016</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26, 2015</w:t>
            </w:r>
          </w:p>
        </w:tc>
        <w:tc>
          <w:tcPr>
            <w:tcW w:w="14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1"/>
              </w:rPr>
              <w:t>March 28, 2015</w:t>
            </w:r>
          </w:p>
        </w:tc>
        <w:tc>
          <w:tcPr>
            <w:tcW w:w="0" w:type="dxa"/>
            <w:vAlign w:val="bottom"/>
          </w:tcPr>
          <w:p>
            <w:pPr>
              <w:spacing w:after="0"/>
              <w:rPr>
                <w:sz w:val="1"/>
                <w:szCs w:val="1"/>
                <w:color w:val="auto"/>
              </w:rPr>
            </w:pPr>
          </w:p>
        </w:tc>
      </w:tr>
      <w:tr>
        <w:trPr>
          <w:trHeight w:val="34"/>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43,065</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87,756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260,926</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221,360</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150,194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136,370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183,351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404,711</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Refundable income taxes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16,889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709,219</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181,280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184,064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639,881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628,045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620,146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(385,247)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(376,895)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(364,684)</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254,634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251,150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255,462</w:t>
            </w: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1,145,777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1,107,679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1,167,468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Cash overdraft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114,225</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215,157</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84,525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187,020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30,751</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26,012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28,507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350,849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452,486</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Controlling interest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380"/>
              <w:spacing w:after="0"/>
              <w:rPr>
                <w:sz w:val="20"/>
                <w:szCs w:val="20"/>
                <w:color w:val="auto"/>
              </w:rPr>
            </w:pPr>
            <w:r>
              <w:rPr>
                <w:rFonts w:ascii="Arial" w:cs="Arial" w:eastAsia="Arial" w:hAnsi="Arial"/>
                <w:sz w:val="18"/>
                <w:szCs w:val="18"/>
                <w:color w:val="auto"/>
                <w:w w:val="94"/>
              </w:rPr>
              <w:t>Preferred stock, no par value; shares authorized 1,000,000; issued and outstanding,</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none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no par value; shares authorized 40,000,000; issued and outstanding,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20,301,084, 20,141,709, and 20,119,879.</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180,395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167,786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512,421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stock notes receivable</w:t>
            </w:r>
          </w:p>
        </w:tc>
        <w:tc>
          <w:tcPr>
            <w:tcW w:w="1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67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controlling interest shareholders' equity</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781,598</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752,755</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13,330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794,928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766,409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714,982</w:t>
            </w: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1,145,777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1,107,679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1,167,468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00"/>
          </w:cols>
          <w:pgMar w:left="240" w:top="121" w:right="259" w:bottom="13" w:gutter="0" w:footer="0" w:header="0"/>
        </w:sectPr>
      </w:pPr>
    </w:p>
    <w:p>
      <w:pPr>
        <w:spacing w:after="0"/>
        <w:rPr>
          <w:sz w:val="20"/>
          <w:szCs w:val="20"/>
          <w:color w:val="auto"/>
        </w:rPr>
      </w:pPr>
      <w:r>
        <w:rPr>
          <w:rFonts w:ascii="Arial" w:cs="Arial" w:eastAsia="Arial" w:hAnsi="Arial"/>
          <w:sz w:val="15"/>
          <w:szCs w:val="15"/>
          <w:color w:val="auto"/>
        </w:rPr>
        <w:t>See notes to consolidated condensed financial statements.</w:t>
      </w:r>
    </w:p>
    <w:p>
      <w:pPr>
        <w:sectPr>
          <w:pgSz w:w="11900" w:h="16838" w:orient="portrait"/>
          <w:cols w:equalWidth="0" w:num="1">
            <w:col w:w="11400"/>
          </w:cols>
          <w:pgMar w:left="240" w:top="121" w:right="259" w:bottom="13"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40" w:type="dxa"/>
            <w:vAlign w:val="bottom"/>
            <w:gridSpan w:val="4"/>
          </w:tcPr>
          <w:p>
            <w:pPr>
              <w:jc w:val="right"/>
              <w:ind w:right="1130"/>
              <w:spacing w:after="0"/>
              <w:rPr>
                <w:sz w:val="20"/>
                <w:szCs w:val="20"/>
                <w:color w:val="auto"/>
              </w:rPr>
            </w:pPr>
            <w:r>
              <w:rPr>
                <w:rFonts w:ascii="Arial" w:cs="Arial" w:eastAsia="Arial" w:hAnsi="Arial"/>
                <w:sz w:val="18"/>
                <w:szCs w:val="18"/>
                <w:color w:val="auto"/>
              </w:rPr>
              <w:t>Three Months Ended</w:t>
            </w:r>
          </w:p>
        </w:tc>
      </w:tr>
      <w:tr>
        <w:trPr>
          <w:trHeight w:val="34"/>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9"/>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March 26,</w:t>
            </w:r>
          </w:p>
        </w:tc>
        <w:tc>
          <w:tcPr>
            <w:tcW w:w="360" w:type="dxa"/>
            <w:vAlign w:val="bottom"/>
          </w:tcPr>
          <w:p>
            <w:pPr>
              <w:spacing w:after="0"/>
              <w:rPr>
                <w:sz w:val="19"/>
                <w:szCs w:val="19"/>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March 28,</w:t>
            </w:r>
          </w:p>
        </w:tc>
      </w:tr>
      <w:tr>
        <w:trPr>
          <w:trHeight w:val="230"/>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633,025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579,412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553,443</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79,582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70,838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61,705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ON DISPOSITION AND IMPAIRMENT OF ASSETS</w:t>
            </w: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31,911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17,863</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INVESTEE</w:t>
            </w: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34"/>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16,908</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6,104</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EARNINGS ATTRIBUTABLE TO NONCONTROLLING INTEREST</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10,162</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10,804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GAIN (LOSS)</w:t>
            </w: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9,801</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9,303</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share and per share data)</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Controlling Interest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919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92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Employees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Comprehen-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5"/>
              </w:rPr>
              <w:t>Common</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Paid-In</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sive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Notes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Noncontrolling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Stock</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Receivable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Interest</w:t>
            </w:r>
          </w:p>
        </w:tc>
        <w:tc>
          <w:tcPr>
            <w:tcW w:w="260" w:type="dxa"/>
            <w:vAlign w:val="bottom"/>
          </w:tcPr>
          <w:p>
            <w:pPr>
              <w:spacing w:after="0"/>
              <w:rPr>
                <w:sz w:val="17"/>
                <w:szCs w:val="17"/>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40"/>
        </w:trPr>
        <w:tc>
          <w:tcPr>
            <w:tcW w:w="26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27,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502,334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699,560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5"/>
              </w:rPr>
              <w:t>Noncontrolling interest associated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with business acquisitions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Issuance of 12,015 shares under</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employee stock plans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Issuance of 75,063 shares under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 programs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Issuance of 49,863 shares under</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deferred compensation plans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1,513 shares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Tax benefits from non-qualified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 associated with share-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based compensation arrangements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Accrued expense under deferred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Payments received on employee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notes receivable</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28,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167,786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512,421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491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14,442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714,982</w:t>
            </w: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26, 2015</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171,562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565,636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13,654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766,409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&amp; foreign currency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1,850 shares under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4"/>
              </w:rPr>
              <w:t>Issuance of 114,739 shares under</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stock grant programs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Issuance of 42,786 shares under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Expense associated with share-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1"/>
              </w:rPr>
              <w:t>based compensation arrangements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Accrued expense under deferred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Balance at March 26,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20,301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180,395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584,848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13,330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794,928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right"/>
              <w:ind w:right="7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March 26,</w:t>
            </w:r>
          </w:p>
        </w:tc>
        <w:tc>
          <w:tcPr>
            <w:tcW w:w="26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2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 associated with share-based compensation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Expense associated with stock grant plans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credit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Equity in earnings of investee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on disposition and impairment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Changes in:</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cash overdraft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received</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Advances of notes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Collections on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Cash restricted as to use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Borrowings under revolving credit facilities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under revolving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CASH (USED IN) FROM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43,065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refunded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NON-CASH INVESTING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exchanged for property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NON-CASH FINANCING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 under deferred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8"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2015.</w:t>
      </w:r>
    </w:p>
    <w:p>
      <w:pPr>
        <w:spacing w:after="0" w:line="18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28, 2015 balances in the accompanying unaudited consolidated condensed balance sheets.</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333"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26, 2016</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28,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Quoted</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Prices with</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Prices with</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Active</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Active</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Observable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1"/>
        </w:trPr>
        <w:tc>
          <w:tcPr>
            <w:tcW w:w="2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3"/>
                <w:szCs w:val="2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(Level 2)</w:t>
            </w:r>
          </w:p>
        </w:tc>
        <w:tc>
          <w:tcPr>
            <w:tcW w:w="24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44"/>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Fixed income funds</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Domestic stock funds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2980" w:type="dxa"/>
            <w:vAlign w:val="bottom"/>
          </w:tcPr>
          <w:p>
            <w:pPr>
              <w:ind w:left="14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Target funds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2980" w:type="dxa"/>
            <w:vAlign w:val="bottom"/>
          </w:tcPr>
          <w:p>
            <w:pPr>
              <w:ind w:left="140"/>
              <w:spacing w:after="0"/>
              <w:rPr>
                <w:sz w:val="20"/>
                <w:szCs w:val="20"/>
                <w:color w:val="auto"/>
              </w:rPr>
            </w:pPr>
            <w:r>
              <w:rPr>
                <w:rFonts w:ascii="Arial" w:cs="Arial" w:eastAsia="Arial" w:hAnsi="Arial"/>
                <w:sz w:val="18"/>
                <w:szCs w:val="18"/>
                <w:color w:val="auto"/>
              </w:rPr>
              <w:t>Bond funds</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34"/>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2980" w:type="dxa"/>
            <w:vAlign w:val="bottom"/>
          </w:tcPr>
          <w:p>
            <w:pPr>
              <w:ind w:left="140"/>
              <w:spacing w:after="0"/>
              <w:rPr>
                <w:sz w:val="20"/>
                <w:szCs w:val="20"/>
                <w:color w:val="auto"/>
              </w:rPr>
            </w:pPr>
            <w:r>
              <w:rPr>
                <w:rFonts w:ascii="Arial" w:cs="Arial" w:eastAsia="Arial" w:hAnsi="Arial"/>
                <w:sz w:val="18"/>
                <w:szCs w:val="18"/>
                <w:color w:val="auto"/>
              </w:rPr>
              <w:t>Assets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5,125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786</w:t>
            </w: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and "Other Assets".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maintain any Level 3 assets or liabilities at March 26, 2016 or March 28,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500" w:right="180"/>
        <w:spacing w:after="0" w:line="308" w:lineRule="auto"/>
        <w:rPr>
          <w:sz w:val="20"/>
          <w:szCs w:val="20"/>
          <w:color w:val="auto"/>
        </w:rPr>
      </w:pPr>
      <w:r>
        <w:rPr>
          <w:rFonts w:ascii="Arial" w:cs="Arial" w:eastAsia="Arial" w:hAnsi="Arial"/>
          <w:sz w:val="17"/>
          <w:szCs w:val="17"/>
          <w:color w:val="auto"/>
        </w:rPr>
        <w:t>In accordance with our investment policy, our wholly-owned captive, Ardellis Insurance Ltd. ("Ardellis"), maintains an investment portfolio, totaling $6.7 million as of March 26, 2016, consisting of mutual funds, domestic and international stocks, and fixed income bonds.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Ardellis' available for sale investment portfolio consists of the following:</w:t>
      </w:r>
    </w:p>
    <w:p>
      <w:pPr>
        <w:spacing w:after="0" w:line="383"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Gain/Loss</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34"/>
        </w:trPr>
        <w:tc>
          <w:tcPr>
            <w:tcW w:w="1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Equity</w:t>
            </w: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3,233</w:t>
            </w:r>
          </w:p>
        </w:tc>
      </w:tr>
      <w:tr>
        <w:trPr>
          <w:trHeight w:val="27"/>
        </w:trPr>
        <w:tc>
          <w:tcPr>
            <w:tcW w:w="1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1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172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r>
      <w:tr>
        <w:trPr>
          <w:trHeight w:val="20"/>
        </w:trPr>
        <w:tc>
          <w:tcPr>
            <w:tcW w:w="1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line="297" w:lineRule="auto"/>
        <w:rPr>
          <w:sz w:val="20"/>
          <w:szCs w:val="20"/>
          <w:color w:val="auto"/>
        </w:rPr>
      </w:pPr>
      <w:r>
        <w:rPr>
          <w:rFonts w:ascii="Arial" w:cs="Arial" w:eastAsia="Arial" w:hAnsi="Arial"/>
          <w:sz w:val="16"/>
          <w:szCs w:val="16"/>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effect unrealized loss was $(97,000). Carrying amounts above are recorded in the investments line item within the balance sheet as of March 26, 2016. During 2016, Ardellis reported a net realized loss of $(41,000), which was recorded in interest income on the statement of earnings.</w:t>
      </w:r>
    </w:p>
    <w:p>
      <w:pPr>
        <w:spacing w:after="0" w:line="37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23"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Earnings on construction contracts are reflected in operations using percentage-of-completion accounting, under either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was $32.5 million and $25.8 million during the first quarter of 2016 and 2015, respectively.</w:t>
      </w:r>
    </w:p>
    <w:p>
      <w:pPr>
        <w:spacing w:after="0" w:line="192"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65"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March 26, 2016</w:t>
            </w: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26, 2015</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2"/>
              </w:rPr>
              <w:t>March 28, 2015</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and Earnings in Excess of Billings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3,710</w:t>
            </w: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120" w:type="dxa"/>
            <w:vAlign w:val="bottom"/>
          </w:tcPr>
          <w:p>
            <w:pPr>
              <w:ind w:left="4060"/>
              <w:spacing w:after="0"/>
              <w:rPr>
                <w:sz w:val="20"/>
                <w:szCs w:val="20"/>
                <w:color w:val="auto"/>
              </w:rPr>
            </w:pPr>
            <w:r>
              <w:rPr>
                <w:rFonts w:ascii="Arial" w:cs="Arial" w:eastAsia="Arial" w:hAnsi="Arial"/>
                <w:sz w:val="18"/>
                <w:szCs w:val="18"/>
                <w:b w:val="1"/>
                <w:bCs w:val="1"/>
                <w:color w:val="auto"/>
              </w:rPr>
              <w:t>UNIVERSAL FOREST PRODUCTS, INC.</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34"/>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March 26, 2016</w:t>
            </w:r>
          </w:p>
        </w:tc>
        <w:tc>
          <w:tcPr>
            <w:tcW w:w="1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4"/>
              </w:rPr>
              <w:t>March 28, 2015</w:t>
            </w:r>
          </w:p>
        </w:tc>
        <w:tc>
          <w:tcPr>
            <w:tcW w:w="0" w:type="dxa"/>
            <w:vAlign w:val="bottom"/>
          </w:tcPr>
          <w:p>
            <w:pPr>
              <w:spacing w:after="0"/>
              <w:rPr>
                <w:sz w:val="1"/>
                <w:szCs w:val="1"/>
                <w:color w:val="auto"/>
              </w:rPr>
            </w:pPr>
          </w:p>
        </w:tc>
      </w:tr>
      <w:tr>
        <w:trPr>
          <w:trHeight w:val="34"/>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Adjustment for earnings allocated to non-vested restricted common stock</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for calculating EPS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Adjustment for non-vested restricted common stock</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basic EPS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diluted EPS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options were excluded from the computation of diluted EPS for the quarters ended March 26, 2016 or March 28, 2015.</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tab/>
        <w:t>COMMITMENTS, CONTINGENCIES, AND GUARANTEES</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On a consolidated basis, we have reserved approximately $3.5 million on March 26, 2016 and March 28, 2015, representing the estimated costs to complete future remediation efforts. These amounts have not been reduced by an insurance receivable.</w:t>
      </w:r>
    </w:p>
    <w:p>
      <w:pPr>
        <w:spacing w:after="0" w:line="17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$0.6 million. As a result, this amount is recorded in other long-term liabilities on March 26, 2016.</w:t>
      </w:r>
    </w:p>
    <w:p>
      <w:pPr>
        <w:spacing w:after="0" w:line="189"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April 2014, two Company employees were terminated for violating the Company’s Code of Conduct and Business Ethics. In May 2015, those ex-employees were indicted by the grand jury. In April of 2016, one of the two former employees pled guilty to four of the charges included in the indictment. The Company has not been named as a target and continues to cooperate with the US Attorney's Office in this matter;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492"/>
        <w:spacing w:after="0"/>
        <w:rPr>
          <w:sz w:val="20"/>
          <w:szCs w:val="20"/>
          <w:color w:val="auto"/>
        </w:rPr>
      </w:pPr>
      <w:r>
        <w:rPr>
          <w:rFonts w:ascii="Arial" w:cs="Arial" w:eastAsia="Arial" w:hAnsi="Arial"/>
          <w:sz w:val="16"/>
          <w:szCs w:val="16"/>
          <w:color w:val="auto"/>
        </w:rPr>
        <w:t>however, because of the duration and unique nature of this proceeding, any potential, adverse financial implications to the Company are uncertain.</w:t>
      </w:r>
    </w:p>
    <w:p>
      <w:pPr>
        <w:spacing w:after="0" w:line="248" w:lineRule="exact"/>
        <w:rPr>
          <w:sz w:val="20"/>
          <w:szCs w:val="20"/>
          <w:color w:val="auto"/>
        </w:rPr>
      </w:pPr>
    </w:p>
    <w:p>
      <w:pPr>
        <w:jc w:val="both"/>
        <w:ind w:left="492"/>
        <w:spacing w:after="0" w:line="277" w:lineRule="auto"/>
        <w:rPr>
          <w:sz w:val="20"/>
          <w:szCs w:val="20"/>
          <w:color w:val="auto"/>
        </w:rPr>
      </w:pPr>
      <w:r>
        <w:rPr>
          <w:rFonts w:ascii="Arial" w:cs="Arial" w:eastAsia="Arial" w:hAnsi="Arial"/>
          <w:sz w:val="18"/>
          <w:szCs w:val="18"/>
          <w:color w:val="auto"/>
        </w:rPr>
        <w:t>As of March 26, 2016 and March 28, 2015, we have an accrual balance of $1.6 million, related to anti-dumping duty assessments imposed on steel nails imported from China.</w:t>
      </w:r>
    </w:p>
    <w:p>
      <w:pPr>
        <w:spacing w:after="0" w:line="170" w:lineRule="exact"/>
        <w:rPr>
          <w:sz w:val="20"/>
          <w:szCs w:val="20"/>
          <w:color w:val="auto"/>
        </w:rPr>
      </w:pPr>
    </w:p>
    <w:p>
      <w:pPr>
        <w:jc w:val="both"/>
        <w:ind w:left="492"/>
        <w:spacing w:after="0" w:line="264" w:lineRule="auto"/>
        <w:rPr>
          <w:sz w:val="20"/>
          <w:szCs w:val="20"/>
          <w:color w:val="auto"/>
        </w:rPr>
      </w:pPr>
      <w:r>
        <w:rPr>
          <w:rFonts w:ascii="Arial" w:cs="Arial" w:eastAsia="Arial" w:hAnsi="Arial"/>
          <w:sz w:val="18"/>
          <w:szCs w:val="18"/>
          <w:color w:val="auto"/>
        </w:rPr>
        <w:t>In addition, on March 26, 2016,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1" w:lineRule="exact"/>
        <w:rPr>
          <w:sz w:val="20"/>
          <w:szCs w:val="20"/>
          <w:color w:val="auto"/>
        </w:rPr>
      </w:pPr>
    </w:p>
    <w:p>
      <w:pPr>
        <w:ind w:left="492"/>
        <w:spacing w:after="0"/>
        <w:rPr>
          <w:sz w:val="20"/>
          <w:szCs w:val="20"/>
          <w:color w:val="auto"/>
        </w:rPr>
      </w:pPr>
      <w:r>
        <w:rPr>
          <w:rFonts w:ascii="Arial" w:cs="Arial" w:eastAsia="Arial" w:hAnsi="Arial"/>
          <w:sz w:val="18"/>
          <w:szCs w:val="18"/>
          <w:color w:val="auto"/>
        </w:rPr>
        <w:t>On March 26, 2016, we had outstanding purchase commitments on commenced capital projects of approximately $21.1 million.</w:t>
      </w:r>
    </w:p>
    <w:p>
      <w:pPr>
        <w:spacing w:after="0" w:line="225" w:lineRule="exact"/>
        <w:rPr>
          <w:sz w:val="20"/>
          <w:szCs w:val="20"/>
          <w:color w:val="auto"/>
        </w:rPr>
      </w:pPr>
    </w:p>
    <w:p>
      <w:pPr>
        <w:jc w:val="both"/>
        <w:ind w:left="492"/>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87" w:lineRule="exact"/>
        <w:rPr>
          <w:sz w:val="20"/>
          <w:szCs w:val="20"/>
          <w:color w:val="auto"/>
        </w:rPr>
      </w:pPr>
    </w:p>
    <w:p>
      <w:pPr>
        <w:jc w:val="both"/>
        <w:ind w:left="492"/>
        <w:spacing w:after="0" w:line="297"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the products and installation services are completed in accordance with our contractual obligations. We have agreed to indemnify the surety for claims made against the bonds. As of March 26, 2016 we had approximately $1.7 million in outstanding payment and performance bonds, which expire during the next year. In addition, approximately $7.6 million in payment and performance bonds are outstanding for completed projects which are still under warranty.</w:t>
      </w:r>
    </w:p>
    <w:p>
      <w:pPr>
        <w:spacing w:after="0" w:line="158" w:lineRule="exact"/>
        <w:rPr>
          <w:sz w:val="20"/>
          <w:szCs w:val="20"/>
          <w:color w:val="auto"/>
        </w:rPr>
      </w:pPr>
    </w:p>
    <w:p>
      <w:pPr>
        <w:jc w:val="both"/>
        <w:ind w:left="492" w:right="20"/>
        <w:spacing w:after="0" w:line="277" w:lineRule="auto"/>
        <w:rPr>
          <w:sz w:val="20"/>
          <w:szCs w:val="20"/>
          <w:color w:val="auto"/>
        </w:rPr>
      </w:pPr>
      <w:r>
        <w:rPr>
          <w:rFonts w:ascii="Arial" w:cs="Arial" w:eastAsia="Arial" w:hAnsi="Arial"/>
          <w:sz w:val="18"/>
          <w:szCs w:val="18"/>
          <w:color w:val="auto"/>
        </w:rPr>
        <w:t>On March 26, 2016, we had outstanding letters of credit totaling $25.5 million, primarily related to certain insurance contracts and industrial development revenue bonds described further below.</w:t>
      </w:r>
    </w:p>
    <w:p>
      <w:pPr>
        <w:spacing w:after="0" w:line="170" w:lineRule="exact"/>
        <w:rPr>
          <w:sz w:val="20"/>
          <w:szCs w:val="20"/>
          <w:color w:val="auto"/>
        </w:rPr>
      </w:pPr>
    </w:p>
    <w:p>
      <w:pPr>
        <w:jc w:val="both"/>
        <w:ind w:left="492"/>
        <w:spacing w:after="0" w:line="31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$15.7 million for these types of insurance arrangements. We have reserves recorded on our balance sheet, in accrued liabilities, that reflect our expected future liabilities under these insurance arrangements.</w:t>
      </w:r>
    </w:p>
    <w:p>
      <w:pPr>
        <w:spacing w:after="0" w:line="147" w:lineRule="exact"/>
        <w:rPr>
          <w:sz w:val="20"/>
          <w:szCs w:val="20"/>
          <w:color w:val="auto"/>
        </w:rPr>
      </w:pPr>
    </w:p>
    <w:p>
      <w:pPr>
        <w:jc w:val="both"/>
        <w:ind w:left="492"/>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7" w:lineRule="exact"/>
        <w:rPr>
          <w:sz w:val="20"/>
          <w:szCs w:val="20"/>
          <w:color w:val="auto"/>
        </w:rPr>
      </w:pPr>
    </w:p>
    <w:p>
      <w:pPr>
        <w:jc w:val="both"/>
        <w:ind w:left="492" w:right="20"/>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66" w:lineRule="exact"/>
        <w:rPr>
          <w:sz w:val="20"/>
          <w:szCs w:val="20"/>
          <w:color w:val="auto"/>
        </w:rPr>
      </w:pPr>
    </w:p>
    <w:p>
      <w:pPr>
        <w:jc w:val="both"/>
        <w:ind w:left="492" w:right="20"/>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2016 which would require us to recognize a liability on our balance sheet.</w:t>
      </w:r>
    </w:p>
    <w:p>
      <w:pPr>
        <w:spacing w:after="0" w:line="166" w:lineRule="exact"/>
        <w:rPr>
          <w:sz w:val="20"/>
          <w:szCs w:val="20"/>
          <w:color w:val="auto"/>
        </w:rPr>
      </w:pPr>
    </w:p>
    <w:p>
      <w:pPr>
        <w:ind w:left="492" w:hanging="492"/>
        <w:spacing w:after="0"/>
        <w:tabs>
          <w:tab w:leader="none" w:pos="4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We completed the following acquisitions in fiscal 2015 (in thousands) and there have been no acquisitions in 2016:</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12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Net Tangible</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2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Acquisition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 Price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Intangible Assets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7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Business Description</w:t>
            </w: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00" w:type="dxa"/>
            <w:vAlign w:val="bottom"/>
            <w:tcBorders>
              <w:left w:val="single" w:sz="8" w:color="auto"/>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A supplier of lumber products to the</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Rapid Wood</w:t>
            </w:r>
          </w:p>
        </w:tc>
        <w:tc>
          <w:tcPr>
            <w:tcW w:w="1500" w:type="dxa"/>
            <w:vAlign w:val="bottom"/>
            <w:tcBorders>
              <w:right w:val="single" w:sz="8" w:color="auto"/>
            </w:tcBorders>
            <w:shd w:val="clear" w:color="auto" w:fill="CCEEFF"/>
          </w:tcPr>
          <w:p>
            <w:pPr>
              <w:spacing w:after="0"/>
              <w:rPr>
                <w:sz w:val="18"/>
                <w:szCs w:val="18"/>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$1,638</w:t>
            </w:r>
          </w:p>
        </w:tc>
        <w:tc>
          <w:tcPr>
            <w:tcW w:w="1480" w:type="dxa"/>
            <w:vAlign w:val="bottom"/>
            <w:tcBorders>
              <w:right w:val="single" w:sz="8" w:color="auto"/>
            </w:tcBorders>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region’s manufactured housing and</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Mfg., LLC</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February 2, 2015</w:t>
            </w:r>
          </w:p>
        </w:tc>
        <w:tc>
          <w:tcPr>
            <w:tcW w:w="160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restart"/>
            <w:shd w:val="clear" w:color="auto" w:fill="CCEEFF"/>
          </w:tcPr>
          <w:p>
            <w:pPr>
              <w:jc w:val="right"/>
              <w:ind w:right="490"/>
              <w:spacing w:after="0"/>
              <w:rPr>
                <w:sz w:val="20"/>
                <w:szCs w:val="20"/>
                <w:color w:val="auto"/>
              </w:rPr>
            </w:pPr>
            <w:r>
              <w:rPr>
                <w:rFonts w:ascii="Arial" w:cs="Arial" w:eastAsia="Arial" w:hAnsi="Arial"/>
                <w:sz w:val="18"/>
                <w:szCs w:val="18"/>
                <w:color w:val="auto"/>
              </w:rPr>
              <w:t>$789</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$849</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1"/>
              </w:rPr>
              <w:t>recreational vehicle industries based</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500" w:type="dxa"/>
            <w:vAlign w:val="bottom"/>
            <w:tcBorders>
              <w:right w:val="single" w:sz="8" w:color="auto"/>
            </w:tcBorders>
            <w:vMerge w:val="continue"/>
            <w:shd w:val="clear" w:color="auto" w:fill="CCEEFF"/>
          </w:tcPr>
          <w:p>
            <w:pPr>
              <w:spacing w:after="0"/>
              <w:rPr>
                <w:sz w:val="9"/>
                <w:szCs w:val="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(asset purchase)</w:t>
            </w: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260" w:type="dxa"/>
            <w:vAlign w:val="bottom"/>
            <w:tcBorders>
              <w:right w:val="single" w:sz="8" w:color="auto"/>
            </w:tcBorders>
            <w:vMerge w:val="continue"/>
            <w:shd w:val="clear" w:color="auto" w:fill="CCEEFF"/>
          </w:tcPr>
          <w:p>
            <w:pPr>
              <w:spacing w:after="0"/>
              <w:rPr>
                <w:sz w:val="9"/>
                <w:szCs w:val="9"/>
                <w:color w:val="auto"/>
              </w:rPr>
            </w:pP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(“Rapid Wood”)</w:t>
            </w:r>
          </w:p>
        </w:tc>
        <w:tc>
          <w:tcPr>
            <w:tcW w:w="1500" w:type="dxa"/>
            <w:vAlign w:val="bottom"/>
            <w:tcBorders>
              <w:right w:val="single" w:sz="8" w:color="auto"/>
            </w:tcBorders>
            <w:shd w:val="clear" w:color="auto" w:fill="CCEEFF"/>
          </w:tcPr>
          <w:p>
            <w:pPr>
              <w:spacing w:after="0"/>
              <w:rPr>
                <w:sz w:val="10"/>
                <w:szCs w:val="10"/>
                <w:color w:val="auto"/>
              </w:rPr>
            </w:pPr>
          </w:p>
        </w:tc>
        <w:tc>
          <w:tcPr>
            <w:tcW w:w="1600" w:type="dxa"/>
            <w:vAlign w:val="bottom"/>
            <w:tcBorders>
              <w:right w:val="single" w:sz="8" w:color="auto"/>
            </w:tcBorders>
            <w:vMerge w:val="continue"/>
            <w:shd w:val="clear" w:color="auto" w:fill="CCEEFF"/>
          </w:tcPr>
          <w:p>
            <w:pPr>
              <w:spacing w:after="0"/>
              <w:rPr>
                <w:sz w:val="10"/>
                <w:szCs w:val="10"/>
                <w:color w:val="auto"/>
              </w:rPr>
            </w:pPr>
          </w:p>
        </w:tc>
        <w:tc>
          <w:tcPr>
            <w:tcW w:w="1480" w:type="dxa"/>
            <w:vAlign w:val="bottom"/>
            <w:tcBorders>
              <w:right w:val="single" w:sz="8" w:color="auto"/>
            </w:tcBorders>
            <w:shd w:val="clear" w:color="auto" w:fill="CCEEFF"/>
          </w:tcPr>
          <w:p>
            <w:pPr>
              <w:spacing w:after="0"/>
              <w:rPr>
                <w:sz w:val="10"/>
                <w:szCs w:val="10"/>
                <w:color w:val="auto"/>
              </w:rPr>
            </w:pPr>
          </w:p>
        </w:tc>
        <w:tc>
          <w:tcPr>
            <w:tcW w:w="1480" w:type="dxa"/>
            <w:vAlign w:val="bottom"/>
            <w:tcBorders>
              <w:right w:val="single" w:sz="8" w:color="auto"/>
            </w:tcBorders>
            <w:shd w:val="clear" w:color="auto" w:fill="CCEEFF"/>
          </w:tcPr>
          <w:p>
            <w:pPr>
              <w:spacing w:after="0"/>
              <w:rPr>
                <w:sz w:val="10"/>
                <w:szCs w:val="10"/>
                <w:color w:val="auto"/>
              </w:rPr>
            </w:pPr>
          </w:p>
        </w:tc>
        <w:tc>
          <w:tcPr>
            <w:tcW w:w="1260" w:type="dxa"/>
            <w:vAlign w:val="bottom"/>
            <w:tcBorders>
              <w:right w:val="single" w:sz="8" w:color="auto"/>
            </w:tcBorders>
            <w:shd w:val="clear" w:color="auto" w:fill="CCEEFF"/>
          </w:tcPr>
          <w:p>
            <w:pPr>
              <w:spacing w:after="0"/>
              <w:rPr>
                <w:sz w:val="10"/>
                <w:szCs w:val="10"/>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2"/>
              </w:rPr>
              <w:t>in Caldwell, Idaho. Rapid Wood had</w:t>
            </w:r>
          </w:p>
        </w:tc>
        <w:tc>
          <w:tcPr>
            <w:tcW w:w="0" w:type="dxa"/>
            <w:vAlign w:val="bottom"/>
          </w:tcPr>
          <w:p>
            <w:pPr>
              <w:spacing w:after="0"/>
              <w:rPr>
                <w:sz w:val="1"/>
                <w:szCs w:val="1"/>
                <w:color w:val="auto"/>
              </w:rPr>
            </w:pPr>
          </w:p>
        </w:tc>
      </w:tr>
      <w:tr>
        <w:trPr>
          <w:trHeight w:val="94"/>
        </w:trPr>
        <w:tc>
          <w:tcPr>
            <w:tcW w:w="140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500" w:type="dxa"/>
            <w:vAlign w:val="bottom"/>
            <w:tcBorders>
              <w:right w:val="single" w:sz="8" w:color="auto"/>
            </w:tcBorders>
            <w:shd w:val="clear" w:color="auto" w:fill="CCEEFF"/>
          </w:tcPr>
          <w:p>
            <w:pPr>
              <w:spacing w:after="0"/>
              <w:rPr>
                <w:sz w:val="8"/>
                <w:szCs w:val="8"/>
                <w:color w:val="auto"/>
              </w:rPr>
            </w:pPr>
          </w:p>
        </w:tc>
        <w:tc>
          <w:tcPr>
            <w:tcW w:w="1600" w:type="dxa"/>
            <w:vAlign w:val="bottom"/>
            <w:tcBorders>
              <w:right w:val="single" w:sz="8" w:color="auto"/>
            </w:tcBorders>
            <w:shd w:val="clear" w:color="auto" w:fill="CCEEFF"/>
          </w:tcPr>
          <w:p>
            <w:pPr>
              <w:spacing w:after="0"/>
              <w:rPr>
                <w:sz w:val="8"/>
                <w:szCs w:val="8"/>
                <w:color w:val="auto"/>
              </w:rPr>
            </w:pPr>
          </w:p>
        </w:tc>
        <w:tc>
          <w:tcPr>
            <w:tcW w:w="1480" w:type="dxa"/>
            <w:vAlign w:val="bottom"/>
            <w:tcBorders>
              <w:right w:val="single" w:sz="8" w:color="auto"/>
            </w:tcBorders>
            <w:shd w:val="clear" w:color="auto" w:fill="CCEEFF"/>
          </w:tcPr>
          <w:p>
            <w:pPr>
              <w:spacing w:after="0"/>
              <w:rPr>
                <w:sz w:val="8"/>
                <w:szCs w:val="8"/>
                <w:color w:val="auto"/>
              </w:rPr>
            </w:pPr>
          </w:p>
        </w:tc>
        <w:tc>
          <w:tcPr>
            <w:tcW w:w="1480" w:type="dxa"/>
            <w:vAlign w:val="bottom"/>
            <w:tcBorders>
              <w:right w:val="single" w:sz="8" w:color="auto"/>
            </w:tcBorders>
            <w:shd w:val="clear" w:color="auto" w:fill="CCEEFF"/>
          </w:tcPr>
          <w:p>
            <w:pPr>
              <w:spacing w:after="0"/>
              <w:rPr>
                <w:sz w:val="8"/>
                <w:szCs w:val="8"/>
                <w:color w:val="auto"/>
              </w:rPr>
            </w:pPr>
          </w:p>
        </w:tc>
        <w:tc>
          <w:tcPr>
            <w:tcW w:w="1260" w:type="dxa"/>
            <w:vAlign w:val="bottom"/>
            <w:tcBorders>
              <w:right w:val="single" w:sz="8" w:color="auto"/>
            </w:tcBorders>
            <w:shd w:val="clear" w:color="auto" w:fill="CCEEFF"/>
          </w:tcPr>
          <w:p>
            <w:pPr>
              <w:spacing w:after="0"/>
              <w:rPr>
                <w:sz w:val="8"/>
                <w:szCs w:val="8"/>
                <w:color w:val="auto"/>
              </w:rPr>
            </w:pPr>
          </w:p>
        </w:tc>
        <w:tc>
          <w:tcPr>
            <w:tcW w:w="27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4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500" w:type="dxa"/>
            <w:vAlign w:val="bottom"/>
            <w:tcBorders>
              <w:bottom w:val="single" w:sz="8" w:color="CCEEFF"/>
              <w:right w:val="single" w:sz="8" w:color="auto"/>
            </w:tcBorders>
            <w:shd w:val="clear" w:color="auto" w:fill="CCEEFF"/>
          </w:tcPr>
          <w:p>
            <w:pPr>
              <w:spacing w:after="0"/>
              <w:rPr>
                <w:sz w:val="22"/>
                <w:szCs w:val="22"/>
                <w:color w:val="auto"/>
              </w:rPr>
            </w:pP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2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annual sales of $3.5 million in 2015.</w:t>
            </w:r>
          </w:p>
        </w:tc>
        <w:tc>
          <w:tcPr>
            <w:tcW w:w="0" w:type="dxa"/>
            <w:vAlign w:val="bottom"/>
          </w:tcPr>
          <w:p>
            <w:pPr>
              <w:spacing w:after="0"/>
              <w:rPr>
                <w:sz w:val="1"/>
                <w:szCs w:val="1"/>
                <w:color w:val="auto"/>
              </w:rPr>
            </w:pPr>
          </w:p>
        </w:tc>
      </w:tr>
      <w:tr>
        <w:trPr>
          <w:trHeight w:val="222"/>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Integra Packaging</w:t>
            </w:r>
          </w:p>
        </w:tc>
        <w:tc>
          <w:tcPr>
            <w:tcW w:w="150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$1,406</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$715</w:t>
            </w:r>
          </w:p>
        </w:tc>
        <w:tc>
          <w:tcPr>
            <w:tcW w:w="126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An Australian-based manufacturer</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$1,102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(The Company</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Company</w:t>
            </w:r>
          </w:p>
        </w:tc>
        <w:tc>
          <w:tcPr>
            <w:tcW w:w="12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distributor of industrial wood</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Proprietary, Ltd</w:t>
            </w:r>
          </w:p>
        </w:tc>
        <w:tc>
          <w:tcPr>
            <w:tcW w:w="15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January 16, 2015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(51.94% stock</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portion of</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portion of Net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All Other</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specialty packaging products.</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(“Integra</w:t>
            </w:r>
          </w:p>
        </w:tc>
        <w:tc>
          <w:tcPr>
            <w:tcW w:w="15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purchase)</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Intangible Assets</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Tangible Assets</w:t>
            </w:r>
          </w:p>
        </w:tc>
        <w:tc>
          <w:tcPr>
            <w:tcW w:w="12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Integra Packaging had annual sales</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Packaging”)</w:t>
            </w:r>
          </w:p>
        </w:tc>
        <w:tc>
          <w:tcPr>
            <w:tcW w:w="15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$730 or 51.94%)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$372 or 51.94%)</w:t>
            </w:r>
          </w:p>
        </w:tc>
        <w:tc>
          <w:tcPr>
            <w:tcW w:w="126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$7.6 million in 2015.</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intangible assets for each acquisition were finalized and allocated to their respective identifiable intangible asset and goodwill accounts during 2015.</w:t>
      </w:r>
    </w:p>
    <w:p>
      <w:pPr>
        <w:spacing w:after="0" w:line="24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50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3" w:lineRule="exact"/>
        <w:rPr>
          <w:rFonts w:ascii="Arial" w:cs="Arial" w:eastAsia="Arial" w:hAnsi="Arial"/>
          <w:sz w:val="18"/>
          <w:szCs w:val="18"/>
          <w:b w:val="1"/>
          <w:bCs w:val="1"/>
          <w:color w:val="auto"/>
        </w:rPr>
      </w:pPr>
    </w:p>
    <w:p>
      <w:pPr>
        <w:ind w:left="5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divisions. The exceptions to this geographic reporting and management structure are (a) the Company's Alternative Materials Division, which offers a</w:t>
      </w: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ind w:left="50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portfolio of non-wood products and distributes those products nation-wide and (b) the Company's distribution unit (referred to as UFPD) which distributes a variety of products to the manufactured housing industry.</w:t>
      </w:r>
    </w:p>
    <w:p>
      <w:pPr>
        <w:spacing w:after="0" w:line="170" w:lineRule="exact"/>
        <w:rPr>
          <w:rFonts w:ascii="Arial" w:cs="Arial" w:eastAsia="Arial" w:hAnsi="Arial"/>
          <w:sz w:val="18"/>
          <w:szCs w:val="18"/>
          <w:b w:val="1"/>
          <w:bCs w:val="1"/>
          <w:color w:val="auto"/>
        </w:rPr>
      </w:pPr>
    </w:p>
    <w:p>
      <w:pPr>
        <w:ind w:left="50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ind w:left="500" w:right="5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Our Alternative Materials and International divisions have been included in the “All Other” column of the table below. The “Corporate” column includes unallocated administrative costs and certain incentive compensation expense.</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20" w:type="dxa"/>
            <w:vAlign w:val="bottom"/>
            <w:gridSpan w:val="9"/>
          </w:tcPr>
          <w:p>
            <w:pPr>
              <w:jc w:val="right"/>
              <w:spacing w:after="0"/>
              <w:rPr>
                <w:sz w:val="20"/>
                <w:szCs w:val="20"/>
                <w:color w:val="auto"/>
              </w:rPr>
            </w:pPr>
            <w:r>
              <w:rPr>
                <w:rFonts w:ascii="Arial" w:cs="Arial" w:eastAsia="Arial" w:hAnsi="Arial"/>
                <w:sz w:val="18"/>
                <w:szCs w:val="18"/>
                <w:color w:val="auto"/>
                <w:w w:val="91"/>
              </w:rPr>
              <w:t>Three Months Ended March 26, 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North</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South</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Corporate</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202,725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165,099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682,151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13,114</w:t>
            </w:r>
          </w:p>
        </w:tc>
        <w:tc>
          <w:tcPr>
            <w:tcW w:w="980" w:type="dxa"/>
            <w:vAlign w:val="bottom"/>
          </w:tcPr>
          <w:p>
            <w:pPr>
              <w:jc w:val="right"/>
              <w:spacing w:after="0"/>
              <w:rPr>
                <w:sz w:val="20"/>
                <w:szCs w:val="20"/>
                <w:color w:val="auto"/>
              </w:rPr>
            </w:pPr>
            <w:r>
              <w:rPr>
                <w:rFonts w:ascii="Arial" w:cs="Arial" w:eastAsia="Arial" w:hAnsi="Arial"/>
                <w:sz w:val="18"/>
                <w:szCs w:val="18"/>
                <w:color w:val="auto"/>
              </w:rPr>
              <w:t>9,190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50,010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9,289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31,911</w:t>
            </w:r>
          </w:p>
        </w:tc>
      </w:tr>
      <w:tr>
        <w:trPr>
          <w:trHeight w:val="675"/>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40"/>
          </w:cols>
          <w:pgMar w:left="240" w:top="121" w:right="2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660" w:type="dxa"/>
            <w:vAlign w:val="bottom"/>
            <w:gridSpan w:val="9"/>
          </w:tcPr>
          <w:p>
            <w:pPr>
              <w:ind w:left="920"/>
              <w:spacing w:after="0"/>
              <w:rPr>
                <w:sz w:val="20"/>
                <w:szCs w:val="20"/>
                <w:color w:val="auto"/>
              </w:rPr>
            </w:pPr>
            <w:r>
              <w:rPr>
                <w:rFonts w:ascii="Arial" w:cs="Arial" w:eastAsia="Arial" w:hAnsi="Arial"/>
                <w:sz w:val="18"/>
                <w:szCs w:val="18"/>
                <w:b w:val="1"/>
                <w:bCs w:val="1"/>
                <w:color w:val="auto"/>
              </w:rPr>
              <w:t>UNIVERSAL FOREST PRODUCTS,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21"/>
        </w:trPr>
        <w:tc>
          <w:tcPr>
            <w:tcW w:w="3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20" w:type="dxa"/>
            <w:vAlign w:val="bottom"/>
            <w:gridSpan w:val="9"/>
          </w:tcPr>
          <w:p>
            <w:pPr>
              <w:jc w:val="right"/>
              <w:spacing w:after="0"/>
              <w:rPr>
                <w:sz w:val="20"/>
                <w:szCs w:val="20"/>
                <w:color w:val="auto"/>
              </w:rPr>
            </w:pPr>
            <w:r>
              <w:rPr>
                <w:rFonts w:ascii="Arial" w:cs="Arial" w:eastAsia="Arial" w:hAnsi="Arial"/>
                <w:sz w:val="18"/>
                <w:szCs w:val="18"/>
                <w:color w:val="auto"/>
                <w:w w:val="91"/>
              </w:rPr>
              <w:t>Three Months Ended March 28, 2015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
        </w:trPr>
        <w:tc>
          <w:tcPr>
            <w:tcW w:w="3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South</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Corporate</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179,499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164,195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633,025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9,809</w:t>
            </w:r>
          </w:p>
        </w:tc>
        <w:tc>
          <w:tcPr>
            <w:tcW w:w="960" w:type="dxa"/>
            <w:vAlign w:val="bottom"/>
          </w:tcPr>
          <w:p>
            <w:pPr>
              <w:jc w:val="right"/>
              <w:spacing w:after="0"/>
              <w:rPr>
                <w:sz w:val="20"/>
                <w:szCs w:val="20"/>
                <w:color w:val="auto"/>
              </w:rPr>
            </w:pPr>
            <w:r>
              <w:rPr>
                <w:rFonts w:ascii="Arial" w:cs="Arial" w:eastAsia="Arial" w:hAnsi="Arial"/>
                <w:sz w:val="18"/>
                <w:szCs w:val="18"/>
                <w:color w:val="auto"/>
              </w:rPr>
              <w:t>7,199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30,531</w:t>
            </w:r>
          </w:p>
        </w:tc>
      </w:tr>
      <w:tr>
        <w:trPr>
          <w:trHeight w:val="27"/>
        </w:trPr>
        <w:tc>
          <w:tcPr>
            <w:tcW w:w="3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17,863</w:t>
            </w:r>
          </w:p>
        </w:tc>
      </w:tr>
      <w:tr>
        <w:trPr>
          <w:trHeight w:val="27"/>
        </w:trPr>
        <w:tc>
          <w:tcPr>
            <w:tcW w:w="3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34.7% in the first quarter of 2016 compared to 36.1% for same period of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 xml:space="preserve">Universal Forest Products, Inc. is a holding company that provides capital, management and administrative resources to subsidiaries that supply wood, wood composite and other products to three robust markets: retail, construction and industrial. Founded in 1955, the Company is headquartered in Grand Rapids, Mich., with affiliates throughout North America and Australia. For more about Universal Forest Products, go to </w:t>
      </w:r>
      <w:r>
        <w:rPr>
          <w:rFonts w:ascii="Arial" w:cs="Arial" w:eastAsia="Arial" w:hAnsi="Arial"/>
          <w:sz w:val="16"/>
          <w:szCs w:val="16"/>
          <w:u w:val="single" w:color="auto"/>
          <w:color w:val="0000FF"/>
        </w:rPr>
        <w:t>www.ufpi.com</w:t>
      </w:r>
      <w:r>
        <w:rPr>
          <w:rFonts w:ascii="Arial" w:cs="Arial" w:eastAsia="Arial" w:hAnsi="Arial"/>
          <w:sz w:val="16"/>
          <w:szCs w:val="16"/>
          <w:color w:val="auto"/>
        </w:rPr>
        <w:t>.</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year-to-date 2016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first quarter of 2016 were impacted by the following:</w:t>
      </w:r>
    </w:p>
    <w:p>
      <w:pPr>
        <w:spacing w:after="0" w:line="387" w:lineRule="exact"/>
        <w:rPr>
          <w:sz w:val="20"/>
          <w:szCs w:val="20"/>
          <w:color w:val="auto"/>
        </w:rPr>
      </w:pPr>
    </w:p>
    <w:p>
      <w:pPr>
        <w:jc w:val="both"/>
        <w:ind w:left="340" w:hanging="318"/>
        <w:spacing w:after="0" w:line="31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gross sales increased by 8% compared to the first quarter of 2015, which was comprised of a 13% increase in unit sales offset by a 5% decrease in selling prices due to the commodity lumber market (See Historical Lumber Prices). Our unit sales increased to all of our markets, but we experienced our greatest growth in unit sales to our Retail and Construction markets, which both benefited from more favorable weather in 2016 compared to 2015.</w:t>
      </w:r>
    </w:p>
    <w:p>
      <w:pPr>
        <w:spacing w:after="0" w:line="92" w:lineRule="exact"/>
        <w:rPr>
          <w:rFonts w:ascii="Arial" w:cs="Arial" w:eastAsia="Arial" w:hAnsi="Arial"/>
          <w:sz w:val="16"/>
          <w:szCs w:val="16"/>
          <w:color w:val="auto"/>
        </w:rPr>
      </w:pPr>
    </w:p>
    <w:p>
      <w:pPr>
        <w:jc w:val="both"/>
        <w:ind w:left="340" w:hanging="318"/>
        <w:spacing w:after="0" w:line="27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profits increased by nearly 79%, and our operating profit as a percentage of net sales increased to 4.7% from 2.8%, comparing the first quarter of 2016 and 2015, respectively. These improvements primarily resulted from a combination of organic unit sales growth and leveraging fixed costs, favorable improvements in product sales mix, and opportunistic buying resulting in lower lumber costs relative to our selling prices in certain product lines. In addition, we estimate that approximately 20 basis points of our improvement in operating profit as a percentage of sales was due to the lower level of lumber prices in 2016. See "Impact of the Lumber Market on Our Operating Results".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The following table presents the Random Lengths framing lumber composite price:</w:t>
      </w:r>
    </w:p>
    <w:p>
      <w:pPr>
        <w:spacing w:after="0" w:line="33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Random Lengths Composite</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22860</wp:posOffset>
            </wp:positionV>
            <wp:extent cx="17494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February</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average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 percentage change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8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comprises approximately 41% and 43% of total lumber purchases through the first three months of 2016 and 2015, respectively.</w:t>
      </w:r>
    </w:p>
    <w:p>
      <w:pPr>
        <w:spacing w:after="0" w:line="33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Random Lengths SYP</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22860</wp:posOffset>
            </wp:positionV>
            <wp:extent cx="17494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February</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average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 percentage change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8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Our material costs as a percentage of sales were 66.8% and 70.2% as of March 26, 2016, and March 28, 2015, respectively, and lumber comprises approximately 60% of material costs.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387" w:lineRule="exact"/>
        <w:rPr>
          <w:sz w:val="20"/>
          <w:szCs w:val="20"/>
          <w:color w:val="auto"/>
        </w:rPr>
      </w:pPr>
    </w:p>
    <w:p>
      <w:pPr>
        <w:ind w:left="340" w:right="20" w:hanging="332"/>
        <w:spacing w:after="0" w:line="30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 components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left="340" w:right="220"/>
        <w:spacing w:after="0" w:line="324" w:lineRule="auto"/>
        <w:rPr>
          <w:sz w:val="20"/>
          <w:szCs w:val="20"/>
          <w:color w:val="auto"/>
        </w:rPr>
      </w:pPr>
      <w:r>
        <w:rPr>
          <w:rFonts w:ascii="Arial" w:cs="Arial" w:eastAsia="Arial" w:hAnsi="Arial"/>
          <w:sz w:val="18"/>
          <w:szCs w:val="18"/>
          <w:color w:val="auto"/>
        </w:rPr>
        <w:t>suppliers for these sales commitments. Also, the time period and quantity limitations generally allow us to re-price our products for changes in lumber costs from our suppliers.</w:t>
      </w:r>
    </w:p>
    <w:p>
      <w:pPr>
        <w:spacing w:after="0" w:line="89" w:lineRule="exact"/>
        <w:rPr>
          <w:sz w:val="20"/>
          <w:szCs w:val="20"/>
          <w:color w:val="auto"/>
        </w:rPr>
      </w:pPr>
    </w:p>
    <w:p>
      <w:pPr>
        <w:ind w:left="340" w:right="100" w:hanging="332"/>
        <w:spacing w:after="0" w:line="30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trend of lumber prices have their greatest impact on the following products:</w:t>
      </w:r>
    </w:p>
    <w:p>
      <w:pPr>
        <w:spacing w:after="0" w:line="171" w:lineRule="exact"/>
        <w:rPr>
          <w:sz w:val="20"/>
          <w:szCs w:val="20"/>
          <w:color w:val="auto"/>
        </w:rPr>
      </w:pPr>
    </w:p>
    <w:p>
      <w:pPr>
        <w:ind w:left="340" w:right="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18%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Period 1</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Period 2</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Lumber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Conversion cost</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Product cost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Adder</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Sell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is apparent from the preceding example, the level of lumber prices does not impact our overall profits, but does impact our margins. Gross margins are negatively impacted during periods of high lumber prices; conversely, we experience margin improvement when lumber prices are relatively 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completed no business acquisitions during the first three months of 2016 and two during all of 2015. The annual revenue attributable to the two acquisitions completed in 2015 is approximately $11.1 million. These business combinations were not significant to our operating results individually or in aggregate and thus pro forma results for 2015 are not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257810</wp:posOffset>
            </wp:positionV>
            <wp:extent cx="36703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030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rPr>
              <w:t>March 26, 2016</w:t>
            </w:r>
          </w:p>
        </w:tc>
        <w:tc>
          <w:tcPr>
            <w:tcW w:w="1140" w:type="dxa"/>
            <w:vAlign w:val="bottom"/>
          </w:tcPr>
          <w:p>
            <w:pPr>
              <w:spacing w:after="0"/>
              <w:rPr>
                <w:sz w:val="20"/>
                <w:szCs w:val="20"/>
                <w:color w:val="auto"/>
              </w:rPr>
            </w:pPr>
          </w:p>
        </w:tc>
        <w:tc>
          <w:tcPr>
            <w:tcW w:w="2480" w:type="dxa"/>
            <w:vAlign w:val="bottom"/>
          </w:tcPr>
          <w:p>
            <w:pPr>
              <w:jc w:val="right"/>
              <w:ind w:right="790"/>
              <w:spacing w:after="0"/>
              <w:rPr>
                <w:sz w:val="20"/>
                <w:szCs w:val="20"/>
                <w:color w:val="auto"/>
              </w:rPr>
            </w:pPr>
            <w:r>
              <w:rPr>
                <w:rFonts w:ascii="Arial" w:cs="Arial" w:eastAsia="Arial" w:hAnsi="Arial"/>
                <w:sz w:val="18"/>
                <w:szCs w:val="18"/>
                <w:color w:val="auto"/>
              </w:rPr>
              <w:t>March 28, 2015</w:t>
            </w:r>
          </w:p>
        </w:tc>
      </w:tr>
      <w:tr>
        <w:trPr>
          <w:trHeight w:val="34"/>
        </w:trPr>
        <w:tc>
          <w:tcPr>
            <w:tcW w:w="56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100.0%</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8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84.9</w:t>
            </w:r>
          </w:p>
        </w:tc>
        <w:tc>
          <w:tcPr>
            <w:tcW w:w="2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87.4</w:t>
            </w:r>
          </w:p>
        </w:tc>
      </w:tr>
      <w:tr>
        <w:trPr>
          <w:trHeight w:val="244"/>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15.1</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7"/>
        </w:trPr>
        <w:tc>
          <w:tcPr>
            <w:tcW w:w="5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disposition and impairment of assets</w:t>
            </w:r>
          </w:p>
        </w:tc>
        <w:tc>
          <w:tcPr>
            <w:tcW w:w="2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Earnings from operations</w:t>
            </w: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4.7</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5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4.5</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5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5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 interest</w:t>
            </w:r>
          </w:p>
        </w:tc>
        <w:tc>
          <w:tcPr>
            <w:tcW w:w="2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(0.2)</w:t>
            </w:r>
          </w:p>
        </w:tc>
        <w:tc>
          <w:tcPr>
            <w:tcW w:w="2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64"/>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64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engineered wood components, structural lumber, and other products for manufactured housing, residential and commercial construction; and specialty wood packaging, components and packing materials for various industries. Our long-term sales objectives include:</w:t>
      </w:r>
    </w:p>
    <w:p>
      <w:pPr>
        <w:spacing w:after="0" w:line="289" w:lineRule="exact"/>
        <w:rPr>
          <w:sz w:val="20"/>
          <w:szCs w:val="20"/>
          <w:color w:val="auto"/>
        </w:rPr>
      </w:pPr>
    </w:p>
    <w:p>
      <w:pPr>
        <w:jc w:val="both"/>
        <w:ind w:left="340" w:right="1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commercial market, increasing our sales of engineered wood components for custom home, multi-family, military and light commercial construction, and increasing our market share with independent retailers.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117"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which comprises approximately 18% of our total sales, is not presently included in the value-added sales totals.</w:t>
      </w:r>
    </w:p>
    <w:p>
      <w:pPr>
        <w:spacing w:after="0" w:line="80"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 New product sales were $67.5 million in the first quarter of 2016 compared to $51.0 million during the first quarter of 2015. Certain prior year product reclassifications resulted in an increase in new product sales in 2015.</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238125</wp:posOffset>
            </wp:positionV>
            <wp:extent cx="54286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4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Three Months Ended</w:t>
            </w:r>
          </w:p>
        </w:tc>
        <w:tc>
          <w:tcPr>
            <w:tcW w:w="2840" w:type="dxa"/>
            <w:vAlign w:val="bottom"/>
            <w:tcBorders>
              <w:bottom w:val="single" w:sz="8" w:color="auto"/>
            </w:tcBorders>
          </w:tcPr>
          <w:p>
            <w:pPr>
              <w:spacing w:after="0"/>
              <w:rPr>
                <w:sz w:val="22"/>
                <w:szCs w:val="22"/>
                <w:color w:val="auto"/>
              </w:rPr>
            </w:pPr>
          </w:p>
        </w:tc>
      </w:tr>
      <w:tr>
        <w:trPr>
          <w:trHeight w:val="216"/>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Market Classification</w:t>
            </w:r>
          </w:p>
        </w:tc>
        <w:tc>
          <w:tcPr>
            <w:tcW w:w="480" w:type="dxa"/>
            <w:vAlign w:val="bottom"/>
          </w:tcPr>
          <w:p>
            <w:pPr>
              <w:spacing w:after="0"/>
              <w:rPr>
                <w:sz w:val="18"/>
                <w:szCs w:val="18"/>
                <w:color w:val="auto"/>
              </w:rPr>
            </w:pPr>
          </w:p>
        </w:tc>
        <w:tc>
          <w:tcPr>
            <w:tcW w:w="2360" w:type="dxa"/>
            <w:vAlign w:val="bottom"/>
          </w:tcPr>
          <w:p>
            <w:pPr>
              <w:jc w:val="right"/>
              <w:ind w:right="750"/>
              <w:spacing w:after="0"/>
              <w:rPr>
                <w:sz w:val="20"/>
                <w:szCs w:val="20"/>
                <w:color w:val="auto"/>
              </w:rPr>
            </w:pPr>
            <w:r>
              <w:rPr>
                <w:rFonts w:ascii="Arial" w:cs="Arial" w:eastAsia="Arial" w:hAnsi="Arial"/>
                <w:sz w:val="18"/>
                <w:szCs w:val="18"/>
                <w:color w:val="auto"/>
              </w:rPr>
              <w:t>March 26, 2016</w:t>
            </w:r>
          </w:p>
        </w:tc>
        <w:tc>
          <w:tcPr>
            <w:tcW w:w="400" w:type="dxa"/>
            <w:vAlign w:val="bottom"/>
          </w:tcPr>
          <w:p>
            <w:pPr>
              <w:spacing w:after="0"/>
              <w:rPr>
                <w:sz w:val="18"/>
                <w:szCs w:val="18"/>
                <w:color w:val="auto"/>
              </w:rPr>
            </w:pP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March 28, 2015</w:t>
            </w:r>
          </w:p>
        </w:tc>
        <w:tc>
          <w:tcPr>
            <w:tcW w:w="2840" w:type="dxa"/>
            <w:vAlign w:val="bottom"/>
          </w:tcPr>
          <w:p>
            <w:pPr>
              <w:jc w:val="right"/>
              <w:ind w:right="950"/>
              <w:spacing w:after="0"/>
              <w:rPr>
                <w:sz w:val="20"/>
                <w:szCs w:val="20"/>
                <w:color w:val="auto"/>
              </w:rPr>
            </w:pPr>
            <w:r>
              <w:rPr>
                <w:rFonts w:ascii="Arial" w:cs="Arial" w:eastAsia="Arial" w:hAnsi="Arial"/>
                <w:sz w:val="18"/>
                <w:szCs w:val="18"/>
                <w:color w:val="auto"/>
              </w:rPr>
              <w:t>% Change</w:t>
            </w:r>
          </w:p>
        </w:tc>
      </w:tr>
      <w:tr>
        <w:trPr>
          <w:trHeight w:val="41"/>
        </w:trPr>
        <w:tc>
          <w:tcPr>
            <w:tcW w:w="40" w:type="dxa"/>
            <w:vAlign w:val="bottom"/>
            <w:tcBorders>
              <w:bottom w:val="single" w:sz="8" w:color="CCEEFF"/>
            </w:tcBorders>
          </w:tcPr>
          <w:p>
            <w:pPr>
              <w:spacing w:after="0"/>
              <w:rPr>
                <w:sz w:val="3"/>
                <w:szCs w:val="3"/>
                <w:color w:val="auto"/>
              </w:rPr>
            </w:pPr>
          </w:p>
        </w:tc>
        <w:tc>
          <w:tcPr>
            <w:tcW w:w="1540" w:type="dxa"/>
            <w:vAlign w:val="bottom"/>
            <w:tcBorders>
              <w:top w:val="single" w:sz="8" w:color="auto"/>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270,743</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231,447</w:t>
            </w: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48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204,245</w:t>
            </w:r>
          </w:p>
        </w:tc>
        <w:tc>
          <w:tcPr>
            <w:tcW w:w="40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210,016</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84"/>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w:t>
            </w:r>
          </w:p>
        </w:tc>
        <w:tc>
          <w:tcPr>
            <w:tcW w:w="48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218,876</w:t>
            </w:r>
          </w:p>
        </w:tc>
        <w:tc>
          <w:tcPr>
            <w:tcW w:w="400" w:type="dxa"/>
            <w:vAlign w:val="bottom"/>
            <w:tcBorders>
              <w:bottom w:val="single" w:sz="8" w:color="auto"/>
            </w:tcBorders>
            <w:shd w:val="clear" w:color="auto" w:fill="CCEEFF"/>
          </w:tcPr>
          <w:p>
            <w:pPr>
              <w:spacing w:after="0"/>
              <w:rPr>
                <w:sz w:val="24"/>
                <w:szCs w:val="24"/>
                <w:color w:val="auto"/>
              </w:rPr>
            </w:pP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200,306</w:t>
            </w: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77"/>
        </w:trPr>
        <w:tc>
          <w:tcPr>
            <w:tcW w:w="28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Gross Sales</w:t>
            </w:r>
          </w:p>
        </w:tc>
        <w:tc>
          <w:tcPr>
            <w:tcW w:w="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693,864</w:t>
            </w:r>
          </w:p>
        </w:tc>
        <w:tc>
          <w:tcPr>
            <w:tcW w:w="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641,769</w:t>
            </w:r>
          </w:p>
        </w:tc>
        <w:tc>
          <w:tcPr>
            <w:tcW w:w="28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77"/>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48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400" w:type="dxa"/>
            <w:vAlign w:val="bottom"/>
            <w:tcBorders>
              <w:bottom w:val="single" w:sz="8" w:color="auto"/>
            </w:tcBorders>
            <w:shd w:val="clear" w:color="auto" w:fill="CCEEFF"/>
          </w:tcPr>
          <w:p>
            <w:pPr>
              <w:spacing w:after="0"/>
              <w:rPr>
                <w:sz w:val="24"/>
                <w:szCs w:val="24"/>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5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682,151</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633,025</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Note: During 2016, certain customers were reclassified to a different market. Prior year information has been restated to reflect these changes.</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sales in the first quarter of 2016 increased 8% compared to the same period of 2015, due to a 13% increase in unit sales offset by a 5% decline in selling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sales to the retail market increased 17% in the first quarter of 2016 compared to the same period of 2015, due to a 19% increase in unit sales offset by a 2% decrease in selling prices. Within this market, sales to our big box customers increased 20% and sales to other retailers increased 13%. Our retail customers have benefited from improving consumer demand, as evidenced by their reported increases in same store sales. In addition, we gained market share with certain customers and increased our sales of new products with these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sales to the industrial market decreased approximately 3% in the first quarter of 2016 compared to the same period of 2015, resulting from a 5% increase in unit sales offset by an 8% decrease in selling prices. The 5% increase in unit sales consists of organic growth and was achieved by adding new customers and gaining market share with existing customers. We believe that demand of our existing customers has softened in 2016. In addition, we are more selective being in the business that we pursue by being more focused on value-added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Gross sales to the construction market increased over 9% in the first quarter of 2016 compared to 2015. The increase was due to a 15% increase in unit sales, offset by a 6% decrease in our selling prices. Our increase in unit sales was driven by a 17% increase to commercial construction customers, a 22% increase to residential construction customers, and a 6% increase to manufactured housing customers. By comparison (and based upon various industry publications):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Non-residential construction activity was up 11.2%.</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housing starts increased approximately 12.1% in the period from December 2015 through February 2016 (our sales trail housing starts by about a month) compared to the same period of 2015.</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of HUD-code homes in January and February 2016 were up 22.7% compared to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Modular home production was flat.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203200</wp:posOffset>
            </wp:positionV>
            <wp:extent cx="30187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340"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187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1760" w:type="dxa"/>
            <w:vAlign w:val="bottom"/>
          </w:tcPr>
          <w:p>
            <w:pPr>
              <w:ind w:left="580"/>
              <w:spacing w:after="0"/>
              <w:rPr>
                <w:sz w:val="20"/>
                <w:szCs w:val="20"/>
                <w:color w:val="auto"/>
              </w:rPr>
            </w:pPr>
            <w:r>
              <w:rPr>
                <w:rFonts w:ascii="Arial" w:cs="Arial" w:eastAsia="Arial" w:hAnsi="Arial"/>
                <w:sz w:val="18"/>
                <w:szCs w:val="18"/>
                <w:color w:val="auto"/>
                <w:w w:val="92"/>
              </w:rPr>
              <w:t>March 26, 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right"/>
              <w:ind w:right="490"/>
              <w:spacing w:after="0"/>
              <w:rPr>
                <w:sz w:val="20"/>
                <w:szCs w:val="20"/>
                <w:color w:val="auto"/>
              </w:rPr>
            </w:pPr>
            <w:r>
              <w:rPr>
                <w:rFonts w:ascii="Arial" w:cs="Arial" w:eastAsia="Arial" w:hAnsi="Arial"/>
                <w:sz w:val="18"/>
                <w:szCs w:val="18"/>
                <w:color w:val="auto"/>
              </w:rPr>
              <w:t>March 28, 2015</w:t>
            </w:r>
          </w:p>
        </w:tc>
      </w:tr>
      <w:tr>
        <w:trPr>
          <w:trHeight w:val="34"/>
        </w:trPr>
        <w:tc>
          <w:tcPr>
            <w:tcW w:w="6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Value-Added</w:t>
            </w:r>
          </w:p>
        </w:tc>
        <w:tc>
          <w:tcPr>
            <w:tcW w:w="17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Commodity-Based</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39.0%</w:t>
            </w:r>
          </w:p>
        </w:tc>
        <w:tc>
          <w:tcPr>
            <w:tcW w:w="1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42.4%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margin increased to 15.1% from 12.6% comparing the first quarter of 2016 to the same period of 2015. Our gross profit dollars increased by $23.2 million, or 29.1%, which compares favorably to our 13% increase in unit sales. The improvement in our profitability in the first quarter of 2016 was attributable to the following factors:</w:t>
      </w:r>
    </w:p>
    <w:p>
      <w:pPr>
        <w:spacing w:after="0" w:line="208" w:lineRule="exact"/>
        <w:rPr>
          <w:sz w:val="20"/>
          <w:szCs w:val="20"/>
          <w:color w:val="auto"/>
        </w:rPr>
      </w:pPr>
    </w:p>
    <w:p>
      <w:pPr>
        <w:ind w:left="500" w:hanging="316"/>
        <w:spacing w:after="0" w:line="257"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$2.4 million of our gross profit increase was on sales to our residential construction customers. Our organic growth in sales to the commercial construction market added almost $1.5 million to our gross profits.</w:t>
      </w:r>
    </w:p>
    <w:p>
      <w:pPr>
        <w:spacing w:after="0" w:line="20" w:lineRule="exact"/>
        <w:rPr>
          <w:rFonts w:ascii="Arial" w:cs="Arial" w:eastAsia="Arial" w:hAnsi="Arial"/>
          <w:sz w:val="22"/>
          <w:szCs w:val="22"/>
          <w:color w:val="auto"/>
        </w:rPr>
      </w:pPr>
    </w:p>
    <w:p>
      <w:pPr>
        <w:ind w:left="500" w:right="20" w:hanging="316"/>
        <w:spacing w:after="0" w:line="257"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$10.7 million of our gross profit increase is attributable to our organic unit sales growth to the retail market along with improvements in product sales mix.</w:t>
      </w:r>
    </w:p>
    <w:p>
      <w:pPr>
        <w:spacing w:after="0" w:line="20" w:lineRule="exact"/>
        <w:rPr>
          <w:rFonts w:ascii="Arial" w:cs="Arial" w:eastAsia="Arial" w:hAnsi="Arial"/>
          <w:sz w:val="22"/>
          <w:szCs w:val="22"/>
          <w:color w:val="auto"/>
        </w:rPr>
      </w:pPr>
    </w:p>
    <w:p>
      <w:pPr>
        <w:ind w:left="500" w:hanging="316"/>
        <w:spacing w:after="0" w:line="271"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$10.8 million of our gross profit improvement was due to margin improvements on our sales to the industrial market due to improvements in product sales mix and lower lumber costs from opportunistic buying relative to our selling prices.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("SG&amp;A") expenses increased by approximately $9.1 million, or 14.8%, in the first quarter of 2016 compared to the same period of 2015, while we reported a 13% increase in unit sales. The increase in SG&amp;A was primarily due to a $1.2 million increase in compensation and benefit costs primarily due to having more personnel, a $5.2 million increase in incentive and bonus compensation resulting from an improvement in our profitability, a $1.3 million increase in bad debt expense, and several other smaller increases driven, in part, by our unit sales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interest costs were lower in the first quarter of 2016 compared to the same period of 2015, due to less interest expense resulting from lower debt levels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34.7% in the first quarter of 2016 compared to 36.1% for same period of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net sales and earnings from operations by reportable segment.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Net Sales</w:t>
            </w: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0"/>
              </w:rPr>
              <w:t>Earnings from Operations</w:t>
            </w:r>
          </w:p>
        </w:tc>
        <w:tc>
          <w:tcPr>
            <w:tcW w:w="1160" w:type="dxa"/>
            <w:vAlign w:val="bottom"/>
            <w:tcBorders>
              <w:bottom w:val="single" w:sz="8" w:color="auto"/>
            </w:tcBorders>
          </w:tcPr>
          <w:p>
            <w:pPr>
              <w:spacing w:after="0"/>
              <w:rPr>
                <w:sz w:val="24"/>
                <w:szCs w:val="24"/>
                <w:color w:val="auto"/>
              </w:rPr>
            </w:pPr>
          </w:p>
        </w:tc>
      </w:tr>
      <w:tr>
        <w:trPr>
          <w:trHeight w:val="243"/>
        </w:trPr>
        <w:tc>
          <w:tcPr>
            <w:tcW w:w="2400" w:type="dxa"/>
            <w:vAlign w:val="bottom"/>
          </w:tcPr>
          <w:p>
            <w:pPr>
              <w:jc w:val="right"/>
              <w:ind w:right="1250"/>
              <w:spacing w:after="0"/>
              <w:rPr>
                <w:sz w:val="20"/>
                <w:szCs w:val="20"/>
                <w:color w:val="auto"/>
              </w:rPr>
            </w:pPr>
            <w:r>
              <w:rPr>
                <w:rFonts w:ascii="Arial" w:cs="Arial" w:eastAsia="Arial" w:hAnsi="Arial"/>
                <w:sz w:val="18"/>
                <w:szCs w:val="18"/>
                <w:color w:val="auto"/>
                <w:w w:val="91"/>
              </w:rPr>
              <w:t>(in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3"/>
          </w:tcPr>
          <w:p>
            <w:pPr>
              <w:jc w:val="right"/>
              <w:ind w:right="270"/>
              <w:spacing w:after="0"/>
              <w:rPr>
                <w:sz w:val="20"/>
                <w:szCs w:val="20"/>
                <w:color w:val="auto"/>
              </w:rPr>
            </w:pPr>
            <w:r>
              <w:rPr>
                <w:rFonts w:ascii="Arial" w:cs="Arial" w:eastAsia="Arial" w:hAnsi="Arial"/>
                <w:sz w:val="18"/>
                <w:szCs w:val="18"/>
                <w:color w:val="auto"/>
                <w:w w:val="90"/>
              </w:rPr>
              <w:t>Three Months Ended</w:t>
            </w:r>
          </w:p>
        </w:tc>
        <w:tc>
          <w:tcPr>
            <w:tcW w:w="1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right"/>
              <w:ind w:right="290"/>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21"/>
                <w:szCs w:val="21"/>
                <w:color w:val="auto"/>
              </w:rPr>
            </w:pPr>
          </w:p>
        </w:tc>
      </w:tr>
      <w:tr>
        <w:trPr>
          <w:trHeight w:val="34"/>
        </w:trPr>
        <w:tc>
          <w:tcPr>
            <w:tcW w:w="2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March 28,</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4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2"/>
              </w:rPr>
              <w:t>March 26, 2016</w:t>
            </w:r>
          </w:p>
        </w:tc>
        <w:tc>
          <w:tcPr>
            <w:tcW w:w="14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5"/>
              </w:rPr>
              <w:t>Change</w:t>
            </w:r>
          </w:p>
        </w:tc>
        <w:tc>
          <w:tcPr>
            <w:tcW w:w="11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 Change</w:t>
            </w:r>
          </w:p>
        </w:tc>
        <w:tc>
          <w:tcPr>
            <w:tcW w:w="2460" w:type="dxa"/>
            <w:vAlign w:val="bottom"/>
            <w:gridSpan w:val="4"/>
          </w:tcPr>
          <w:p>
            <w:pPr>
              <w:ind w:left="40"/>
              <w:spacing w:after="0"/>
              <w:rPr>
                <w:sz w:val="20"/>
                <w:szCs w:val="20"/>
                <w:color w:val="auto"/>
              </w:rPr>
            </w:pPr>
            <w:r>
              <w:rPr>
                <w:rFonts w:ascii="Arial" w:cs="Arial" w:eastAsia="Arial" w:hAnsi="Arial"/>
                <w:sz w:val="18"/>
                <w:szCs w:val="18"/>
                <w:color w:val="auto"/>
                <w:w w:val="94"/>
              </w:rPr>
              <w:t>March 26, 2016 March 28, 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8"/>
              </w:rPr>
              <w:t>Change</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 Change</w:t>
            </w:r>
          </w:p>
        </w:tc>
      </w:tr>
      <w:tr>
        <w:trPr>
          <w:trHeight w:val="34"/>
        </w:trPr>
        <w:tc>
          <w:tcPr>
            <w:tcW w:w="2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North</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179,499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23,226</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6,579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242.8 %</w:t>
            </w:r>
          </w:p>
        </w:tc>
      </w:tr>
      <w:tr>
        <w:trPr>
          <w:trHeight w:val="243"/>
        </w:trPr>
        <w:tc>
          <w:tcPr>
            <w:tcW w:w="2400" w:type="dxa"/>
            <w:vAlign w:val="bottom"/>
          </w:tcPr>
          <w:p>
            <w:pPr>
              <w:jc w:val="right"/>
              <w:ind w:right="50"/>
              <w:spacing w:after="0"/>
              <w:rPr>
                <w:sz w:val="20"/>
                <w:szCs w:val="20"/>
                <w:color w:val="auto"/>
              </w:rPr>
            </w:pPr>
            <w:r>
              <w:rPr>
                <w:rFonts w:ascii="Arial" w:cs="Arial" w:eastAsia="Arial" w:hAnsi="Arial"/>
                <w:sz w:val="18"/>
                <w:szCs w:val="18"/>
                <w:color w:val="auto"/>
              </w:rPr>
              <w:t>South</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165,099</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164,195</w:t>
            </w: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12,136</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6,134</w:t>
            </w:r>
          </w:p>
        </w:tc>
        <w:tc>
          <w:tcPr>
            <w:tcW w:w="1160" w:type="dxa"/>
            <w:vAlign w:val="bottom"/>
          </w:tcPr>
          <w:p>
            <w:pPr>
              <w:jc w:val="right"/>
              <w:spacing w:after="0"/>
              <w:rPr>
                <w:sz w:val="20"/>
                <w:szCs w:val="20"/>
                <w:color w:val="auto"/>
              </w:rPr>
            </w:pPr>
            <w:r>
              <w:rPr>
                <w:rFonts w:ascii="Arial" w:cs="Arial" w:eastAsia="Arial" w:hAnsi="Arial"/>
                <w:sz w:val="18"/>
                <w:szCs w:val="18"/>
                <w:color w:val="auto"/>
              </w:rPr>
              <w:t>102.2 %</w:t>
            </w:r>
          </w:p>
        </w:tc>
      </w:tr>
      <w:tr>
        <w:trPr>
          <w:trHeight w:val="27"/>
        </w:trPr>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West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277,588</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257,579</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20,009</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6,801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64.7 %</w:t>
            </w:r>
          </w:p>
        </w:tc>
      </w:tr>
      <w:tr>
        <w:trPr>
          <w:trHeight w:val="243"/>
        </w:trPr>
        <w:tc>
          <w:tcPr>
            <w:tcW w:w="2400" w:type="dxa"/>
            <w:vAlign w:val="bottom"/>
          </w:tcPr>
          <w:p>
            <w:pPr>
              <w:jc w:val="right"/>
              <w:ind w:right="5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36,739</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31,752</w:t>
            </w: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4,987</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3,707</w:t>
            </w:r>
          </w:p>
        </w:tc>
        <w:tc>
          <w:tcPr>
            <w:tcW w:w="1160" w:type="dxa"/>
            <w:vAlign w:val="bottom"/>
          </w:tcPr>
          <w:p>
            <w:pPr>
              <w:jc w:val="right"/>
              <w:spacing w:after="0"/>
              <w:rPr>
                <w:sz w:val="20"/>
                <w:szCs w:val="20"/>
                <w:color w:val="auto"/>
              </w:rPr>
            </w:pPr>
            <w:r>
              <w:rPr>
                <w:rFonts w:ascii="Arial" w:cs="Arial" w:eastAsia="Arial" w:hAnsi="Arial"/>
                <w:sz w:val="18"/>
                <w:szCs w:val="18"/>
                <w:color w:val="auto"/>
              </w:rPr>
              <w:t>323.5 %</w:t>
            </w:r>
          </w:p>
        </w:tc>
      </w:tr>
      <w:tr>
        <w:trPr>
          <w:trHeight w:val="27"/>
        </w:trPr>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2400" w:type="dxa"/>
            <w:vAlign w:val="bottom"/>
            <w:tcBorders>
              <w:bottom w:val="single" w:sz="8" w:color="CCEEFF"/>
            </w:tcBorders>
            <w:shd w:val="clear" w:color="auto" w:fill="CCEEFF"/>
          </w:tcPr>
          <w:p>
            <w:pPr>
              <w:jc w:val="right"/>
              <w:ind w:right="5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(9,173)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r>
      <w:tr>
        <w:trPr>
          <w:trHeight w:val="277"/>
        </w:trPr>
        <w:tc>
          <w:tcPr>
            <w:tcW w:w="2400" w:type="dxa"/>
            <w:vAlign w:val="bottom"/>
          </w:tcPr>
          <w:p>
            <w:pPr>
              <w:jc w:val="right"/>
              <w:ind w:right="5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682,151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633,025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49,126</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14,048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Corporate primarily represents over (under) allocated administrative costs and certain incentive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sales attributable to the North reportable segment increased in the first quarter of 2016 compared to 2015 due to an increase in unit sales to retail and residential construction customers.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Earnings from operations increased in the first quarter of 2016 compared to 2015, primarily due to an increase in overall unit sales and improved profitability on our sales to the retail and construction markets. Although sales decreased slightly to the industrial market, we experienced an increase in gross margin due to a more favorable product sales mix and a decline in lumber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attributable to the South reportable segment increased in the first quarter of 2016 compared to 2015, primarily due to an increase in unit sales to our retail and manufactured housing customers.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Earnings from operations for the South reportable segment increased in the first quarter of 2016 compared to 2015, primarily due to an increase in overall unit sales as well as improved profitability in certain South segment regions. Similar to the North segment, sales to the industrial customers declined slightly, however, we experienced an increase in gross margin due to a more favorable product sales mix and a decline in lumber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quarter of 2016 compared to 2015 primarily due to an increase in sales to the retail and construction markets.</w:t>
      </w: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from operations for the West reportable segment increased in the first quarter of 2016 compared to 2015 primarily due to an increase in unit sales and improved profitability in our Far West and Texas regions.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all other segments increased in the first quarter of 2016 compared to 2015, primarily due to an increase in sales to the retail market by our Alternative Materials reporting unit.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from operations for all other segments increased in the first quarter of 2016 compared to 2015, primarily due to improved profitability in our Mexico and Consumer Products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6"/>
              </w:rPr>
              <w:t>The table below presents, for the periods indicated, a summary of our cash flow statement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94"/>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r>
      <w:tr>
        <w:trPr>
          <w:trHeight w:val="34"/>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March 26, 2016</w:t>
            </w:r>
          </w:p>
        </w:tc>
        <w:tc>
          <w:tcPr>
            <w:tcW w:w="1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4"/>
              </w:rPr>
              <w:t>March 28, 2015</w:t>
            </w: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(13,441)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decreased to 54 days in the first three months of 2016 from 65 days in the first three months of 2015. We carried higher levels of safety stock inventory in 2015 due to inclement weather and expected industry transportation challenges. Improvements in our days supply of inventory in 2016 was due, in part, to strong customer demand and certain improvements in inventory management.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operating activities was $30.0 million in the first three months of 2016, which was comprised of net earnings of $20.2 million and $10.4 million of non-cash expenses, offset by a $60.6 million seasonal increase in working capital since the end of 2015.</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Purchases of property, plant, and equipment comprised most of our cash used in investing activities during the first three months of 2016 and totaled $12.9 million. We currently plan to spend up to $75 million in 2016 on these and similar capital items. Outstanding purchase commitments on existing capital projects totaled approximately $21.1 million on March 26, 2016. We intend to fund capital expenditures and purchase commitments through our operating cash flows for the balance of the year. Additionally, we collected $1.4 million and advanced $1.3 million of outstanding notes receivables.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continues to evaluate businesses to acquire that are complimentary to our existing Retail, Industrial, and Construction businesses, as well as new businesses that offer attractive growth and return on investment opportunities. Our current objective is to deploy approximately $100 million to $200 million of capital in 2016 to fund acquisitions. While a variety of factors beyond our control impact our ability to achieve this goal, we are actively evaluating and considering a number of targeted acquisition opportunities.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from financing activities primarily consisted of $1.2 million of distributions to our partners that own a non-controlling interest in certain of our subsidiaries.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26, 2016, we had no outstanding balance on our $295 million revolving credit facility. The revolving credit facility also supports letters of credit totaling approximately $9.8 million on March 26, 2016. Additionally, we have $150 million in availability after considering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26,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2015.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hanging="314"/>
        <w:spacing w:after="0" w:line="312"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26, 2016 (the “Evaluation Date”), have concluded that, as of such date, our disclosure controls and procedures were effective.</w:t>
      </w:r>
    </w:p>
    <w:p>
      <w:pPr>
        <w:spacing w:after="0" w:line="92" w:lineRule="exact"/>
        <w:rPr>
          <w:rFonts w:ascii="Arial" w:cs="Arial" w:eastAsia="Arial" w:hAnsi="Arial"/>
          <w:sz w:val="16"/>
          <w:szCs w:val="16"/>
          <w:color w:val="auto"/>
        </w:rPr>
      </w:pPr>
    </w:p>
    <w:p>
      <w:pPr>
        <w:ind w:left="320" w:right="20" w:hanging="314"/>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March 26, 2016, there were no changes in our internal control over financial reporting that materially affected, or is reasonably likely to materially affect, our internal control over financial reporting.</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580" w:top="121" w:right="3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38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Fiscal Month</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(a)</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(c)</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(d)</w:t>
            </w:r>
          </w:p>
        </w:tc>
      </w:tr>
      <w:tr>
        <w:trPr>
          <w:trHeight w:val="55"/>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27 - January 30,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January 31 - February 27,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February 28 – March 26, 2016</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shares that may be repurchased under the program is approximately 3 million shares.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387"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10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Schema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300" w:type="dxa"/>
            <w:vAlign w:val="bottom"/>
            <w:shd w:val="clear" w:color="auto" w:fill="828282"/>
          </w:tcPr>
          <w:p>
            <w:pPr>
              <w:spacing w:after="0"/>
              <w:rPr>
                <w:sz w:val="10"/>
                <w:szCs w:val="10"/>
                <w:color w:val="auto"/>
              </w:rPr>
            </w:pPr>
          </w:p>
        </w:tc>
        <w:tc>
          <w:tcPr>
            <w:tcW w:w="362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April 27,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April 27, 2016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33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3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333"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9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Schema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5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540" w:type="dxa"/>
            <w:vAlign w:val="bottom"/>
            <w:shd w:val="clear" w:color="auto" w:fill="828282"/>
          </w:tcPr>
          <w:p>
            <w:pPr>
              <w:spacing w:after="0"/>
              <w:rPr>
                <w:sz w:val="10"/>
                <w:szCs w:val="10"/>
                <w:color w:val="auto"/>
              </w:rPr>
            </w:pPr>
          </w:p>
        </w:tc>
        <w:tc>
          <w:tcPr>
            <w:tcW w:w="338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3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ind w:left="140"/>
        <w:spacing w:after="0"/>
        <w:tabs>
          <w:tab w:leader="none" w:pos="49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27, 2016</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31750</wp:posOffset>
            </wp:positionV>
            <wp:extent cx="4056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 and Principal Executive Officer</w:t>
      </w:r>
    </w:p>
    <w:p>
      <w:pPr>
        <w:sectPr>
          <w:pgSz w:w="11900" w:h="16838" w:orient="portrait"/>
          <w:cols w:equalWidth="0" w:num="1">
            <w:col w:w="11420"/>
          </w:cols>
          <w:pgMar w:left="240" w:top="58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3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40"/>
        <w:spacing w:after="0"/>
        <w:tabs>
          <w:tab w:leader="none" w:pos="48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27, 2016</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 and Principal Accounting Officer</w:t>
      </w:r>
    </w:p>
    <w:p>
      <w:pPr>
        <w:sectPr>
          <w:pgSz w:w="11900" w:h="16838" w:orient="portrait"/>
          <w:cols w:equalWidth="0" w:num="1">
            <w:col w:w="11420"/>
          </w:cols>
          <w:pgMar w:left="240" w:top="58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right="20" w:hanging="564"/>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26,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right="20" w:hanging="564"/>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26, 2016 fairly presents, in all material respects, the financial condition and results of operations of Universal Forest Products, Inc.</w:t>
      </w:r>
    </w:p>
    <w:p>
      <w:pPr>
        <w:spacing w:after="0" w:line="200" w:lineRule="exact"/>
        <w:rPr>
          <w:sz w:val="20"/>
          <w:szCs w:val="20"/>
          <w:color w:val="auto"/>
        </w:rPr>
      </w:pPr>
    </w:p>
    <w:p>
      <w:pPr>
        <w:spacing w:after="0" w:line="3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27, 2016</w:t>
      </w:r>
      <w:r>
        <w:rPr>
          <w:sz w:val="20"/>
          <w:szCs w:val="20"/>
          <w:color w:val="auto"/>
        </w:rPr>
        <w:tab/>
      </w:r>
      <w:r>
        <w:rPr>
          <w:rFonts w:ascii="Arial" w:cs="Arial" w:eastAsia="Arial" w:hAnsi="Arial"/>
          <w:sz w:val="16"/>
          <w:szCs w:val="16"/>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right="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26,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right="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26, 2016 fairly presents, in all material respects, the financial condition and results of operations of Universal Forest Products, Inc.</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April 27, 2016</w:t>
      </w:r>
      <w:r>
        <w:rPr>
          <w:sz w:val="20"/>
          <w:szCs w:val="20"/>
          <w:color w:val="auto"/>
        </w:rPr>
        <w:tab/>
      </w:r>
      <w:r>
        <w:rPr>
          <w:rFonts w:ascii="Arial" w:cs="Arial" w:eastAsia="Arial" w:hAnsi="Arial"/>
          <w:sz w:val="16"/>
          <w:szCs w:val="16"/>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3"/>
    </w:lvl>
  </w:abstractNum>
  <w:abstractNum w:abstractNumId="4">
    <w:nsid w:val="1BEFD79F"/>
    <w:multiLevelType w:val="hybridMultilevel"/>
    <w:lvl w:ilvl="0">
      <w:lvlJc w:val="left"/>
      <w:lvlText w:val="%1."/>
      <w:numFmt w:val="upperLetter"/>
      <w:start w:val="4"/>
    </w:lvl>
  </w:abstractNum>
  <w:abstractNum w:abstractNumId="5">
    <w:nsid w:val="41A7C4C9"/>
    <w:multiLevelType w:val="hybridMultilevel"/>
    <w:lvl w:ilvl="0">
      <w:lvlJc w:val="left"/>
      <w:lvlText w:val="%1."/>
      <w:numFmt w:val="upperLetter"/>
      <w:start w:val="6"/>
    </w:lvl>
  </w:abstractNum>
  <w:abstractNum w:abstractNumId="6">
    <w:nsid w:val="6B68079A"/>
    <w:multiLevelType w:val="hybridMultilevel"/>
    <w:lvl w:ilvl="0">
      <w:lvlJc w:val="left"/>
      <w:lvlText w:val="%1."/>
      <w:numFmt w:val="upperLetter"/>
      <w:start w:val="7"/>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31"/>
    </w:lvl>
    <w:lvl w:ilvl="1">
      <w:lvlJc w:val="left"/>
      <w:lvlText w:val="(%2)"/>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31"/>
    </w:lvl>
    <w:lvl w:ilvl="1">
      <w:lvlJc w:val="left"/>
      <w:lvlText w:val="(%2)"/>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2019-12-29T11:47:09Z</dcterms:created>
  <dcterms:modified xsi:type="dcterms:W3CDTF">2019-12-29T11:47:09Z</dcterms:modified>
</cp:coreProperties>
</file>