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297815</wp:posOffset>
            </wp:positionV>
            <wp:extent cx="5857240" cy="68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57240" cy="685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300"/>
        <w:spacing w:after="0"/>
        <w:rPr>
          <w:sz w:val="20"/>
          <w:szCs w:val="20"/>
          <w:color w:val="auto"/>
        </w:rPr>
      </w:pPr>
      <w:r>
        <w:rPr>
          <w:rFonts w:ascii="Arial" w:cs="Arial" w:eastAsia="Arial" w:hAnsi="Arial"/>
          <w:sz w:val="25"/>
          <w:szCs w:val="25"/>
          <w:color w:val="auto"/>
        </w:rPr>
        <w:t>SECURITIES AND EXCHANGE COMMISSION</w:t>
      </w:r>
    </w:p>
    <w:p>
      <w:pPr>
        <w:spacing w:after="0" w:line="35" w:lineRule="exact"/>
        <w:rPr>
          <w:sz w:val="24"/>
          <w:szCs w:val="24"/>
          <w:color w:val="auto"/>
        </w:rPr>
      </w:pPr>
    </w:p>
    <w:p>
      <w:pPr>
        <w:jc w:val="center"/>
        <w:ind w:right="-300"/>
        <w:spacing w:after="0"/>
        <w:rPr>
          <w:sz w:val="20"/>
          <w:szCs w:val="20"/>
          <w:color w:val="auto"/>
        </w:rPr>
      </w:pPr>
      <w:r>
        <w:rPr>
          <w:rFonts w:ascii="Arial" w:cs="Arial" w:eastAsia="Arial" w:hAnsi="Arial"/>
          <w:sz w:val="22"/>
          <w:szCs w:val="22"/>
          <w:color w:val="auto"/>
        </w:rPr>
        <w:t>Washington, D.C. 20549</w:t>
      </w:r>
    </w:p>
    <w:p>
      <w:pPr>
        <w:spacing w:after="0" w:line="184" w:lineRule="exact"/>
        <w:rPr>
          <w:sz w:val="24"/>
          <w:szCs w:val="24"/>
          <w:color w:val="auto"/>
        </w:rPr>
      </w:pPr>
    </w:p>
    <w:p>
      <w:pPr>
        <w:jc w:val="center"/>
        <w:ind w:right="-300"/>
        <w:spacing w:after="0"/>
        <w:rPr>
          <w:sz w:val="20"/>
          <w:szCs w:val="20"/>
          <w:color w:val="auto"/>
        </w:rPr>
      </w:pPr>
      <w:r>
        <w:rPr>
          <w:rFonts w:ascii="Arial" w:cs="Arial" w:eastAsia="Arial" w:hAnsi="Arial"/>
          <w:sz w:val="32"/>
          <w:szCs w:val="32"/>
          <w:b w:val="1"/>
          <w:bCs w:val="1"/>
          <w:color w:val="auto"/>
        </w:rPr>
        <w:t>FORM 11-K</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ind w:left="440" w:right="139" w:hanging="384"/>
        <w:spacing w:after="0" w:line="277" w:lineRule="auto"/>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15(d) OF THE SECURITIES EXCHANGE ACT OF 1934 [NO FEE REQUIRED].</w:t>
      </w:r>
    </w:p>
    <w:p>
      <w:pPr>
        <w:spacing w:after="0" w:line="211" w:lineRule="exact"/>
        <w:rPr>
          <w:sz w:val="24"/>
          <w:szCs w:val="24"/>
          <w:color w:val="auto"/>
        </w:rPr>
      </w:pPr>
    </w:p>
    <w:p>
      <w:pPr>
        <w:jc w:val="center"/>
        <w:ind w:right="-300"/>
        <w:spacing w:after="0"/>
        <w:rPr>
          <w:sz w:val="20"/>
          <w:szCs w:val="20"/>
          <w:color w:val="auto"/>
        </w:rPr>
      </w:pPr>
      <w:r>
        <w:rPr>
          <w:rFonts w:ascii="Arial" w:cs="Arial" w:eastAsia="Arial" w:hAnsi="Arial"/>
          <w:sz w:val="18"/>
          <w:szCs w:val="18"/>
          <w:color w:val="auto"/>
        </w:rPr>
        <w:t>For the fiscal year ended December 31, 2016</w:t>
      </w:r>
    </w:p>
    <w:p>
      <w:pPr>
        <w:spacing w:after="0" w:line="225" w:lineRule="exact"/>
        <w:rPr>
          <w:sz w:val="24"/>
          <w:szCs w:val="24"/>
          <w:color w:val="auto"/>
        </w:rPr>
      </w:pPr>
    </w:p>
    <w:p>
      <w:pPr>
        <w:jc w:val="center"/>
        <w:ind w:right="-300"/>
        <w:spacing w:after="0"/>
        <w:rPr>
          <w:sz w:val="20"/>
          <w:szCs w:val="20"/>
          <w:color w:val="auto"/>
        </w:rPr>
      </w:pPr>
      <w:r>
        <w:rPr>
          <w:rFonts w:ascii="Arial" w:cs="Arial" w:eastAsia="Arial" w:hAnsi="Arial"/>
          <w:sz w:val="18"/>
          <w:szCs w:val="18"/>
          <w:color w:val="auto"/>
        </w:rPr>
        <w:t>OR</w:t>
      </w:r>
    </w:p>
    <w:p>
      <w:pPr>
        <w:spacing w:after="0" w:line="239" w:lineRule="exact"/>
        <w:rPr>
          <w:sz w:val="24"/>
          <w:szCs w:val="24"/>
          <w:color w:val="auto"/>
        </w:rPr>
      </w:pPr>
    </w:p>
    <w:p>
      <w:pPr>
        <w:ind w:left="400" w:hanging="398"/>
        <w:spacing w:after="0"/>
        <w:tabs>
          <w:tab w:leader="none" w:pos="40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15(d) OF THE SECURITIES EXCHANGE ACT OF 1934 [NO</w:t>
      </w:r>
    </w:p>
    <w:p>
      <w:pPr>
        <w:spacing w:after="0" w:line="36" w:lineRule="exact"/>
        <w:rPr>
          <w:rFonts w:ascii="MS PGothic" w:cs="MS PGothic" w:eastAsia="MS PGothic" w:hAnsi="MS PGothic"/>
          <w:sz w:val="17"/>
          <w:szCs w:val="17"/>
          <w:color w:val="auto"/>
        </w:rPr>
      </w:pPr>
    </w:p>
    <w:p>
      <w:pPr>
        <w:ind w:left="400"/>
        <w:spacing w:after="0"/>
        <w:rPr>
          <w:rFonts w:ascii="MS PGothic" w:cs="MS PGothic" w:eastAsia="MS PGothic" w:hAnsi="MS PGothic"/>
          <w:sz w:val="17"/>
          <w:szCs w:val="17"/>
          <w:color w:val="auto"/>
        </w:rPr>
      </w:pPr>
      <w:r>
        <w:rPr>
          <w:rFonts w:ascii="Arial" w:cs="Arial" w:eastAsia="Arial" w:hAnsi="Arial"/>
          <w:sz w:val="18"/>
          <w:szCs w:val="18"/>
          <w:color w:val="auto"/>
        </w:rPr>
        <w:t>FEE REQUIRED].</w:t>
      </w:r>
    </w:p>
    <w:p>
      <w:pPr>
        <w:spacing w:after="0" w:line="209" w:lineRule="exact"/>
        <w:rPr>
          <w:sz w:val="24"/>
          <w:szCs w:val="24"/>
          <w:color w:val="auto"/>
        </w:rPr>
      </w:pPr>
    </w:p>
    <w:p>
      <w:pPr>
        <w:jc w:val="center"/>
        <w:ind w:right="-300"/>
        <w:spacing w:after="0"/>
        <w:rPr>
          <w:sz w:val="20"/>
          <w:szCs w:val="20"/>
          <w:color w:val="auto"/>
        </w:rPr>
      </w:pPr>
      <w:r>
        <w:rPr>
          <w:rFonts w:ascii="Arial" w:cs="Arial" w:eastAsia="Arial" w:hAnsi="Arial"/>
          <w:sz w:val="18"/>
          <w:szCs w:val="18"/>
          <w:color w:val="auto"/>
        </w:rPr>
        <w:t>Commission file number: 0-22684</w:t>
      </w:r>
    </w:p>
    <w:p>
      <w:pPr>
        <w:spacing w:after="0" w:line="221"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Shawnlee Construction LLC 401(k) Plan</w:t>
      </w:r>
    </w:p>
    <w:p>
      <w:pPr>
        <w:spacing w:after="0" w:line="27"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74A Taunton Street</w:t>
      </w:r>
    </w:p>
    <w:p>
      <w:pPr>
        <w:spacing w:after="0" w:line="9"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Plainville, MA 02762</w:t>
      </w:r>
    </w:p>
    <w:p>
      <w:pPr>
        <w:spacing w:after="0" w:line="211" w:lineRule="exact"/>
        <w:rPr>
          <w:sz w:val="24"/>
          <w:szCs w:val="24"/>
          <w:color w:val="auto"/>
        </w:rPr>
      </w:pPr>
    </w:p>
    <w:p>
      <w:pPr>
        <w:jc w:val="center"/>
        <w:ind w:right="-300"/>
        <w:spacing w:after="0"/>
        <w:rPr>
          <w:sz w:val="20"/>
          <w:szCs w:val="20"/>
          <w:color w:val="auto"/>
        </w:rPr>
      </w:pPr>
      <w:r>
        <w:rPr>
          <w:rFonts w:ascii="Arial" w:cs="Arial" w:eastAsia="Arial" w:hAnsi="Arial"/>
          <w:sz w:val="18"/>
          <w:szCs w:val="18"/>
          <w:color w:val="auto"/>
        </w:rPr>
        <w:t>(Full title of the plan and the address of the plan, if different from that of issuer named below)</w:t>
      </w:r>
    </w:p>
    <w:p>
      <w:pPr>
        <w:spacing w:after="0" w:line="210" w:lineRule="exact"/>
        <w:rPr>
          <w:sz w:val="24"/>
          <w:szCs w:val="24"/>
          <w:color w:val="auto"/>
        </w:rPr>
      </w:pPr>
    </w:p>
    <w:p>
      <w:pPr>
        <w:jc w:val="center"/>
        <w:ind w:right="-300"/>
        <w:spacing w:after="0"/>
        <w:rPr>
          <w:sz w:val="20"/>
          <w:szCs w:val="20"/>
          <w:color w:val="auto"/>
        </w:rPr>
      </w:pPr>
      <w:r>
        <w:rPr>
          <w:rFonts w:ascii="Arial" w:cs="Arial" w:eastAsia="Arial" w:hAnsi="Arial"/>
          <w:sz w:val="43"/>
          <w:szCs w:val="43"/>
          <w:b w:val="1"/>
          <w:bCs w:val="1"/>
          <w:color w:val="auto"/>
        </w:rPr>
        <w:t>Universal Forest Products, Inc.</w:t>
      </w:r>
    </w:p>
    <w:p>
      <w:pPr>
        <w:spacing w:after="0" w:line="50"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2801 East Beltline NE</w:t>
      </w:r>
    </w:p>
    <w:p>
      <w:pPr>
        <w:spacing w:after="0" w:line="7"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Grand Rapids, Michigan 49525-9736</w:t>
      </w:r>
    </w:p>
    <w:p>
      <w:pPr>
        <w:spacing w:after="0" w:line="9" w:lineRule="exact"/>
        <w:rPr>
          <w:sz w:val="24"/>
          <w:szCs w:val="24"/>
          <w:color w:val="auto"/>
        </w:rPr>
      </w:pPr>
    </w:p>
    <w:p>
      <w:pPr>
        <w:jc w:val="center"/>
        <w:ind w:right="-300"/>
        <w:spacing w:after="0"/>
        <w:rPr>
          <w:sz w:val="20"/>
          <w:szCs w:val="20"/>
          <w:color w:val="auto"/>
        </w:rPr>
      </w:pPr>
      <w:r>
        <w:rPr>
          <w:rFonts w:ascii="Arial" w:cs="Arial" w:eastAsia="Arial" w:hAnsi="Arial"/>
          <w:sz w:val="18"/>
          <w:szCs w:val="18"/>
          <w:color w:val="auto"/>
        </w:rPr>
        <w:t>(Name of issuer of the securities held pursuant to the plan and the address 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228600</wp:posOffset>
            </wp:positionV>
            <wp:extent cx="5857240" cy="685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57240" cy="685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30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220980</wp:posOffset>
            </wp:positionV>
            <wp:extent cx="608012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0125" cy="26035"/>
                    </a:xfrm>
                    <a:prstGeom prst="rect">
                      <a:avLst/>
                    </a:prstGeom>
                    <a:noFill/>
                  </pic:spPr>
                </pic:pic>
              </a:graphicData>
            </a:graphic>
          </wp:anchor>
        </w:drawing>
      </w:r>
    </w:p>
    <w:p>
      <w:pPr>
        <w:sectPr>
          <w:pgSz w:w="11900" w:h="16838" w:orient="portrait"/>
          <w:cols w:equalWidth="0" w:num="1">
            <w:col w:w="9299"/>
          </w:cols>
          <w:pgMar w:left="1160" w:top="233"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920" w:type="dxa"/>
            <w:vAlign w:val="bottom"/>
            <w:gridSpan w:val="8"/>
          </w:tcPr>
          <w:p>
            <w:pPr>
              <w:spacing w:after="0"/>
              <w:rPr>
                <w:sz w:val="20"/>
                <w:szCs w:val="20"/>
                <w:color w:val="auto"/>
              </w:rPr>
            </w:pPr>
            <w:r>
              <w:rPr>
                <w:rFonts w:ascii="Arial" w:cs="Arial" w:eastAsia="Arial" w:hAnsi="Arial"/>
                <w:sz w:val="18"/>
                <w:szCs w:val="18"/>
                <w:i w:val="1"/>
                <w:iCs w:val="1"/>
                <w:color w:val="0000FF"/>
              </w:rPr>
              <w:t>Table of Contents</w:t>
            </w:r>
          </w:p>
        </w:tc>
        <w:tc>
          <w:tcPr>
            <w:tcW w:w="1660" w:type="dxa"/>
            <w:vAlign w:val="bottom"/>
          </w:tcPr>
          <w:p>
            <w:pPr>
              <w:spacing w:after="0"/>
              <w:rPr>
                <w:sz w:val="17"/>
                <w:szCs w:val="17"/>
                <w:color w:val="auto"/>
              </w:rPr>
            </w:pPr>
          </w:p>
        </w:tc>
      </w:tr>
      <w:tr>
        <w:trPr>
          <w:trHeight w:val="669"/>
        </w:trPr>
        <w:tc>
          <w:tcPr>
            <w:tcW w:w="120" w:type="dxa"/>
            <w:vAlign w:val="bottom"/>
            <w:tcBorders>
              <w:top w:val="single" w:sz="8" w:color="0000FF"/>
            </w:tcBorders>
          </w:tcPr>
          <w:p>
            <w:pPr>
              <w:spacing w:after="0"/>
              <w:rPr>
                <w:sz w:val="24"/>
                <w:szCs w:val="24"/>
                <w:color w:val="auto"/>
              </w:rPr>
            </w:pPr>
          </w:p>
        </w:tc>
        <w:tc>
          <w:tcPr>
            <w:tcW w:w="1140" w:type="dxa"/>
            <w:vAlign w:val="bottom"/>
            <w:tcBorders>
              <w:top w:val="single" w:sz="8" w:color="0000FF"/>
            </w:tcBorders>
          </w:tcPr>
          <w:p>
            <w:pPr>
              <w:spacing w:after="0"/>
              <w:rPr>
                <w:sz w:val="24"/>
                <w:szCs w:val="24"/>
                <w:color w:val="auto"/>
              </w:rPr>
            </w:pPr>
          </w:p>
        </w:tc>
        <w:tc>
          <w:tcPr>
            <w:tcW w:w="1020" w:type="dxa"/>
            <w:vAlign w:val="bottom"/>
          </w:tcPr>
          <w:p>
            <w:pPr>
              <w:spacing w:after="0"/>
              <w:rPr>
                <w:sz w:val="24"/>
                <w:szCs w:val="24"/>
                <w:color w:val="auto"/>
              </w:rPr>
            </w:pPr>
          </w:p>
        </w:tc>
        <w:tc>
          <w:tcPr>
            <w:tcW w:w="5640" w:type="dxa"/>
            <w:vAlign w:val="bottom"/>
            <w:gridSpan w:val="5"/>
          </w:tcPr>
          <w:p>
            <w:pPr>
              <w:jc w:val="center"/>
              <w:ind w:right="620"/>
              <w:spacing w:after="0"/>
              <w:rPr>
                <w:sz w:val="20"/>
                <w:szCs w:val="20"/>
                <w:color w:val="auto"/>
              </w:rPr>
            </w:pPr>
            <w:r>
              <w:rPr>
                <w:rFonts w:ascii="Arial" w:cs="Arial" w:eastAsia="Arial" w:hAnsi="Arial"/>
                <w:sz w:val="18"/>
                <w:szCs w:val="18"/>
                <w:color w:val="auto"/>
                <w:w w:val="91"/>
              </w:rPr>
              <w:t>Shawnlee Construction LLC 401(k) Plan</w:t>
            </w:r>
          </w:p>
        </w:tc>
        <w:tc>
          <w:tcPr>
            <w:tcW w:w="166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40" w:type="dxa"/>
            <w:vAlign w:val="bottom"/>
            <w:gridSpan w:val="5"/>
          </w:tcPr>
          <w:p>
            <w:pPr>
              <w:jc w:val="center"/>
              <w:ind w:right="620"/>
              <w:spacing w:after="0"/>
              <w:rPr>
                <w:sz w:val="20"/>
                <w:szCs w:val="20"/>
                <w:color w:val="auto"/>
              </w:rPr>
            </w:pPr>
            <w:r>
              <w:rPr>
                <w:rFonts w:ascii="Arial" w:cs="Arial" w:eastAsia="Arial" w:hAnsi="Arial"/>
                <w:sz w:val="18"/>
                <w:szCs w:val="18"/>
                <w:color w:val="auto"/>
                <w:w w:val="88"/>
              </w:rPr>
              <w:t>Financial Statements and Supplemental Schedule</w:t>
            </w:r>
          </w:p>
        </w:tc>
        <w:tc>
          <w:tcPr>
            <w:tcW w:w="166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40" w:type="dxa"/>
            <w:vAlign w:val="bottom"/>
            <w:gridSpan w:val="5"/>
          </w:tcPr>
          <w:p>
            <w:pPr>
              <w:jc w:val="center"/>
              <w:ind w:right="600"/>
              <w:spacing w:after="0"/>
              <w:rPr>
                <w:sz w:val="20"/>
                <w:szCs w:val="20"/>
                <w:color w:val="auto"/>
              </w:rPr>
            </w:pPr>
            <w:r>
              <w:rPr>
                <w:rFonts w:ascii="Arial" w:cs="Arial" w:eastAsia="Arial" w:hAnsi="Arial"/>
                <w:sz w:val="18"/>
                <w:szCs w:val="18"/>
                <w:color w:val="auto"/>
                <w:w w:val="88"/>
              </w:rPr>
              <w:t>Years Ended December 31, 2016 and 2015</w:t>
            </w:r>
          </w:p>
        </w:tc>
        <w:tc>
          <w:tcPr>
            <w:tcW w:w="166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20" w:type="dxa"/>
            <w:vAlign w:val="bottom"/>
            <w:gridSpan w:val="2"/>
          </w:tcPr>
          <w:p>
            <w:pPr>
              <w:jc w:val="center"/>
              <w:ind w:right="2740"/>
              <w:spacing w:after="0"/>
              <w:rPr>
                <w:sz w:val="20"/>
                <w:szCs w:val="20"/>
                <w:color w:val="auto"/>
              </w:rPr>
            </w:pPr>
            <w:r>
              <w:rPr>
                <w:rFonts w:ascii="Arial" w:cs="Arial" w:eastAsia="Arial" w:hAnsi="Arial"/>
                <w:sz w:val="18"/>
                <w:szCs w:val="18"/>
                <w:b w:val="1"/>
                <w:bCs w:val="1"/>
                <w:color w:val="auto"/>
                <w:w w:val="89"/>
              </w:rPr>
              <w:t>Contents</w:t>
            </w:r>
          </w:p>
        </w:tc>
        <w:tc>
          <w:tcPr>
            <w:tcW w:w="1660" w:type="dxa"/>
            <w:vAlign w:val="bottom"/>
          </w:tcPr>
          <w:p>
            <w:pPr>
              <w:spacing w:after="0"/>
              <w:rPr>
                <w:sz w:val="24"/>
                <w:szCs w:val="24"/>
                <w:color w:val="auto"/>
              </w:rPr>
            </w:pPr>
          </w:p>
        </w:tc>
      </w:tr>
      <w:tr>
        <w:trPr>
          <w:trHeight w:val="351"/>
        </w:trPr>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96"/>
        </w:trPr>
        <w:tc>
          <w:tcPr>
            <w:tcW w:w="7920" w:type="dxa"/>
            <w:vAlign w:val="bottom"/>
            <w:gridSpan w:val="8"/>
            <w:shd w:val="clear" w:color="auto" w:fill="CCEEFF"/>
          </w:tcPr>
          <w:p>
            <w:pPr>
              <w:ind w:left="1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Report of Independent Registered Public Accounting Firm</w:t>
              </w:r>
            </w:hyperlink>
          </w:p>
        </w:tc>
        <w:tc>
          <w:tcPr>
            <w:tcW w:w="1660" w:type="dxa"/>
            <w:vAlign w:val="bottom"/>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3</w:t>
            </w:r>
          </w:p>
        </w:tc>
      </w:tr>
      <w:tr>
        <w:trPr>
          <w:trHeight w:val="216"/>
        </w:trPr>
        <w:tc>
          <w:tcPr>
            <w:tcW w:w="120" w:type="dxa"/>
            <w:vAlign w:val="bottom"/>
            <w:tcBorders>
              <w:top w:val="single" w:sz="8" w:color="CCEEFF"/>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r>
      <w:tr>
        <w:trPr>
          <w:trHeight w:val="216"/>
        </w:trPr>
        <w:tc>
          <w:tcPr>
            <w:tcW w:w="7920" w:type="dxa"/>
            <w:vAlign w:val="bottom"/>
            <w:gridSpan w:val="8"/>
            <w:shd w:val="clear" w:color="auto" w:fill="CCEEFF"/>
          </w:tcPr>
          <w:p>
            <w:pPr>
              <w:ind w:left="120"/>
              <w:spacing w:after="0"/>
              <w:rPr>
                <w:sz w:val="20"/>
                <w:szCs w:val="20"/>
                <w:color w:val="auto"/>
              </w:rPr>
            </w:pPr>
            <w:r>
              <w:rPr>
                <w:rFonts w:ascii="Arial" w:cs="Arial" w:eastAsia="Arial" w:hAnsi="Arial"/>
                <w:sz w:val="18"/>
                <w:szCs w:val="18"/>
                <w:color w:val="auto"/>
              </w:rPr>
              <w:t>Financial Statements</w:t>
            </w:r>
          </w:p>
        </w:tc>
        <w:tc>
          <w:tcPr>
            <w:tcW w:w="166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176"/>
        </w:trPr>
        <w:tc>
          <w:tcPr>
            <w:tcW w:w="7920" w:type="dxa"/>
            <w:vAlign w:val="bottom"/>
            <w:gridSpan w:val="8"/>
            <w:shd w:val="clear" w:color="auto" w:fill="CCEEFF"/>
          </w:tcPr>
          <w:p>
            <w:pPr>
              <w:ind w:left="12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Statements of Net Assets Available for Benefits</w:t>
              </w:r>
            </w:hyperlink>
          </w:p>
        </w:tc>
        <w:tc>
          <w:tcPr>
            <w:tcW w:w="1660" w:type="dxa"/>
            <w:vAlign w:val="bottom"/>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4</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920" w:type="dxa"/>
            <w:vAlign w:val="bottom"/>
            <w:gridSpan w:val="8"/>
          </w:tcPr>
          <w:p>
            <w:pPr>
              <w:ind w:left="12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Statements of Changes in Net Assets Available for Benefits</w:t>
              </w:r>
            </w:hyperlink>
          </w:p>
        </w:tc>
        <w:tc>
          <w:tcPr>
            <w:tcW w:w="1660" w:type="dxa"/>
            <w:vAlign w:val="bottom"/>
          </w:tcPr>
          <w:p>
            <w:pPr>
              <w:jc w:val="right"/>
              <w:ind w:right="30"/>
              <w:spacing w:after="0" w:line="176" w:lineRule="exact"/>
              <w:rPr>
                <w:sz w:val="20"/>
                <w:szCs w:val="20"/>
                <w:color w:val="auto"/>
              </w:rPr>
            </w:pPr>
            <w:r>
              <w:rPr>
                <w:rFonts w:ascii="Arial" w:cs="Arial" w:eastAsia="Arial" w:hAnsi="Arial"/>
                <w:sz w:val="18"/>
                <w:szCs w:val="18"/>
                <w:color w:val="auto"/>
              </w:rPr>
              <w:t>5</w:t>
            </w:r>
          </w:p>
        </w:tc>
      </w:tr>
      <w:tr>
        <w:trPr>
          <w:trHeight w:val="21"/>
        </w:trPr>
        <w:tc>
          <w:tcPr>
            <w:tcW w:w="120" w:type="dxa"/>
            <w:vAlign w:val="bottom"/>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7920" w:type="dxa"/>
            <w:vAlign w:val="bottom"/>
            <w:gridSpan w:val="8"/>
            <w:shd w:val="clear" w:color="auto" w:fill="CCEEFF"/>
          </w:tcPr>
          <w:p>
            <w:pPr>
              <w:ind w:left="12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1660" w:type="dxa"/>
            <w:vAlign w:val="bottom"/>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6</w:t>
            </w:r>
          </w:p>
        </w:tc>
      </w:tr>
      <w:tr>
        <w:trPr>
          <w:trHeight w:val="216"/>
        </w:trPr>
        <w:tc>
          <w:tcPr>
            <w:tcW w:w="120" w:type="dxa"/>
            <w:vAlign w:val="bottom"/>
            <w:tcBorders>
              <w:top w:val="single" w:sz="8" w:color="CCEEFF"/>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r>
      <w:tr>
        <w:trPr>
          <w:trHeight w:val="216"/>
        </w:trPr>
        <w:tc>
          <w:tcPr>
            <w:tcW w:w="7920" w:type="dxa"/>
            <w:vAlign w:val="bottom"/>
            <w:gridSpan w:val="8"/>
            <w:shd w:val="clear" w:color="auto" w:fill="CCEEFF"/>
          </w:tcPr>
          <w:p>
            <w:pPr>
              <w:ind w:left="120"/>
              <w:spacing w:after="0"/>
              <w:rPr>
                <w:sz w:val="20"/>
                <w:szCs w:val="20"/>
                <w:color w:val="auto"/>
              </w:rPr>
            </w:pPr>
            <w:r>
              <w:rPr>
                <w:rFonts w:ascii="Arial" w:cs="Arial" w:eastAsia="Arial" w:hAnsi="Arial"/>
                <w:sz w:val="18"/>
                <w:szCs w:val="18"/>
                <w:color w:val="auto"/>
              </w:rPr>
              <w:t>Supplemental Schedule</w:t>
            </w:r>
          </w:p>
        </w:tc>
        <w:tc>
          <w:tcPr>
            <w:tcW w:w="166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176"/>
        </w:trPr>
        <w:tc>
          <w:tcPr>
            <w:tcW w:w="7920" w:type="dxa"/>
            <w:vAlign w:val="bottom"/>
            <w:gridSpan w:val="8"/>
            <w:shd w:val="clear" w:color="auto" w:fill="CCEEFF"/>
          </w:tcPr>
          <w:p>
            <w:pPr>
              <w:ind w:left="120"/>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Schedule H, Line 4i—Schedule of Assets (Held at End of Year)</w:t>
              </w:r>
            </w:hyperlink>
          </w:p>
        </w:tc>
        <w:tc>
          <w:tcPr>
            <w:tcW w:w="1660" w:type="dxa"/>
            <w:vAlign w:val="bottom"/>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12</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220980</wp:posOffset>
            </wp:positionV>
            <wp:extent cx="608012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0125" cy="26035"/>
                    </a:xfrm>
                    <a:prstGeom prst="rect">
                      <a:avLst/>
                    </a:prstGeom>
                    <a:noFill/>
                  </pic:spPr>
                </pic:pic>
              </a:graphicData>
            </a:graphic>
          </wp:anchor>
        </w:drawing>
      </w:r>
    </w:p>
    <w:p>
      <w:pPr>
        <w:sectPr>
          <w:pgSz w:w="11900" w:h="16838" w:orient="portrait"/>
          <w:cols w:equalWidth="0" w:num="1">
            <w:col w:w="9580"/>
          </w:cols>
          <w:pgMar w:left="1160" w:top="108" w:right="115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Plan Administrator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Shawnlee Construction LLC 401(k)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Plainville, Massachusetts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statements of net assets available for benefits of the Shawnlee Construction LLC 401(k) Plan (the “Plan”) as of December 31, 2016 and 2015, and the related statements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2016 and 2015, and the changes in net assets available for benefits for the years then ended, in conformity with accounting principles generally accepted in the United States of America.</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accompanying supplemental Schedule of Assets (Held at End of Year) as of December 31, 2016 has been subjected to audit procedures performed in conjunction with the audit of the Plan’s financial statements. The supplemental schedule is the responsibility of the Plan’s management. Our audit procedures included determining whether the supplemental schedule reconciles to the financial statements or the underlying accounting and other records, as applicable, and performing procedures to test the completeness and accuracy of the information presented in the supplemental schedule. In forming our opinion on the supplemental schedule, we evaluated whether the supplemental schedule, including its form and content, is presented in conformity with the Department of Labor’s Rules and Regulations for Reporting and Disclosure under the Employee Retirement Income Security Act of 1974. In our opinion, the supplemental schedule is fairly stated, in all material respects, in relation to the financial statements as a whole.</w:t>
      </w:r>
    </w:p>
    <w:p>
      <w:pPr>
        <w:spacing w:after="0" w:line="35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BDO USA, LLP</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Grand Rapids, Michigan</w:t>
      </w:r>
    </w:p>
    <w:p>
      <w:pPr>
        <w:spacing w:after="0" w:line="7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June 21, 2017</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220980</wp:posOffset>
            </wp:positionV>
            <wp:extent cx="608012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0125" cy="26035"/>
                    </a:xfrm>
                    <a:prstGeom prst="rect">
                      <a:avLst/>
                    </a:prstGeom>
                    <a:noFill/>
                  </pic:spPr>
                </pic:pic>
              </a:graphicData>
            </a:graphic>
          </wp:anchor>
        </w:drawing>
      </w:r>
    </w:p>
    <w:p>
      <w:pPr>
        <w:sectPr>
          <w:pgSz w:w="11900" w:h="16838" w:orient="portrait"/>
          <w:cols w:equalWidth="0" w:num="1">
            <w:col w:w="9580"/>
          </w:cols>
          <w:pgMar w:left="1160" w:top="125" w:right="11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780" w:type="dxa"/>
            <w:vAlign w:val="bottom"/>
            <w:gridSpan w:val="2"/>
          </w:tcPr>
          <w:p>
            <w:pPr>
              <w:spacing w:after="0"/>
              <w:rPr>
                <w:sz w:val="20"/>
                <w:szCs w:val="20"/>
                <w:color w:val="auto"/>
              </w:rPr>
            </w:pPr>
            <w:r>
              <w:rPr>
                <w:rFonts w:ascii="Arial" w:cs="Arial" w:eastAsia="Arial" w:hAnsi="Arial"/>
                <w:sz w:val="18"/>
                <w:szCs w:val="18"/>
                <w:i w:val="1"/>
                <w:iCs w:val="1"/>
                <w:color w:val="0000FF"/>
              </w:rPr>
              <w:t>Table of Contents</w:t>
            </w:r>
          </w:p>
        </w:tc>
        <w:tc>
          <w:tcPr>
            <w:tcW w:w="3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5"/>
        </w:trPr>
        <w:tc>
          <w:tcPr>
            <w:tcW w:w="1260" w:type="dxa"/>
            <w:vAlign w:val="bottom"/>
            <w:tcBorders>
              <w:top w:val="single" w:sz="8" w:color="0000FF"/>
            </w:tcBorders>
          </w:tcPr>
          <w:p>
            <w:pPr>
              <w:spacing w:after="0"/>
              <w:rPr>
                <w:sz w:val="24"/>
                <w:szCs w:val="24"/>
                <w:color w:val="auto"/>
              </w:rPr>
            </w:pPr>
          </w:p>
        </w:tc>
        <w:tc>
          <w:tcPr>
            <w:tcW w:w="1520" w:type="dxa"/>
            <w:vAlign w:val="bottom"/>
          </w:tcPr>
          <w:p>
            <w:pPr>
              <w:spacing w:after="0"/>
              <w:rPr>
                <w:sz w:val="24"/>
                <w:szCs w:val="24"/>
                <w:color w:val="auto"/>
              </w:rPr>
            </w:pPr>
          </w:p>
        </w:tc>
        <w:tc>
          <w:tcPr>
            <w:tcW w:w="3740" w:type="dxa"/>
            <w:vAlign w:val="bottom"/>
            <w:gridSpan w:val="2"/>
          </w:tcPr>
          <w:p>
            <w:pPr>
              <w:jc w:val="right"/>
              <w:ind w:right="170"/>
              <w:spacing w:after="0"/>
              <w:rPr>
                <w:sz w:val="20"/>
                <w:szCs w:val="20"/>
                <w:color w:val="auto"/>
              </w:rPr>
            </w:pPr>
            <w:r>
              <w:rPr>
                <w:rFonts w:ascii="Arial" w:cs="Arial" w:eastAsia="Arial" w:hAnsi="Arial"/>
                <w:sz w:val="18"/>
                <w:szCs w:val="18"/>
                <w:color w:val="auto"/>
              </w:rPr>
              <w:t>Shawnlee Construction LLC 401(k) Plan</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w w:val="98"/>
              </w:rPr>
              <w:t>Statements of Net Assets Available for Benefits</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7"/>
        </w:trPr>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December 31</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31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89"/>
              </w:rPr>
              <w:t>2016</w:t>
            </w:r>
          </w:p>
        </w:tc>
        <w:tc>
          <w:tcPr>
            <w:tcW w:w="4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03"/>
        </w:trPr>
        <w:tc>
          <w:tcPr>
            <w:tcW w:w="2780" w:type="dxa"/>
            <w:vAlign w:val="bottom"/>
            <w:gridSpan w:val="2"/>
            <w:vMerge w:val="continue"/>
          </w:tcPr>
          <w:p>
            <w:pPr>
              <w:spacing w:after="0"/>
              <w:rPr>
                <w:sz w:val="17"/>
                <w:szCs w:val="17"/>
                <w:color w:val="auto"/>
              </w:rPr>
            </w:pPr>
          </w:p>
        </w:tc>
        <w:tc>
          <w:tcPr>
            <w:tcW w:w="3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37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8,530,503</w:t>
            </w:r>
          </w:p>
        </w:tc>
        <w:tc>
          <w:tcPr>
            <w:tcW w:w="4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7,770,116</w:t>
            </w: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Notes receivable from participants</w:t>
            </w:r>
          </w:p>
        </w:tc>
        <w:tc>
          <w:tcPr>
            <w:tcW w:w="3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304,648</w:t>
            </w: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262,248</w:t>
            </w:r>
          </w:p>
        </w:tc>
        <w:tc>
          <w:tcPr>
            <w:tcW w:w="0" w:type="dxa"/>
            <w:vAlign w:val="bottom"/>
          </w:tcPr>
          <w:p>
            <w:pPr>
              <w:spacing w:after="0"/>
              <w:rPr>
                <w:sz w:val="1"/>
                <w:szCs w:val="1"/>
                <w:color w:val="auto"/>
              </w:rPr>
            </w:pP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Employer contribution receivable</w:t>
            </w:r>
          </w:p>
        </w:tc>
        <w:tc>
          <w:tcPr>
            <w:tcW w:w="3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21,258</w:t>
            </w:r>
          </w:p>
        </w:tc>
        <w:tc>
          <w:tcPr>
            <w:tcW w:w="4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17,450</w:t>
            </w:r>
          </w:p>
        </w:tc>
        <w:tc>
          <w:tcPr>
            <w:tcW w:w="0" w:type="dxa"/>
            <w:vAlign w:val="bottom"/>
          </w:tcPr>
          <w:p>
            <w:pPr>
              <w:spacing w:after="0"/>
              <w:rPr>
                <w:sz w:val="1"/>
                <w:szCs w:val="1"/>
                <w:color w:val="auto"/>
              </w:rPr>
            </w:pPr>
          </w:p>
        </w:tc>
      </w:tr>
      <w:tr>
        <w:trPr>
          <w:trHeight w:val="217"/>
        </w:trPr>
        <w:tc>
          <w:tcPr>
            <w:tcW w:w="278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3120" w:type="dxa"/>
            <w:vAlign w:val="bottom"/>
          </w:tcPr>
          <w:p>
            <w:pPr>
              <w:spacing w:after="0"/>
              <w:rPr>
                <w:sz w:val="18"/>
                <w:szCs w:val="18"/>
                <w:color w:val="auto"/>
              </w:rPr>
            </w:pPr>
          </w:p>
        </w:tc>
        <w:tc>
          <w:tcPr>
            <w:tcW w:w="6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8,856,409</w:t>
            </w:r>
          </w:p>
        </w:tc>
        <w:tc>
          <w:tcPr>
            <w:tcW w:w="420" w:type="dxa"/>
            <w:vAlign w:val="bottom"/>
          </w:tcPr>
          <w:p>
            <w:pPr>
              <w:spacing w:after="0"/>
              <w:rPr>
                <w:sz w:val="18"/>
                <w:szCs w:val="18"/>
                <w:color w:val="auto"/>
              </w:rPr>
            </w:pPr>
          </w:p>
        </w:tc>
        <w:tc>
          <w:tcPr>
            <w:tcW w:w="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8,049,814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220980</wp:posOffset>
            </wp:positionV>
            <wp:extent cx="608012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0125" cy="26035"/>
                    </a:xfrm>
                    <a:prstGeom prst="rect">
                      <a:avLst/>
                    </a:prstGeom>
                    <a:noFill/>
                  </pic:spPr>
                </pic:pic>
              </a:graphicData>
            </a:graphic>
          </wp:anchor>
        </w:drawing>
      </w:r>
    </w:p>
    <w:p>
      <w:pPr>
        <w:sectPr>
          <w:pgSz w:w="11900" w:h="16838" w:orient="portrait"/>
          <w:cols w:equalWidth="0" w:num="1">
            <w:col w:w="9580"/>
          </w:cols>
          <w:pgMar w:left="1160" w:top="108" w:right="115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Shawnlee Construction LLC 401(k)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Changes in Net Assets Available for Benefits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223"/>
        </w:trPr>
        <w:tc>
          <w:tcPr>
            <w:tcW w:w="6000" w:type="dxa"/>
            <w:vAlign w:val="bottom"/>
            <w:vMerge w:val="restart"/>
          </w:tcPr>
          <w:p>
            <w:pPr>
              <w:spacing w:after="0"/>
              <w:rPr>
                <w:sz w:val="20"/>
                <w:szCs w:val="20"/>
                <w:color w:val="auto"/>
              </w:rPr>
            </w:pPr>
            <w:r>
              <w:rPr>
                <w:rFonts w:ascii="Arial" w:cs="Arial" w:eastAsia="Arial" w:hAnsi="Arial"/>
                <w:sz w:val="18"/>
                <w:szCs w:val="18"/>
                <w:b w:val="1"/>
                <w:bCs w:val="1"/>
                <w:color w:val="auto"/>
              </w:rPr>
              <w:t>Additions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02"/>
        </w:trPr>
        <w:tc>
          <w:tcPr>
            <w:tcW w:w="60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Investment income:</w:t>
            </w: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 and interest income</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114,549</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108,282</w:t>
            </w:r>
          </w:p>
        </w:tc>
        <w:tc>
          <w:tcPr>
            <w:tcW w:w="0" w:type="dxa"/>
            <w:vAlign w:val="bottom"/>
          </w:tcPr>
          <w:p>
            <w:pPr>
              <w:spacing w:after="0"/>
              <w:rPr>
                <w:sz w:val="1"/>
                <w:szCs w:val="1"/>
                <w:color w:val="auto"/>
              </w:rPr>
            </w:pPr>
          </w:p>
        </w:tc>
      </w:tr>
      <w:tr>
        <w:trPr>
          <w:trHeight w:val="216"/>
        </w:trPr>
        <w:tc>
          <w:tcPr>
            <w:tcW w:w="6000" w:type="dxa"/>
            <w:vAlign w:val="bottom"/>
          </w:tcPr>
          <w:p>
            <w:pPr>
              <w:ind w:left="180"/>
              <w:spacing w:after="0"/>
              <w:rPr>
                <w:sz w:val="20"/>
                <w:szCs w:val="20"/>
                <w:color w:val="auto"/>
              </w:rPr>
            </w:pPr>
            <w:r>
              <w:rPr>
                <w:rFonts w:ascii="Arial" w:cs="Arial" w:eastAsia="Arial" w:hAnsi="Arial"/>
                <w:sz w:val="18"/>
                <w:szCs w:val="18"/>
                <w:color w:val="auto"/>
              </w:rPr>
              <w:t>Net appreciation in fair value of common stocks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365,914</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182,193</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appreciation in fair value of common collective trust funds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2,468</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16"/>
        </w:trPr>
        <w:tc>
          <w:tcPr>
            <w:tcW w:w="6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appreciation (depreciation) in fair value of mutual funds</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409,298</w:t>
            </w:r>
          </w:p>
        </w:tc>
        <w:tc>
          <w:tcPr>
            <w:tcW w:w="3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(138,473)</w:t>
            </w: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892,229</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154,262</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Participant contributions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512,302</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450,448</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108,723</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95,660</w:t>
            </w:r>
          </w:p>
        </w:tc>
        <w:tc>
          <w:tcPr>
            <w:tcW w:w="0" w:type="dxa"/>
            <w:vAlign w:val="bottom"/>
          </w:tcPr>
          <w:p>
            <w:pPr>
              <w:spacing w:after="0"/>
              <w:rPr>
                <w:sz w:val="1"/>
                <w:szCs w:val="1"/>
                <w:color w:val="auto"/>
              </w:rPr>
            </w:pPr>
          </w:p>
        </w:tc>
      </w:tr>
      <w:tr>
        <w:trPr>
          <w:trHeight w:val="216"/>
        </w:trPr>
        <w:tc>
          <w:tcPr>
            <w:tcW w:w="6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from notes receivable from participants</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14,562</w:t>
            </w:r>
          </w:p>
        </w:tc>
        <w:tc>
          <w:tcPr>
            <w:tcW w:w="3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13,021</w:t>
            </w: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Additions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1,527,816</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713,391</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b w:val="1"/>
                <w:bCs w:val="1"/>
                <w:color w:val="auto"/>
              </w:rPr>
              <w:t>Deductions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participants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(698,027)</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(326,673)</w:t>
            </w:r>
          </w:p>
        </w:tc>
        <w:tc>
          <w:tcPr>
            <w:tcW w:w="0" w:type="dxa"/>
            <w:vAlign w:val="bottom"/>
          </w:tcPr>
          <w:p>
            <w:pPr>
              <w:spacing w:after="0"/>
              <w:rPr>
                <w:sz w:val="1"/>
                <w:szCs w:val="1"/>
                <w:color w:val="auto"/>
              </w:rPr>
            </w:pPr>
          </w:p>
        </w:tc>
      </w:tr>
      <w:tr>
        <w:trPr>
          <w:trHeight w:val="216"/>
        </w:trPr>
        <w:tc>
          <w:tcPr>
            <w:tcW w:w="6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Administrative expenses</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(23,194)</w:t>
            </w:r>
          </w:p>
        </w:tc>
        <w:tc>
          <w:tcPr>
            <w:tcW w:w="3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(26,212)</w:t>
            </w: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Deductions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(721,221)</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(352,885)</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Net increase</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806,595</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360,506</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Transfers out (Note 3)</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(21,926)</w:t>
            </w:r>
          </w:p>
        </w:tc>
        <w:tc>
          <w:tcPr>
            <w:tcW w:w="0" w:type="dxa"/>
            <w:vAlign w:val="bottom"/>
          </w:tcPr>
          <w:p>
            <w:pPr>
              <w:spacing w:after="0"/>
              <w:rPr>
                <w:sz w:val="1"/>
                <w:szCs w:val="1"/>
                <w:color w:val="auto"/>
              </w:rPr>
            </w:pPr>
          </w:p>
        </w:tc>
      </w:tr>
      <w:tr>
        <w:trPr>
          <w:trHeight w:val="216"/>
        </w:trPr>
        <w:tc>
          <w:tcPr>
            <w:tcW w:w="6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assets available for benefits at beginning of year</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8,049,814</w:t>
            </w:r>
          </w:p>
        </w:tc>
        <w:tc>
          <w:tcPr>
            <w:tcW w:w="3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7,711,234</w:t>
            </w:r>
          </w:p>
        </w:tc>
        <w:tc>
          <w:tcPr>
            <w:tcW w:w="0" w:type="dxa"/>
            <w:vAlign w:val="bottom"/>
          </w:tcPr>
          <w:p>
            <w:pPr>
              <w:spacing w:after="0"/>
              <w:rPr>
                <w:sz w:val="1"/>
                <w:szCs w:val="1"/>
                <w:color w:val="auto"/>
              </w:rPr>
            </w:pPr>
          </w:p>
        </w:tc>
      </w:tr>
      <w:tr>
        <w:trPr>
          <w:trHeight w:val="217"/>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available for benefits at end of year</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8,856,409</w:t>
            </w:r>
          </w:p>
        </w:tc>
        <w:tc>
          <w:tcPr>
            <w:tcW w:w="3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8,049,814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220980</wp:posOffset>
            </wp:positionV>
            <wp:extent cx="60801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0125" cy="17145"/>
                    </a:xfrm>
                    <a:prstGeom prst="rect">
                      <a:avLst/>
                    </a:prstGeom>
                    <a:noFill/>
                  </pic:spPr>
                </pic:pic>
              </a:graphicData>
            </a:graphic>
          </wp:anchor>
        </w:drawing>
      </w:r>
    </w:p>
    <w:p>
      <w:pPr>
        <w:sectPr>
          <w:pgSz w:w="11900" w:h="16838" w:orient="portrait"/>
          <w:cols w:equalWidth="0" w:num="1">
            <w:col w:w="9580"/>
          </w:cols>
          <w:pgMar w:left="1160" w:top="125" w:right="115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Shawnlee Construction LLC 401(k)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6700" w:firstLine="2"/>
        <w:spacing w:after="0" w:line="604" w:lineRule="auto"/>
        <w:tabs>
          <w:tab w:leader="none" w:pos="504"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Significant Accounting Policies Recent Accounting Pronouncements</w:t>
      </w:r>
    </w:p>
    <w:p>
      <w:pPr>
        <w:jc w:val="both"/>
        <w:spacing w:after="0" w:line="272" w:lineRule="auto"/>
        <w:rPr>
          <w:sz w:val="20"/>
          <w:szCs w:val="20"/>
          <w:color w:val="auto"/>
        </w:rPr>
      </w:pPr>
      <w:r>
        <w:rPr>
          <w:rFonts w:ascii="Arial" w:cs="Arial" w:eastAsia="Arial" w:hAnsi="Arial"/>
          <w:sz w:val="17"/>
          <w:szCs w:val="17"/>
          <w:color w:val="auto"/>
        </w:rPr>
        <w:t>In May 2015, the Financial Accounting Standards Board ("FASB") issued Accounting Standards Update 2015-07 “Disclosures for Investments in Certain Entities that Calculate Net Asset Value Per Share (or its Equivalent),” (“ASU 2015-07”). ASU 2015-07 removes the requirement to categorize within the fair value hierarchy investments for which fair values are estimated using the net asset value practical expedient provided by Accounting Standards Codification 820, Fair Value Measurement. Disclosures about investments in certain entities that calculate net asset value per share are limited under ASU 2015-07 to those investments for which the entity has elected to estimate the fair value using the net asset value practical expedient. ASU 2015-07 is effective for fiscal years beginning after December 15, 2015, with early adoption permitted.</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July 2015, the FASB issued Accounting Standards Update 2015-12 “Plan Accounting: Defined Benefit Pension Plans (Topic 960), Defined Contribution Plans (Topic 962), Health and Welfare Benefit Plans (Topic 965)” (“ASU 2015-12”). The amendments in Part I of ASU 2015-12 eliminated the requirements that employee benefit plans measure the fair value of fully benefit–responsive investment contracts and provide the related fair value disclosures, rather these contracts will be measured and disclosed only at contract value. The amendments in Part II of ASU 2015-12 will require plans to disaggregate their investments measured using fair value only by general type, either on the financial statements or in the notes. Part II also eliminated the requirement to disclose the net appreciation/depreciation in fair value of investments by general type and the requirements to disclose individual investments that represent 5% or more of net assets available for benefits. The amendments in Part III of ASU 2015-12 provide a practical expedient to permit plans to measure its investments and investment related accounts as of a month-end date closest to its fiscal year for a plan with a fiscal year end that does not coincide with the end of a calendar month. The amendments in ASU 2015-12 are effective for reporting periods beginning after December 15, 2015, with early adoption permitted. As such, we early adopted ASU 2015-07 and ASU 2015-12 as of the year ended December 31, 2015. In regards to the early adoption of ASU 2015-07, the adoption of this standard did not have a material impact on the financial statements. In regards to the early adoption of ASU 2015-12, the adoption was applied retrospectively and certain reclassifications were made on the Statement of Net Assets Available for Benefits to present comparative statements and certain investment disclosures were revised or eliminated as a result of the adoption of this ASU.</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Accounting</w:t>
      </w:r>
    </w:p>
    <w:p>
      <w:pPr>
        <w:spacing w:after="0" w:line="2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financial statements of the Shawnlee Construction LLC (Plan Sponsor) 401(k) Plan (the Plan) are presented on the accrual method of accounting.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reported amounts. Although actual results could differ from these estimates, management believes estimated amounts recorded are reasonable and appropriate.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Plan utilizes various investment instruments. Investment securities, in general, are exposed to various risks, such as interest rate, credit, and overall market volatility. Due to the level of risk associated with certain investment securities, it is reasonably possible that changes in the values of investment securities will occur in the near term and that such changes could materially affect participants’ account balances and the amounts reported in the financial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220980</wp:posOffset>
            </wp:positionV>
            <wp:extent cx="60801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80125" cy="17145"/>
                    </a:xfrm>
                    <a:prstGeom prst="rect">
                      <a:avLst/>
                    </a:prstGeom>
                    <a:noFill/>
                  </pic:spPr>
                </pic:pic>
              </a:graphicData>
            </a:graphic>
          </wp:anchor>
        </w:drawing>
      </w:r>
    </w:p>
    <w:p>
      <w:pPr>
        <w:sectPr>
          <w:pgSz w:w="11900" w:h="16838" w:orient="portrait"/>
          <w:cols w:equalWidth="0" w:num="1">
            <w:col w:w="9580"/>
          </w:cols>
          <w:pgMar w:left="1160" w:top="125" w:right="115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Shawnlee Construction LLC 401(k) Plan</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 and Income Recognition</w:t>
      </w:r>
    </w:p>
    <w:p>
      <w:pPr>
        <w:spacing w:after="0" w:line="25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Plan’s investments are stated at fair value. Fair value is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23"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Inputs to valuation techniques refer to the assumptions that market participants would use in pricing the asset or liability. The Plan utilizes a fair value hierarchy for valuation inputs that gives the highest priority to quoted prices in active markets for identical assets (Level 1 measurements) and the lowest priority to unobservable inputs (Level 3 measurements). A financial instrument’s level within the fair value hierarchy is based on the lowest level of any input that is significant to the fair value measurement. The following provides a description of the three levels of inputs that may be used to measure fair value:</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Unadjusted quoted prices in active markets that are accessible at the measurement date for identical, unrestricted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12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Significant observable inputs such as quoted prices for similar assets or liabilities in active markets, quoted prices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identical or similar assets or liabilities in inactive markets, inputs other than quoted prices that are observable or can be derived from or corroborated by observable market data by correlation or other means.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 Prices or valuations that require inputs that are both significant to the fair value measurement and unobservable.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valuation methodologies were used to measure the fair value of the Plan’s investments: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Valued at quoted market prices in an exchange and active market in which the securities are traded.</w:t>
      </w:r>
    </w:p>
    <w:p>
      <w:pPr>
        <w:spacing w:after="0" w:line="14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i w:val="1"/>
          <w:iCs w:val="1"/>
          <w:color w:val="auto"/>
        </w:rPr>
        <w:t xml:space="preserve">Mutual Funds: </w:t>
      </w:r>
      <w:r>
        <w:rPr>
          <w:rFonts w:ascii="Arial" w:cs="Arial" w:eastAsia="Arial" w:hAnsi="Arial"/>
          <w:sz w:val="18"/>
          <w:szCs w:val="18"/>
          <w:color w:val="auto"/>
        </w:rPr>
        <w:t>Valued at quoted market prices in an exchange and active market, which represent the net asset values of shares held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Plan.</w:t>
      </w:r>
    </w:p>
    <w:p>
      <w:pPr>
        <w:spacing w:after="0" w:line="12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i w:val="1"/>
          <w:iCs w:val="1"/>
          <w:color w:val="auto"/>
        </w:rPr>
        <w:t xml:space="preserve">Common Collective Trust Funds: </w:t>
      </w:r>
      <w:r>
        <w:rPr>
          <w:rFonts w:ascii="Arial" w:cs="Arial" w:eastAsia="Arial" w:hAnsi="Arial"/>
          <w:sz w:val="18"/>
          <w:szCs w:val="18"/>
          <w:color w:val="auto"/>
        </w:rPr>
        <w:t>The fair value of participation units held in Principal Global Investors Trust Company (formally</w:t>
      </w:r>
      <w:r>
        <w:rPr>
          <w:rFonts w:ascii="Arial" w:cs="Arial" w:eastAsia="Arial" w:hAnsi="Arial"/>
          <w:sz w:val="18"/>
          <w:szCs w:val="18"/>
          <w:i w:val="1"/>
          <w:iCs w:val="1"/>
          <w:color w:val="auto"/>
        </w:rPr>
        <w:t xml:space="preserve"> </w:t>
      </w:r>
      <w:r>
        <w:rPr>
          <w:rFonts w:ascii="Arial" w:cs="Arial" w:eastAsia="Arial" w:hAnsi="Arial"/>
          <w:sz w:val="18"/>
          <w:szCs w:val="18"/>
          <w:color w:val="auto"/>
        </w:rPr>
        <w:t>known as “Union Bond &amp; Trust Company”) Stable Value Fund, often referred to as "Morley Stable Value Fund", are based on net asset value, which is obtained on audited information reported by the issuer of the common collective trust at year-end, and is used as a practical expedient.</w:t>
      </w:r>
    </w:p>
    <w:p>
      <w:pPr>
        <w:spacing w:after="0" w:line="122"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The Plan’s valuation methods may result in a fair value calculation that may not be indicative of net realizable value or reflective of future fair values. Although Plan management believes the valuation methods are appropriate and consistent with those participating in the market, the use of different methodologies or assumptions to determine the fair value of certain financial instruments could result in a different fair value measurement at the reporting date.</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investment objective of the Morley Stable Value Fund is to provide preservation of capital, relatively stable returns consistent with its comparatively low risk profile, and liquidity for benefit-responsive payments. Withdrawals from the Morley Stable Value Fund for benefit payments and participant transfers to noncompeting options are made to plan participants promptly upon request but in all cases within 30 days after written notification has been received. All plan sponsor-directed full or partial withdrawals are subject to a twelve month advance written notice requirement, though the Morley Stable Value Fund may waive this requirement at its discretion.</w:t>
      </w:r>
    </w:p>
    <w:p>
      <w:pPr>
        <w:spacing w:after="0" w:line="15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Purchases and sales of securities are recorded on a trade date basis. Interest income is recorded on the accrual basis. Dividends are recorded on the ex-dividend date. Net appreciation and depreciation include the Plan’s gains and losses on investments bought or sold as well as held during the year.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 from Participants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Notes receivables from participants are measured at their unpaid principal balance plus any accrued but unpaid interest. Delinquent notes receivable from participants are deemed distributions based upon the terms of the Plan document.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220980</wp:posOffset>
            </wp:positionV>
            <wp:extent cx="608012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80125" cy="26035"/>
                    </a:xfrm>
                    <a:prstGeom prst="rect">
                      <a:avLst/>
                    </a:prstGeom>
                    <a:noFill/>
                  </pic:spPr>
                </pic:pic>
              </a:graphicData>
            </a:graphic>
          </wp:anchor>
        </w:drawing>
      </w:r>
    </w:p>
    <w:p>
      <w:pPr>
        <w:sectPr>
          <w:pgSz w:w="11900" w:h="16838" w:orient="portrait"/>
          <w:cols w:equalWidth="0" w:num="1">
            <w:col w:w="9580"/>
          </w:cols>
          <w:pgMar w:left="1160" w:top="125" w:right="115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Shawnlee Construction LLC 401(k)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Benefits are recorded when paid.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Investments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Included in investments at December 31, 2016 and 2015 are shares of the Plan Sponsor’s common stock with an aggregate fair value of $1,210,015 and $601,724, respectively. This investment represents 14% and 8% of total investments at December 31, 2016 and 2015, respectively. A significant decline in the market value of the sponsor’s stock would significantly affect the net assets available for benefits.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Expenses</w:t>
      </w:r>
    </w:p>
    <w:p>
      <w:pPr>
        <w:spacing w:after="0" w:line="2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Administrative expenses incurred in connection with the operations of the Plan are paid via certain investment and transactional fees which are borne by the Plan and applied to applicable participant balances. These fees are disclosed in the annual Fee Disclosure Notice and on individual account statements sent to all Plan participants. Substantially all of these expenses are paid to parties-in-interest of the Plan and are based on reasonable and customary rates for the related services. Certain administrative expenses not reflected in this report are paid directly by the Plan Sponsor.</w:t>
      </w:r>
    </w:p>
    <w:p>
      <w:pPr>
        <w:spacing w:after="0" w:line="225" w:lineRule="exact"/>
        <w:rPr>
          <w:sz w:val="20"/>
          <w:szCs w:val="20"/>
          <w:color w:val="auto"/>
        </w:rPr>
      </w:pPr>
    </w:p>
    <w:p>
      <w:pPr>
        <w:ind w:left="800" w:hanging="798"/>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Description of the Plan</w:t>
      </w:r>
    </w:p>
    <w:p>
      <w:pPr>
        <w:spacing w:after="0" w:line="26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description of the Plan provides only general information. Participants should refer to the Plan Document and Summary Plan Description, as amended, for a more complete description of the Plan’s provisions.</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Plan is a defined-contribution, profit sharing and 401(k) plan that provides tax-deferred benefits for substantially all eligible employees of the Plan Sponsor. The Plan is subject to the provisions of the Employee Retirement Security Act of 1974 (ERISA).</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Eligible employees are those who are 18 years or older and have completed six months of employment. All newly eligible employees are automatically enrolled in the Plan at a deferral level of 3% of eligible compensation.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2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Participants may voluntarily contribute up to 75% of their eligible compensation as a 401(k) contribution subject to certain regulatory limitations. Participant contributions to the Plan vest immediately.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Plan Sponsor contributes a regular discretionary matching contribution. The regular matching contribution is made quarterly and was 25% of participant deferrals in 2016 and 2015, on the first 8% of each participant’s compensation.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Plan Sponsor may also contribute a discretionary, non-elective contribution annually as determined and approved by management. No discretionary profit sharing contributions were made in 2016 or 2015.</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Plan Sponsor may make Employer Davis-Bacon Contributions for any participant who is a Non-Highly Compensated Employee and who performed service in Davis-Bacon covered work during the calendar year. Davis-Bacon contributions vest immediately.</w:t>
      </w:r>
    </w:p>
    <w:p>
      <w:pPr>
        <w:spacing w:after="0" w:line="1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participants whose services are covered by the federal, state, or municipal prevailing wage law or Davis-Bacon Act, as amended, may receive employer prevailing wage law contributions. No Davis-Bacon Act contributions were made for the years ended December 31, 2016 and 2015.</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220980</wp:posOffset>
            </wp:positionV>
            <wp:extent cx="608012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80125" cy="26035"/>
                    </a:xfrm>
                    <a:prstGeom prst="rect">
                      <a:avLst/>
                    </a:prstGeom>
                    <a:noFill/>
                  </pic:spPr>
                </pic:pic>
              </a:graphicData>
            </a:graphic>
          </wp:anchor>
        </w:drawing>
      </w:r>
    </w:p>
    <w:p>
      <w:pPr>
        <w:sectPr>
          <w:pgSz w:w="11900" w:h="16838" w:orient="portrait"/>
          <w:cols w:equalWidth="0" w:num="1">
            <w:col w:w="9580"/>
          </w:cols>
          <w:pgMar w:left="1160" w:top="125" w:right="115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Shawnlee Construction LLC 401(k)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Employer contributions, with the exception of Davis-Bacon contributions, which are immediately 100% vested, are subject to a vesting schedule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560" w:type="dxa"/>
            <w:vAlign w:val="bottom"/>
            <w:gridSpan w:val="2"/>
          </w:tcPr>
          <w:p>
            <w:pPr>
              <w:ind w:left="860"/>
              <w:spacing w:after="0"/>
              <w:rPr>
                <w:sz w:val="20"/>
                <w:szCs w:val="20"/>
                <w:color w:val="auto"/>
              </w:rPr>
            </w:pPr>
            <w:r>
              <w:rPr>
                <w:rFonts w:ascii="Arial" w:cs="Arial" w:eastAsia="Arial" w:hAnsi="Arial"/>
                <w:sz w:val="18"/>
                <w:szCs w:val="18"/>
                <w:b w:val="1"/>
                <w:bCs w:val="1"/>
                <w:color w:val="auto"/>
              </w:rPr>
              <w:t>Years of Service</w:t>
            </w:r>
          </w:p>
        </w:tc>
        <w:tc>
          <w:tcPr>
            <w:tcW w:w="3020" w:type="dxa"/>
            <w:vAlign w:val="bottom"/>
          </w:tcPr>
          <w:p>
            <w:pPr>
              <w:ind w:left="780"/>
              <w:spacing w:after="0"/>
              <w:rPr>
                <w:sz w:val="20"/>
                <w:szCs w:val="20"/>
                <w:color w:val="auto"/>
              </w:rPr>
            </w:pPr>
            <w:r>
              <w:rPr>
                <w:rFonts w:ascii="Arial" w:cs="Arial" w:eastAsia="Arial" w:hAnsi="Arial"/>
                <w:sz w:val="18"/>
                <w:szCs w:val="18"/>
                <w:b w:val="1"/>
                <w:bCs w:val="1"/>
                <w:color w:val="auto"/>
              </w:rPr>
              <w:t>Vesting Percentage</w:t>
            </w:r>
          </w:p>
        </w:tc>
      </w:tr>
      <w:tr>
        <w:trPr>
          <w:trHeight w:val="216"/>
        </w:trPr>
        <w:tc>
          <w:tcPr>
            <w:tcW w:w="2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Less than 2</w:t>
            </w:r>
          </w:p>
        </w:tc>
        <w:tc>
          <w:tcPr>
            <w:tcW w:w="3600" w:type="dxa"/>
            <w:vAlign w:val="bottom"/>
            <w:tcBorders>
              <w:top w:val="single" w:sz="8" w:color="CCEEFF"/>
            </w:tcBorders>
            <w:shd w:val="clear" w:color="auto" w:fill="CCEEFF"/>
          </w:tcPr>
          <w:p>
            <w:pPr>
              <w:spacing w:after="0"/>
              <w:rPr>
                <w:sz w:val="18"/>
                <w:szCs w:val="18"/>
                <w:color w:val="auto"/>
              </w:rPr>
            </w:pPr>
          </w:p>
        </w:tc>
        <w:tc>
          <w:tcPr>
            <w:tcW w:w="3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2 but less than 3</w:t>
            </w:r>
          </w:p>
        </w:tc>
        <w:tc>
          <w:tcPr>
            <w:tcW w:w="302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 but less than 4</w:t>
            </w: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4 but less than 5</w:t>
            </w:r>
          </w:p>
        </w:tc>
        <w:tc>
          <w:tcPr>
            <w:tcW w:w="3020" w:type="dxa"/>
            <w:vAlign w:val="bottom"/>
          </w:tcPr>
          <w:p>
            <w:pPr>
              <w:jc w:val="center"/>
              <w:spacing w:after="0"/>
              <w:rPr>
                <w:sz w:val="20"/>
                <w:szCs w:val="20"/>
                <w:color w:val="auto"/>
              </w:rPr>
            </w:pPr>
            <w:r>
              <w:rPr>
                <w:rFonts w:ascii="Arial" w:cs="Arial" w:eastAsia="Arial" w:hAnsi="Arial"/>
                <w:sz w:val="18"/>
                <w:szCs w:val="18"/>
                <w:color w:val="auto"/>
                <w:w w:val="89"/>
              </w:rPr>
              <w:t>60</w:t>
            </w: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 but less than 6</w:t>
            </w: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80</w:t>
            </w:r>
          </w:p>
        </w:tc>
      </w:tr>
      <w:tr>
        <w:trPr>
          <w:trHeight w:val="230"/>
        </w:trPr>
        <w:tc>
          <w:tcPr>
            <w:tcW w:w="6560" w:type="dxa"/>
            <w:vAlign w:val="bottom"/>
            <w:gridSpan w:val="2"/>
          </w:tcPr>
          <w:p>
            <w:pPr>
              <w:spacing w:after="0"/>
              <w:rPr>
                <w:sz w:val="20"/>
                <w:szCs w:val="20"/>
                <w:color w:val="auto"/>
              </w:rPr>
            </w:pPr>
            <w:r>
              <w:rPr>
                <w:rFonts w:ascii="Arial" w:cs="Arial" w:eastAsia="Arial" w:hAnsi="Arial"/>
                <w:sz w:val="18"/>
                <w:szCs w:val="18"/>
                <w:color w:val="auto"/>
              </w:rPr>
              <w:t>6 or more</w:t>
            </w:r>
          </w:p>
        </w:tc>
        <w:tc>
          <w:tcPr>
            <w:tcW w:w="3020" w:type="dxa"/>
            <w:vAlign w:val="bottom"/>
          </w:tcPr>
          <w:p>
            <w:pPr>
              <w:jc w:val="center"/>
              <w:spacing w:after="0"/>
              <w:rPr>
                <w:sz w:val="20"/>
                <w:szCs w:val="20"/>
                <w:color w:val="auto"/>
              </w:rPr>
            </w:pPr>
            <w:r>
              <w:rPr>
                <w:rFonts w:ascii="Arial" w:cs="Arial" w:eastAsia="Arial" w:hAnsi="Arial"/>
                <w:sz w:val="18"/>
                <w:szCs w:val="18"/>
                <w:color w:val="auto"/>
                <w:w w:val="86"/>
              </w:rPr>
              <w:t>100</w:t>
            </w: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Accounts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Participants may select from various investment options made available by the Plan. Each participant’s account is credited with the participant’s contribution, an allocation of the Plan Sponsor’s contribution, if any, Plan earnings and losses and certain administrative expenses. Earnings allocations are based on account balances, as defined in the Plan agreement.</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vested portion of terminated and retired participants’ accounts are available for distribution following a separation from service. Forfeitures may be used to offset the Plan Sponsor’s matching contributions or administrative expenses of the Plan. During 2016 and 2015, forfeitures of approximately $12,300 and $11,800, respectively, were used to offset the Plan Sponsor’s matching contributions.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Loans</w:t>
      </w:r>
    </w:p>
    <w:p>
      <w:pPr>
        <w:spacing w:after="0" w:line="2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Participants may borrow from their account a minimum amount of $1,000 up to a maximum equal to the lesser of $50,000 or 50% of their vested account balance. Loan terms range from one to five years, or up to 25 years for purchase of a principal residence. The loans bear interest at a rate equal to the prime rate (3.75% at December 31, 2016) plus 2% calculated on a daily basis. Interest rates on outstanding loans ranged from 5.25% to 5.75% at December 31, 2016. A participant may only have two loans outstanding at any time.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2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Before attainment of age 59½, participants may request in-service withdrawals from the Rollover balance within their account. Participants may also request an in-service withdrawal from their Salary Deferral balance in the event of a financial hardship, subject to certain limitations as defined by the Plan. Once a participant attains age 59½, in-service withdrawals may be made from all contribution sources.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Upon separation from service, a participant is eligible for a lump sum distribution of their full, vested account balance. Participants may elect to receive the distribution in a lump sum amount, a qualified rollover to another plan, or may defer their distribution until a later date. However, in the absence of an election, if the vested portion of a participant’s account is $1,000 or less, this amount will be paid as a lump sum distribution as soon as administratively allowable. Participants who incur a separation from service as a result of their death, Total Disability, or Retirement will be vested at 100% prior to their distribution.</w:t>
      </w:r>
    </w:p>
    <w:p>
      <w:pPr>
        <w:spacing w:after="0" w:line="21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Participant whose initial Date of Employment is on or before December 31, 2009, and who is fully vested in his Discretionary and Matching Contribution Accounts may withdraw all or any part of his Discretionary and Matching Contribution Accounts by making a request to the Plan Administrator at least 30 days before the applicable withdrawal date. No distribution shall be made of an Employer Discretionary or Matching Contribution until two years have elapsed since the contribution was made unless the Participant has completed at least five years of Vested Service. The Participant shall specify the particular Account from which a withdrawal is made.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220980</wp:posOffset>
            </wp:positionV>
            <wp:extent cx="608012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80125" cy="26035"/>
                    </a:xfrm>
                    <a:prstGeom prst="rect">
                      <a:avLst/>
                    </a:prstGeom>
                    <a:noFill/>
                  </pic:spPr>
                </pic:pic>
              </a:graphicData>
            </a:graphic>
          </wp:anchor>
        </w:drawing>
      </w:r>
    </w:p>
    <w:p>
      <w:pPr>
        <w:sectPr>
          <w:pgSz w:w="11900" w:h="16838" w:orient="portrait"/>
          <w:cols w:equalWidth="0" w:num="1">
            <w:col w:w="9580"/>
          </w:cols>
          <w:pgMar w:left="1160" w:top="125" w:right="115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Shawnlee Construction LLC 401(k)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2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Plan Sponsor intends to continue the Plan indefinitely, but reserves the right to terminate or amend the Plan at any time. In the event of termination of the Plan, all participants are automatically fully vested in the value of their accounts and will be paid in full.</w:t>
      </w:r>
    </w:p>
    <w:p>
      <w:pPr>
        <w:spacing w:after="0" w:line="147"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8"/>
          <w:szCs w:val="18"/>
          <w:b w:val="1"/>
          <w:bCs w:val="1"/>
          <w:color w:val="auto"/>
        </w:rPr>
        <w:t>Transfers</w:t>
      </w:r>
    </w:p>
    <w:p>
      <w:pPr>
        <w:spacing w:after="0" w:line="2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funds transferred to or from the Universal Forest Products, Inc. Employees’ Profit Sharing 401(k) Plan during 2016. As permitted by the plan, funds totaling $21,926 were transferred to the Universal Forest Products, Inc. Employees’ Profit Sharing 401(k) Plan (an affiliated plan) during 2015, due to employee transfers.</w:t>
      </w:r>
    </w:p>
    <w:p>
      <w:pPr>
        <w:spacing w:after="0" w:line="218" w:lineRule="exact"/>
        <w:rPr>
          <w:sz w:val="20"/>
          <w:szCs w:val="20"/>
          <w:color w:val="auto"/>
        </w:rPr>
      </w:pPr>
    </w:p>
    <w:p>
      <w:pPr>
        <w:ind w:left="1320" w:hanging="1318"/>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Investments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The tables below set forth by level within the fair value hierarchy the Plan’s investments as of December 31, 2016 and 2015.</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0" w:type="dxa"/>
            <w:vAlign w:val="bottom"/>
            <w:tcBorders>
              <w:bottom w:val="single" w:sz="8" w:color="auto"/>
            </w:tcBorders>
            <w:gridSpan w:val="10"/>
          </w:tcPr>
          <w:p>
            <w:pPr>
              <w:jc w:val="right"/>
              <w:ind w:right="650"/>
              <w:spacing w:after="0"/>
              <w:rPr>
                <w:sz w:val="20"/>
                <w:szCs w:val="20"/>
                <w:color w:val="auto"/>
              </w:rPr>
            </w:pPr>
            <w:r>
              <w:rPr>
                <w:rFonts w:ascii="Arial" w:cs="Arial" w:eastAsia="Arial" w:hAnsi="Arial"/>
                <w:sz w:val="18"/>
                <w:szCs w:val="18"/>
                <w:b w:val="1"/>
                <w:bCs w:val="1"/>
                <w:color w:val="auto"/>
                <w:w w:val="99"/>
              </w:rPr>
              <w:t>Investment Assets at Fair Value as of December 31, 2016</w:t>
            </w:r>
          </w:p>
        </w:tc>
      </w:tr>
      <w:tr>
        <w:trPr>
          <w:trHeight w:val="223"/>
        </w:trPr>
        <w:tc>
          <w:tcPr>
            <w:tcW w:w="336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Level 1</w:t>
            </w:r>
          </w:p>
        </w:tc>
        <w:tc>
          <w:tcPr>
            <w:tcW w:w="2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2</w:t>
            </w:r>
          </w:p>
        </w:tc>
        <w:tc>
          <w:tcPr>
            <w:tcW w:w="3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1,210,015</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20"/>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40"/>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1,210,015</w:t>
            </w:r>
          </w:p>
        </w:tc>
      </w:tr>
      <w:tr>
        <w:trPr>
          <w:trHeight w:val="216"/>
        </w:trPr>
        <w:tc>
          <w:tcPr>
            <w:tcW w:w="3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Mutual funds</w:t>
            </w:r>
          </w:p>
        </w:tc>
        <w:tc>
          <w:tcPr>
            <w:tcW w:w="4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7,078,423</w:t>
            </w: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7,078,423</w:t>
            </w: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 assets in fair value hierarchy</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8,288,438</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8,288,438</w:t>
            </w:r>
          </w:p>
        </w:tc>
      </w:tr>
      <w:tr>
        <w:trPr>
          <w:trHeight w:val="216"/>
        </w:trPr>
        <w:tc>
          <w:tcPr>
            <w:tcW w:w="3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Investments measured at net asset value*</w:t>
            </w:r>
          </w:p>
        </w:tc>
        <w:tc>
          <w:tcPr>
            <w:tcW w:w="4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242,065</w:t>
            </w:r>
          </w:p>
        </w:tc>
      </w:tr>
      <w:tr>
        <w:trPr>
          <w:trHeight w:val="217"/>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4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8,288,438</w:t>
            </w: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20"/>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40"/>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8,530,503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620" w:type="dxa"/>
            <w:vAlign w:val="bottom"/>
            <w:tcBorders>
              <w:bottom w:val="single" w:sz="8" w:color="auto"/>
            </w:tcBorders>
            <w:gridSpan w:val="10"/>
          </w:tcPr>
          <w:p>
            <w:pPr>
              <w:jc w:val="right"/>
              <w:ind w:right="670"/>
              <w:spacing w:after="0"/>
              <w:rPr>
                <w:sz w:val="20"/>
                <w:szCs w:val="20"/>
                <w:color w:val="auto"/>
              </w:rPr>
            </w:pPr>
            <w:r>
              <w:rPr>
                <w:rFonts w:ascii="Arial" w:cs="Arial" w:eastAsia="Arial" w:hAnsi="Arial"/>
                <w:sz w:val="18"/>
                <w:szCs w:val="18"/>
                <w:b w:val="1"/>
                <w:bCs w:val="1"/>
                <w:color w:val="auto"/>
                <w:w w:val="99"/>
              </w:rPr>
              <w:t>Investment Assets at Fair Value as of December 31, 2015</w:t>
            </w:r>
          </w:p>
        </w:tc>
      </w:tr>
      <w:tr>
        <w:trPr>
          <w:trHeight w:val="223"/>
        </w:trPr>
        <w:tc>
          <w:tcPr>
            <w:tcW w:w="334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Level 1</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3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601,724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601,724</w:t>
            </w:r>
          </w:p>
        </w:tc>
      </w:tr>
      <w:tr>
        <w:trPr>
          <w:trHeight w:val="216"/>
        </w:trPr>
        <w:tc>
          <w:tcPr>
            <w:tcW w:w="3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Mutual funds</w:t>
            </w:r>
          </w:p>
        </w:tc>
        <w:tc>
          <w:tcPr>
            <w:tcW w:w="3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6,943,686</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6,943,686</w:t>
            </w: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 assets in fair value hierarchy</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7,545,410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7,545,410</w:t>
            </w:r>
          </w:p>
        </w:tc>
      </w:tr>
      <w:tr>
        <w:trPr>
          <w:trHeight w:val="216"/>
        </w:trPr>
        <w:tc>
          <w:tcPr>
            <w:tcW w:w="3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Investments measured at net asset value*</w:t>
            </w:r>
          </w:p>
        </w:tc>
        <w:tc>
          <w:tcPr>
            <w:tcW w:w="3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224,706</w:t>
            </w:r>
          </w:p>
        </w:tc>
      </w:tr>
      <w:tr>
        <w:trPr>
          <w:trHeight w:val="217"/>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3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7,545,410</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7,770,116</w:t>
            </w:r>
          </w:p>
        </w:tc>
      </w:tr>
    </w:tbl>
    <w:p>
      <w:pPr>
        <w:spacing w:after="0" w:line="328" w:lineRule="exact"/>
        <w:rPr>
          <w:sz w:val="20"/>
          <w:szCs w:val="20"/>
          <w:color w:val="auto"/>
        </w:rPr>
      </w:pPr>
    </w:p>
    <w:p>
      <w:pPr>
        <w:ind w:right="460" w:firstLine="2"/>
        <w:spacing w:after="0" w:line="304" w:lineRule="auto"/>
        <w:tabs>
          <w:tab w:leader="none" w:pos="180" w:val="left"/>
        </w:tabs>
        <w:numPr>
          <w:ilvl w:val="0"/>
          <w:numId w:val="6"/>
        </w:numPr>
        <w:rPr>
          <w:rFonts w:ascii="Arial" w:cs="Arial" w:eastAsia="Arial" w:hAnsi="Arial"/>
          <w:sz w:val="17"/>
          <w:szCs w:val="17"/>
          <w:color w:val="auto"/>
        </w:rPr>
      </w:pPr>
      <w:r>
        <w:rPr>
          <w:rFonts w:ascii="Arial" w:cs="Arial" w:eastAsia="Arial" w:hAnsi="Arial"/>
          <w:sz w:val="15"/>
          <w:szCs w:val="15"/>
          <w:color w:val="auto"/>
        </w:rPr>
        <w:t>The investments in common/collective trusts are measured at fair value using the net asset value per share (or its equivalent) as a practical expedient and have not been categorized in the fair value hierarchy. The fair value amounts presented in this table are intended to permit reconciliation of the fair value hierarchy to the amounts presented in the Statements of Net Assets Available for Benefits.</w:t>
      </w: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changes in the methodologies used at December 31, 2016 and 2015, and there have been no significant transfers in or out of Levels 1, 2 or 3.</w:t>
      </w:r>
    </w:p>
    <w:p>
      <w:pPr>
        <w:spacing w:after="0" w:line="166" w:lineRule="exact"/>
        <w:rPr>
          <w:sz w:val="20"/>
          <w:szCs w:val="20"/>
          <w:color w:val="auto"/>
        </w:rPr>
      </w:pPr>
    </w:p>
    <w:p>
      <w:pPr>
        <w:ind w:left="560" w:hanging="558"/>
        <w:spacing w:after="0"/>
        <w:tabs>
          <w:tab w:leader="none" w:pos="5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Status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Plan was amended and restated as an individually designed plan effective January 1, 2014. The Plan has received a determination letter from the Internal Revenue Service dated September 8, 2015, stating that the Plan is qualified under section 401(a) of the Internal Revenue Code (IRC), and, therefore, the related trust is exempt from taxation. The Plan Administrator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220980</wp:posOffset>
            </wp:positionV>
            <wp:extent cx="60801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80125" cy="17145"/>
                    </a:xfrm>
                    <a:prstGeom prst="rect">
                      <a:avLst/>
                    </a:prstGeom>
                    <a:noFill/>
                  </pic:spPr>
                </pic:pic>
              </a:graphicData>
            </a:graphic>
          </wp:anchor>
        </w:drawing>
      </w:r>
    </w:p>
    <w:p>
      <w:pPr>
        <w:sectPr>
          <w:pgSz w:w="11900" w:h="16838" w:orient="portrait"/>
          <w:cols w:equalWidth="0" w:num="1">
            <w:col w:w="9580"/>
          </w:cols>
          <w:pgMar w:left="1160" w:top="125" w:right="115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Shawnlee Construction LLC 401(k)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believes that the Plan is designed and is currently being operated in compliance with applicable requirements of the IRC. Therefore, no provision for income taxes has been included in the Plan’s financial statements.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Accounting principles generally accepted in the United States of America require plan management to evaluate tax positions taken by the Plan and recognize a tax liability (or asset) if the Plan has taken an uncertain position that more likely than not would not be sustained upon examination by the Internal Revenue Service. The Plan administrator has analyzed the tax positions taken by the Plan and has concluded that as of December 31, 2016, there are no uncertain positions taken or expected to be taken that would require recognition of a liability (or asset) or disclosure in the financial statements. The Plan is subject to routine audits by taxing jurisdictions; however, there are currently no audits for any tax periods in progress.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220980</wp:posOffset>
            </wp:positionV>
            <wp:extent cx="60801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80125" cy="17145"/>
                    </a:xfrm>
                    <a:prstGeom prst="rect">
                      <a:avLst/>
                    </a:prstGeom>
                    <a:noFill/>
                  </pic:spPr>
                </pic:pic>
              </a:graphicData>
            </a:graphic>
          </wp:anchor>
        </w:drawing>
      </w:r>
    </w:p>
    <w:p>
      <w:pPr>
        <w:sectPr>
          <w:pgSz w:w="11900" w:h="16838" w:orient="portrait"/>
          <w:cols w:equalWidth="0" w:num="1">
            <w:col w:w="9580"/>
          </w:cols>
          <w:pgMar w:left="1160" w:top="125" w:right="115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Shawnlee Construction LLC 401(k)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 Line 4i – Schedule of Assets (Held at End of Year)</w:t>
      </w:r>
    </w:p>
    <w:p>
      <w:pPr>
        <w:spacing w:after="0" w:line="225"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EIN #03-0537439</w:t>
      </w:r>
      <w:r>
        <w:rPr>
          <w:sz w:val="20"/>
          <w:szCs w:val="20"/>
          <w:color w:val="auto"/>
        </w:rPr>
        <w:tab/>
      </w:r>
      <w:r>
        <w:rPr>
          <w:rFonts w:ascii="Arial" w:cs="Arial" w:eastAsia="Arial" w:hAnsi="Arial"/>
          <w:sz w:val="15"/>
          <w:szCs w:val="15"/>
          <w:color w:val="auto"/>
        </w:rPr>
        <w:t>Plan #001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80" w:type="dxa"/>
            <w:vAlign w:val="bottom"/>
          </w:tcPr>
          <w:p>
            <w:pPr>
              <w:ind w:left="140"/>
              <w:spacing w:after="0"/>
              <w:rPr>
                <w:sz w:val="20"/>
                <w:szCs w:val="20"/>
                <w:color w:val="auto"/>
              </w:rPr>
            </w:pPr>
            <w:r>
              <w:rPr>
                <w:rFonts w:ascii="Arial" w:cs="Arial" w:eastAsia="Arial" w:hAnsi="Arial"/>
                <w:sz w:val="16"/>
                <w:szCs w:val="16"/>
                <w:color w:val="auto"/>
              </w:rPr>
              <w:t>(a)</w:t>
            </w:r>
          </w:p>
        </w:tc>
        <w:tc>
          <w:tcPr>
            <w:tcW w:w="80" w:type="dxa"/>
            <w:vAlign w:val="bottom"/>
          </w:tcPr>
          <w:p>
            <w:pPr>
              <w:spacing w:after="0"/>
              <w:rPr>
                <w:sz w:val="17"/>
                <w:szCs w:val="17"/>
                <w:color w:val="auto"/>
              </w:rPr>
            </w:pPr>
          </w:p>
        </w:tc>
        <w:tc>
          <w:tcPr>
            <w:tcW w:w="2920" w:type="dxa"/>
            <w:vAlign w:val="bottom"/>
          </w:tcPr>
          <w:p>
            <w:pPr>
              <w:jc w:val="center"/>
              <w:spacing w:after="0"/>
              <w:rPr>
                <w:sz w:val="20"/>
                <w:szCs w:val="20"/>
                <w:color w:val="auto"/>
              </w:rPr>
            </w:pPr>
            <w:r>
              <w:rPr>
                <w:rFonts w:ascii="Arial" w:cs="Arial" w:eastAsia="Arial" w:hAnsi="Arial"/>
                <w:sz w:val="16"/>
                <w:szCs w:val="16"/>
                <w:color w:val="auto"/>
                <w:w w:val="91"/>
              </w:rPr>
              <w:t>(b)</w:t>
            </w:r>
          </w:p>
        </w:tc>
        <w:tc>
          <w:tcPr>
            <w:tcW w:w="4440" w:type="dxa"/>
            <w:vAlign w:val="bottom"/>
          </w:tcPr>
          <w:p>
            <w:pPr>
              <w:jc w:val="center"/>
              <w:spacing w:after="0"/>
              <w:rPr>
                <w:sz w:val="20"/>
                <w:szCs w:val="20"/>
                <w:color w:val="auto"/>
              </w:rPr>
            </w:pPr>
            <w:r>
              <w:rPr>
                <w:rFonts w:ascii="Arial" w:cs="Arial" w:eastAsia="Arial" w:hAnsi="Arial"/>
                <w:sz w:val="16"/>
                <w:szCs w:val="16"/>
                <w:color w:val="auto"/>
                <w:w w:val="96"/>
              </w:rPr>
              <w:t>(c)</w:t>
            </w:r>
          </w:p>
        </w:tc>
        <w:tc>
          <w:tcPr>
            <w:tcW w:w="300" w:type="dxa"/>
            <w:vAlign w:val="bottom"/>
          </w:tcPr>
          <w:p>
            <w:pPr>
              <w:spacing w:after="0"/>
              <w:rPr>
                <w:sz w:val="17"/>
                <w:szCs w:val="17"/>
                <w:color w:val="auto"/>
              </w:rPr>
            </w:pPr>
          </w:p>
        </w:tc>
        <w:tc>
          <w:tcPr>
            <w:tcW w:w="1460" w:type="dxa"/>
            <w:vAlign w:val="bottom"/>
          </w:tcPr>
          <w:p>
            <w:pPr>
              <w:jc w:val="right"/>
              <w:ind w:right="619"/>
              <w:spacing w:after="0"/>
              <w:rPr>
                <w:sz w:val="20"/>
                <w:szCs w:val="20"/>
                <w:color w:val="auto"/>
              </w:rPr>
            </w:pPr>
            <w:r>
              <w:rPr>
                <w:rFonts w:ascii="Arial" w:cs="Arial" w:eastAsia="Arial" w:hAnsi="Arial"/>
                <w:sz w:val="16"/>
                <w:szCs w:val="16"/>
                <w:color w:val="auto"/>
              </w:rPr>
              <w:t>(e)</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Identity of Issuer, Borrower, Lessor, or</w:t>
            </w:r>
          </w:p>
        </w:tc>
        <w:tc>
          <w:tcPr>
            <w:tcW w:w="4440" w:type="dxa"/>
            <w:vAlign w:val="bottom"/>
          </w:tcPr>
          <w:p>
            <w:pPr>
              <w:jc w:val="center"/>
              <w:spacing w:after="0"/>
              <w:rPr>
                <w:sz w:val="20"/>
                <w:szCs w:val="20"/>
                <w:color w:val="auto"/>
              </w:rPr>
            </w:pPr>
            <w:r>
              <w:rPr>
                <w:rFonts w:ascii="Arial" w:cs="Arial" w:eastAsia="Arial" w:hAnsi="Arial"/>
                <w:sz w:val="16"/>
                <w:szCs w:val="16"/>
                <w:b w:val="1"/>
                <w:bCs w:val="1"/>
                <w:color w:val="auto"/>
                <w:w w:val="93"/>
              </w:rPr>
              <w:t>Description of Investment Including, Maturity Date,</w:t>
            </w: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20" w:type="dxa"/>
            <w:vAlign w:val="bottom"/>
            <w:vMerge w:val="continue"/>
          </w:tcPr>
          <w:p>
            <w:pPr>
              <w:spacing w:after="0"/>
              <w:rPr>
                <w:sz w:val="16"/>
                <w:szCs w:val="16"/>
                <w:color w:val="auto"/>
              </w:rPr>
            </w:pPr>
          </w:p>
        </w:tc>
        <w:tc>
          <w:tcPr>
            <w:tcW w:w="44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Rate of Interest, Collateral, Par, or Maturity Value</w:t>
            </w:r>
          </w:p>
        </w:tc>
        <w:tc>
          <w:tcPr>
            <w:tcW w:w="300" w:type="dxa"/>
            <w:vAlign w:val="bottom"/>
          </w:tcPr>
          <w:p>
            <w:pPr>
              <w:spacing w:after="0"/>
              <w:rPr>
                <w:sz w:val="16"/>
                <w:szCs w:val="16"/>
                <w:color w:val="auto"/>
              </w:rPr>
            </w:pPr>
          </w:p>
        </w:tc>
        <w:tc>
          <w:tcPr>
            <w:tcW w:w="146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Current Value</w:t>
            </w:r>
          </w:p>
        </w:tc>
        <w:tc>
          <w:tcPr>
            <w:tcW w:w="0" w:type="dxa"/>
            <w:vAlign w:val="bottom"/>
          </w:tcPr>
          <w:p>
            <w:pPr>
              <w:spacing w:after="0"/>
              <w:rPr>
                <w:sz w:val="1"/>
                <w:szCs w:val="1"/>
                <w:color w:val="auto"/>
              </w:rPr>
            </w:pPr>
          </w:p>
        </w:tc>
      </w:tr>
      <w:tr>
        <w:trPr>
          <w:trHeight w:val="102"/>
        </w:trPr>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9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Similar Party</w:t>
            </w:r>
          </w:p>
        </w:tc>
        <w:tc>
          <w:tcPr>
            <w:tcW w:w="444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tcBorders>
              <w:bottom w:val="single" w:sz="8" w:color="auto"/>
            </w:tcBorders>
            <w:vMerge w:val="continue"/>
          </w:tcPr>
          <w:p>
            <w:pPr>
              <w:spacing w:after="0"/>
              <w:rPr>
                <w:sz w:val="9"/>
                <w:szCs w:val="9"/>
                <w:color w:val="auto"/>
              </w:rPr>
            </w:pPr>
          </w:p>
        </w:tc>
        <w:tc>
          <w:tcPr>
            <w:tcW w:w="44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9"/>
        </w:trPr>
        <w:tc>
          <w:tcPr>
            <w:tcW w:w="380" w:type="dxa"/>
            <w:vAlign w:val="bottom"/>
          </w:tcPr>
          <w:p>
            <w:pPr>
              <w:spacing w:after="0"/>
              <w:rPr>
                <w:sz w:val="24"/>
                <w:szCs w:val="24"/>
                <w:color w:val="auto"/>
              </w:rPr>
            </w:pPr>
          </w:p>
        </w:tc>
        <w:tc>
          <w:tcPr>
            <w:tcW w:w="3000" w:type="dxa"/>
            <w:vAlign w:val="bottom"/>
            <w:gridSpan w:val="2"/>
          </w:tcPr>
          <w:p>
            <w:pPr>
              <w:ind w:left="60"/>
              <w:spacing w:after="0"/>
              <w:rPr>
                <w:sz w:val="20"/>
                <w:szCs w:val="20"/>
                <w:color w:val="auto"/>
              </w:rPr>
            </w:pPr>
            <w:r>
              <w:rPr>
                <w:rFonts w:ascii="Arial" w:cs="Arial" w:eastAsia="Arial" w:hAnsi="Arial"/>
                <w:sz w:val="16"/>
                <w:szCs w:val="16"/>
                <w:color w:val="auto"/>
              </w:rPr>
              <w:t>Common stock:</w:t>
            </w:r>
          </w:p>
        </w:tc>
        <w:tc>
          <w:tcPr>
            <w:tcW w:w="4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9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Universal Forest Products, Inc.</w:t>
            </w:r>
          </w:p>
        </w:tc>
        <w:tc>
          <w:tcPr>
            <w:tcW w:w="4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Universal Forest Products Common Stock</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1,210,015</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0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Common collective trust funds:</w:t>
            </w:r>
          </w:p>
        </w:tc>
        <w:tc>
          <w:tcPr>
            <w:tcW w:w="4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20" w:type="dxa"/>
            <w:vAlign w:val="bottom"/>
          </w:tcPr>
          <w:p>
            <w:pPr>
              <w:ind w:left="100"/>
              <w:spacing w:after="0"/>
              <w:rPr>
                <w:sz w:val="20"/>
                <w:szCs w:val="20"/>
                <w:color w:val="auto"/>
              </w:rPr>
            </w:pPr>
            <w:r>
              <w:rPr>
                <w:rFonts w:ascii="Arial" w:cs="Arial" w:eastAsia="Arial" w:hAnsi="Arial"/>
                <w:sz w:val="16"/>
                <w:szCs w:val="16"/>
                <w:color w:val="auto"/>
                <w:w w:val="94"/>
              </w:rPr>
              <w:t>Principal Global Investors Trust Company</w:t>
            </w:r>
          </w:p>
        </w:tc>
        <w:tc>
          <w:tcPr>
            <w:tcW w:w="4440" w:type="dxa"/>
            <w:vAlign w:val="bottom"/>
          </w:tcPr>
          <w:p>
            <w:pPr>
              <w:ind w:left="80"/>
              <w:spacing w:after="0"/>
              <w:rPr>
                <w:sz w:val="20"/>
                <w:szCs w:val="20"/>
                <w:color w:val="auto"/>
              </w:rPr>
            </w:pPr>
            <w:r>
              <w:rPr>
                <w:rFonts w:ascii="Arial" w:cs="Arial" w:eastAsia="Arial" w:hAnsi="Arial"/>
                <w:sz w:val="16"/>
                <w:szCs w:val="16"/>
                <w:color w:val="auto"/>
              </w:rPr>
              <w:t>Stable Value Fund</w:t>
            </w: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242,065</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4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00" w:type="dxa"/>
            <w:vAlign w:val="bottom"/>
            <w:gridSpan w:val="2"/>
          </w:tcPr>
          <w:p>
            <w:pPr>
              <w:ind w:left="60"/>
              <w:spacing w:after="0"/>
              <w:rPr>
                <w:sz w:val="20"/>
                <w:szCs w:val="20"/>
                <w:color w:val="auto"/>
              </w:rPr>
            </w:pPr>
            <w:r>
              <w:rPr>
                <w:rFonts w:ascii="Arial" w:cs="Arial" w:eastAsia="Arial" w:hAnsi="Arial"/>
                <w:sz w:val="16"/>
                <w:szCs w:val="16"/>
                <w:color w:val="auto"/>
              </w:rPr>
              <w:t>Mutual funds:</w:t>
            </w:r>
          </w:p>
        </w:tc>
        <w:tc>
          <w:tcPr>
            <w:tcW w:w="4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9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JP Morgan</w:t>
            </w:r>
          </w:p>
        </w:tc>
        <w:tc>
          <w:tcPr>
            <w:tcW w:w="4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Large Cap Growth Fund</w:t>
            </w: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1,851,352</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20" w:type="dxa"/>
            <w:vAlign w:val="bottom"/>
          </w:tcPr>
          <w:p>
            <w:pPr>
              <w:ind w:left="100"/>
              <w:spacing w:after="0"/>
              <w:rPr>
                <w:sz w:val="20"/>
                <w:szCs w:val="20"/>
                <w:color w:val="auto"/>
              </w:rPr>
            </w:pPr>
            <w:r>
              <w:rPr>
                <w:rFonts w:ascii="Arial" w:cs="Arial" w:eastAsia="Arial" w:hAnsi="Arial"/>
                <w:sz w:val="16"/>
                <w:szCs w:val="16"/>
                <w:color w:val="auto"/>
              </w:rPr>
              <w:t>Vanguard</w:t>
            </w:r>
          </w:p>
        </w:tc>
        <w:tc>
          <w:tcPr>
            <w:tcW w:w="4440" w:type="dxa"/>
            <w:vAlign w:val="bottom"/>
          </w:tcPr>
          <w:p>
            <w:pPr>
              <w:ind w:left="80"/>
              <w:spacing w:after="0"/>
              <w:rPr>
                <w:sz w:val="20"/>
                <w:szCs w:val="20"/>
                <w:color w:val="auto"/>
              </w:rPr>
            </w:pPr>
            <w:r>
              <w:rPr>
                <w:rFonts w:ascii="Arial" w:cs="Arial" w:eastAsia="Arial" w:hAnsi="Arial"/>
                <w:sz w:val="16"/>
                <w:szCs w:val="16"/>
                <w:color w:val="auto"/>
              </w:rPr>
              <w:t>Midcap Index Fund</w:t>
            </w: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45,689</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9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Vanguard</w:t>
            </w:r>
          </w:p>
        </w:tc>
        <w:tc>
          <w:tcPr>
            <w:tcW w:w="4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500 Index Fund</w:t>
            </w: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899,048</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20" w:type="dxa"/>
            <w:vAlign w:val="bottom"/>
          </w:tcPr>
          <w:p>
            <w:pPr>
              <w:ind w:left="100"/>
              <w:spacing w:after="0"/>
              <w:rPr>
                <w:sz w:val="20"/>
                <w:szCs w:val="20"/>
                <w:color w:val="auto"/>
              </w:rPr>
            </w:pPr>
            <w:r>
              <w:rPr>
                <w:rFonts w:ascii="Arial" w:cs="Arial" w:eastAsia="Arial" w:hAnsi="Arial"/>
                <w:sz w:val="16"/>
                <w:szCs w:val="16"/>
                <w:color w:val="auto"/>
              </w:rPr>
              <w:t>Vanguard</w:t>
            </w:r>
          </w:p>
        </w:tc>
        <w:tc>
          <w:tcPr>
            <w:tcW w:w="4440" w:type="dxa"/>
            <w:vAlign w:val="bottom"/>
          </w:tcPr>
          <w:p>
            <w:pPr>
              <w:ind w:left="80"/>
              <w:spacing w:after="0"/>
              <w:rPr>
                <w:sz w:val="20"/>
                <w:szCs w:val="20"/>
                <w:color w:val="auto"/>
              </w:rPr>
            </w:pPr>
            <w:r>
              <w:rPr>
                <w:rFonts w:ascii="Arial" w:cs="Arial" w:eastAsia="Arial" w:hAnsi="Arial"/>
                <w:sz w:val="16"/>
                <w:szCs w:val="16"/>
                <w:color w:val="auto"/>
              </w:rPr>
              <w:t>International Stock Index</w:t>
            </w: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2,247</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9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Neuberger Berman</w:t>
            </w:r>
          </w:p>
        </w:tc>
        <w:tc>
          <w:tcPr>
            <w:tcW w:w="4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Genesis Fund</w:t>
            </w: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640,331</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20" w:type="dxa"/>
            <w:vAlign w:val="bottom"/>
          </w:tcPr>
          <w:p>
            <w:pPr>
              <w:ind w:left="100"/>
              <w:spacing w:after="0"/>
              <w:rPr>
                <w:sz w:val="20"/>
                <w:szCs w:val="20"/>
                <w:color w:val="auto"/>
              </w:rPr>
            </w:pPr>
            <w:r>
              <w:rPr>
                <w:rFonts w:ascii="Arial" w:cs="Arial" w:eastAsia="Arial" w:hAnsi="Arial"/>
                <w:sz w:val="16"/>
                <w:szCs w:val="16"/>
                <w:color w:val="auto"/>
              </w:rPr>
              <w:t>Invesco</w:t>
            </w:r>
          </w:p>
        </w:tc>
        <w:tc>
          <w:tcPr>
            <w:tcW w:w="4440" w:type="dxa"/>
            <w:vAlign w:val="bottom"/>
          </w:tcPr>
          <w:p>
            <w:pPr>
              <w:ind w:left="80"/>
              <w:spacing w:after="0"/>
              <w:rPr>
                <w:sz w:val="20"/>
                <w:szCs w:val="20"/>
                <w:color w:val="auto"/>
              </w:rPr>
            </w:pPr>
            <w:r>
              <w:rPr>
                <w:rFonts w:ascii="Arial" w:cs="Arial" w:eastAsia="Arial" w:hAnsi="Arial"/>
                <w:sz w:val="16"/>
                <w:szCs w:val="16"/>
                <w:color w:val="auto"/>
              </w:rPr>
              <w:t>Growth and Income Fund</w:t>
            </w: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621,069</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9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Dodge &amp; Cox</w:t>
            </w:r>
          </w:p>
        </w:tc>
        <w:tc>
          <w:tcPr>
            <w:tcW w:w="4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Income Fund</w:t>
            </w: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161,532</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20" w:type="dxa"/>
            <w:vAlign w:val="bottom"/>
          </w:tcPr>
          <w:p>
            <w:pPr>
              <w:ind w:left="100"/>
              <w:spacing w:after="0"/>
              <w:rPr>
                <w:sz w:val="20"/>
                <w:szCs w:val="20"/>
                <w:color w:val="auto"/>
              </w:rPr>
            </w:pPr>
            <w:r>
              <w:rPr>
                <w:rFonts w:ascii="Arial" w:cs="Arial" w:eastAsia="Arial" w:hAnsi="Arial"/>
                <w:sz w:val="16"/>
                <w:szCs w:val="16"/>
                <w:color w:val="auto"/>
              </w:rPr>
              <w:t>Dodge &amp; Cox</w:t>
            </w:r>
          </w:p>
        </w:tc>
        <w:tc>
          <w:tcPr>
            <w:tcW w:w="4440" w:type="dxa"/>
            <w:vAlign w:val="bottom"/>
          </w:tcPr>
          <w:p>
            <w:pPr>
              <w:ind w:left="80"/>
              <w:spacing w:after="0"/>
              <w:rPr>
                <w:sz w:val="20"/>
                <w:szCs w:val="20"/>
                <w:color w:val="auto"/>
              </w:rPr>
            </w:pPr>
            <w:r>
              <w:rPr>
                <w:rFonts w:ascii="Arial" w:cs="Arial" w:eastAsia="Arial" w:hAnsi="Arial"/>
                <w:sz w:val="16"/>
                <w:szCs w:val="16"/>
                <w:color w:val="auto"/>
              </w:rPr>
              <w:t>International Stock Fund</w:t>
            </w: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1,603,467</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9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 Rowe Price</w:t>
            </w:r>
          </w:p>
        </w:tc>
        <w:tc>
          <w:tcPr>
            <w:tcW w:w="4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Retirement 2050 Fund</w:t>
            </w: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316,253</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440" w:type="dxa"/>
            <w:vAlign w:val="bottom"/>
          </w:tcPr>
          <w:p>
            <w:pPr>
              <w:ind w:left="80"/>
              <w:spacing w:after="0"/>
              <w:rPr>
                <w:sz w:val="20"/>
                <w:szCs w:val="20"/>
                <w:color w:val="auto"/>
              </w:rPr>
            </w:pPr>
            <w:r>
              <w:rPr>
                <w:rFonts w:ascii="Arial" w:cs="Arial" w:eastAsia="Arial" w:hAnsi="Arial"/>
                <w:sz w:val="16"/>
                <w:szCs w:val="16"/>
                <w:color w:val="auto"/>
              </w:rPr>
              <w:t>Retirement 2040 Fund</w:t>
            </w: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335,573</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4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Retirement 2030 Fund</w:t>
            </w: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213,830</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440" w:type="dxa"/>
            <w:vAlign w:val="bottom"/>
          </w:tcPr>
          <w:p>
            <w:pPr>
              <w:ind w:left="80"/>
              <w:spacing w:after="0"/>
              <w:rPr>
                <w:sz w:val="20"/>
                <w:szCs w:val="20"/>
                <w:color w:val="auto"/>
              </w:rPr>
            </w:pPr>
            <w:r>
              <w:rPr>
                <w:rFonts w:ascii="Arial" w:cs="Arial" w:eastAsia="Arial" w:hAnsi="Arial"/>
                <w:sz w:val="16"/>
                <w:szCs w:val="16"/>
                <w:color w:val="auto"/>
              </w:rPr>
              <w:t>Retirement 2020 Fund</w:t>
            </w: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78,961</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4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Retirement Income Fund</w:t>
            </w:r>
          </w:p>
        </w:tc>
        <w:tc>
          <w:tcPr>
            <w:tcW w:w="3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309,071</w:t>
            </w:r>
          </w:p>
        </w:tc>
        <w:tc>
          <w:tcPr>
            <w:tcW w:w="0" w:type="dxa"/>
            <w:vAlign w:val="bottom"/>
          </w:tcPr>
          <w:p>
            <w:pPr>
              <w:spacing w:after="0"/>
              <w:rPr>
                <w:sz w:val="1"/>
                <w:szCs w:val="1"/>
                <w:color w:val="auto"/>
              </w:rPr>
            </w:pPr>
          </w:p>
        </w:tc>
      </w:tr>
      <w:tr>
        <w:trPr>
          <w:trHeight w:val="196"/>
        </w:trPr>
        <w:tc>
          <w:tcPr>
            <w:tcW w:w="3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920" w:type="dxa"/>
            <w:vAlign w:val="bottom"/>
            <w:tcBorders>
              <w:bottom w:val="single" w:sz="8" w:color="CCEEFF"/>
            </w:tcBorders>
          </w:tcPr>
          <w:p>
            <w:pPr>
              <w:spacing w:after="0"/>
              <w:rPr>
                <w:sz w:val="17"/>
                <w:szCs w:val="17"/>
                <w:color w:val="auto"/>
              </w:rPr>
            </w:pPr>
          </w:p>
        </w:tc>
        <w:tc>
          <w:tcPr>
            <w:tcW w:w="44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7,078,423</w:t>
            </w:r>
          </w:p>
        </w:tc>
        <w:tc>
          <w:tcPr>
            <w:tcW w:w="0" w:type="dxa"/>
            <w:vAlign w:val="bottom"/>
          </w:tcPr>
          <w:p>
            <w:pPr>
              <w:spacing w:after="0"/>
              <w:rPr>
                <w:sz w:val="1"/>
                <w:szCs w:val="1"/>
                <w:color w:val="auto"/>
              </w:rPr>
            </w:pPr>
          </w:p>
        </w:tc>
      </w:tr>
      <w:tr>
        <w:trPr>
          <w:trHeight w:val="196"/>
        </w:trPr>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4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8,530,503</w:t>
            </w:r>
          </w:p>
        </w:tc>
        <w:tc>
          <w:tcPr>
            <w:tcW w:w="0" w:type="dxa"/>
            <w:vAlign w:val="bottom"/>
          </w:tcPr>
          <w:p>
            <w:pPr>
              <w:spacing w:after="0"/>
              <w:rPr>
                <w:sz w:val="1"/>
                <w:szCs w:val="1"/>
                <w:color w:val="auto"/>
              </w:rPr>
            </w:pPr>
          </w:p>
        </w:tc>
      </w:tr>
      <w:tr>
        <w:trPr>
          <w:trHeight w:val="193"/>
        </w:trPr>
        <w:tc>
          <w:tcPr>
            <w:tcW w:w="3380" w:type="dxa"/>
            <w:vAlign w:val="bottom"/>
            <w:gridSpan w:val="3"/>
            <w:vMerge w:val="restart"/>
          </w:tcPr>
          <w:p>
            <w:pPr>
              <w:ind w:left="180"/>
              <w:spacing w:after="0"/>
              <w:rPr>
                <w:sz w:val="20"/>
                <w:szCs w:val="20"/>
                <w:color w:val="auto"/>
              </w:rPr>
            </w:pPr>
            <w:r>
              <w:rPr>
                <w:rFonts w:ascii="Arial" w:cs="Arial" w:eastAsia="Arial" w:hAnsi="Arial"/>
                <w:sz w:val="16"/>
                <w:szCs w:val="16"/>
                <w:color w:val="auto"/>
              </w:rPr>
              <w:t>*  Notes receivable from participants</w:t>
            </w:r>
          </w:p>
        </w:tc>
        <w:tc>
          <w:tcPr>
            <w:tcW w:w="4440" w:type="dxa"/>
            <w:vAlign w:val="bottom"/>
          </w:tcPr>
          <w:p>
            <w:pPr>
              <w:ind w:left="80"/>
              <w:spacing w:after="0"/>
              <w:rPr>
                <w:sz w:val="20"/>
                <w:szCs w:val="20"/>
                <w:color w:val="auto"/>
              </w:rPr>
            </w:pPr>
            <w:r>
              <w:rPr>
                <w:rFonts w:ascii="Arial" w:cs="Arial" w:eastAsia="Arial" w:hAnsi="Arial"/>
                <w:sz w:val="16"/>
                <w:szCs w:val="16"/>
                <w:color w:val="auto"/>
                <w:w w:val="98"/>
              </w:rPr>
              <w:t>Collateralized by vested account balances, payable in monthly</w:t>
            </w: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8"/>
        </w:trPr>
        <w:tc>
          <w:tcPr>
            <w:tcW w:w="3380" w:type="dxa"/>
            <w:vAlign w:val="bottom"/>
            <w:gridSpan w:val="3"/>
            <w:vMerge w:val="continue"/>
          </w:tcPr>
          <w:p>
            <w:pPr>
              <w:spacing w:after="0"/>
              <w:rPr>
                <w:sz w:val="8"/>
                <w:szCs w:val="8"/>
                <w:color w:val="auto"/>
              </w:rPr>
            </w:pPr>
          </w:p>
        </w:tc>
        <w:tc>
          <w:tcPr>
            <w:tcW w:w="4440" w:type="dxa"/>
            <w:vAlign w:val="bottom"/>
            <w:vMerge w:val="restart"/>
          </w:tcPr>
          <w:p>
            <w:pPr>
              <w:ind w:left="80"/>
              <w:spacing w:after="0"/>
              <w:rPr>
                <w:sz w:val="20"/>
                <w:szCs w:val="20"/>
                <w:color w:val="auto"/>
              </w:rPr>
            </w:pPr>
            <w:r>
              <w:rPr>
                <w:rFonts w:ascii="Arial" w:cs="Arial" w:eastAsia="Arial" w:hAnsi="Arial"/>
                <w:sz w:val="16"/>
                <w:szCs w:val="16"/>
                <w:color w:val="auto"/>
              </w:rPr>
              <w:t>installments with interest rates ranging from 5.25% to 5.75%</w:t>
            </w:r>
          </w:p>
        </w:tc>
        <w:tc>
          <w:tcPr>
            <w:tcW w:w="3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tcPr>
          <w:p>
            <w:pPr>
              <w:spacing w:after="0"/>
              <w:rPr>
                <w:sz w:val="9"/>
                <w:szCs w:val="9"/>
                <w:color w:val="auto"/>
              </w:rPr>
            </w:pPr>
          </w:p>
        </w:tc>
        <w:tc>
          <w:tcPr>
            <w:tcW w:w="444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44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304,648</w:t>
            </w:r>
          </w:p>
        </w:tc>
        <w:tc>
          <w:tcPr>
            <w:tcW w:w="0" w:type="dxa"/>
            <w:vAlign w:val="bottom"/>
          </w:tcPr>
          <w:p>
            <w:pPr>
              <w:spacing w:after="0"/>
              <w:rPr>
                <w:sz w:val="1"/>
                <w:szCs w:val="1"/>
                <w:color w:val="auto"/>
              </w:rPr>
            </w:pPr>
          </w:p>
        </w:tc>
      </w:tr>
      <w:tr>
        <w:trPr>
          <w:trHeight w:val="200"/>
        </w:trPr>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8,835,151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080125"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80125" cy="146050"/>
                    </a:xfrm>
                    <a:prstGeom prst="rect">
                      <a:avLst/>
                    </a:prstGeom>
                    <a:noFill/>
                  </pic:spPr>
                </pic:pic>
              </a:graphicData>
            </a:graphic>
          </wp:anchor>
        </w:drawing>
      </w:r>
    </w:p>
    <w:p>
      <w:pPr>
        <w:ind w:left="440" w:hanging="256"/>
        <w:spacing w:after="0"/>
        <w:tabs>
          <w:tab w:leader="none" w:pos="4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Indicates a party-in-interest to the Plan.</w:t>
      </w:r>
    </w:p>
    <w:p>
      <w:pPr>
        <w:spacing w:after="0" w:line="234"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6"/>
          <w:szCs w:val="16"/>
          <w:color w:val="auto"/>
        </w:rPr>
        <w:t>Note: Column (d), cost, is not applicable, as all investments are participant-directed.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608012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80125" cy="12890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220980</wp:posOffset>
            </wp:positionV>
            <wp:extent cx="608012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80125" cy="26035"/>
                    </a:xfrm>
                    <a:prstGeom prst="rect">
                      <a:avLst/>
                    </a:prstGeom>
                    <a:noFill/>
                  </pic:spPr>
                </pic:pic>
              </a:graphicData>
            </a:graphic>
          </wp:anchor>
        </w:drawing>
      </w:r>
    </w:p>
    <w:p>
      <w:pPr>
        <w:sectPr>
          <w:pgSz w:w="11900" w:h="16838" w:orient="portrait"/>
          <w:cols w:equalWidth="0" w:num="1">
            <w:col w:w="9580"/>
          </w:cols>
          <w:pgMar w:left="1160" w:top="125" w:right="115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Pursuant to the requirements of the Securities Exchange Act of 1934, Universal Forest Products, Inc., as Plan Administrator, has duly caused this annual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Shawnlee Construction LLC 401(k) Plan</w:t>
      </w:r>
    </w:p>
    <w:p>
      <w:pPr>
        <w:spacing w:after="0" w:line="200" w:lineRule="exact"/>
        <w:rPr>
          <w:sz w:val="20"/>
          <w:szCs w:val="20"/>
          <w:color w:val="auto"/>
        </w:rPr>
      </w:pPr>
    </w:p>
    <w:p>
      <w:pPr>
        <w:spacing w:after="0" w:line="214" w:lineRule="exact"/>
        <w:rPr>
          <w:sz w:val="20"/>
          <w:szCs w:val="20"/>
          <w:color w:val="auto"/>
        </w:rPr>
      </w:pPr>
    </w:p>
    <w:p>
      <w:pPr>
        <w:ind w:left="100"/>
        <w:spacing w:after="0"/>
        <w:tabs>
          <w:tab w:leader="none" w:pos="660" w:val="left"/>
          <w:tab w:leader="none" w:pos="5700" w:val="left"/>
        </w:tabs>
        <w:rPr>
          <w:sz w:val="20"/>
          <w:szCs w:val="20"/>
          <w:color w:val="auto"/>
        </w:rPr>
      </w:pPr>
      <w:r>
        <w:rPr>
          <w:rFonts w:ascii="Arial" w:cs="Arial" w:eastAsia="Arial" w:hAnsi="Arial"/>
          <w:sz w:val="18"/>
          <w:szCs w:val="18"/>
          <w:color w:val="auto"/>
        </w:rPr>
        <w:t>Date:</w:t>
        <w:tab/>
        <w:t>June 21, 2017</w:t>
      </w:r>
      <w:r>
        <w:rPr>
          <w:sz w:val="20"/>
          <w:szCs w:val="20"/>
          <w:color w:val="auto"/>
        </w:rPr>
        <w:tab/>
      </w:r>
      <w:r>
        <w:rPr>
          <w:rFonts w:ascii="Arial" w:cs="Arial" w:eastAsia="Arial" w:hAnsi="Arial"/>
          <w:sz w:val="16"/>
          <w:szCs w:val="16"/>
          <w:color w:val="auto"/>
        </w:rPr>
        <w:t>/s/ Gerald Simmer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31750</wp:posOffset>
            </wp:positionV>
            <wp:extent cx="548830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88305" cy="17145"/>
                    </a:xfrm>
                    <a:prstGeom prst="rect">
                      <a:avLst/>
                    </a:prstGeom>
                    <a:noFill/>
                  </pic:spPr>
                </pic:pic>
              </a:graphicData>
            </a:graphic>
          </wp:anchor>
        </w:drawing>
      </w:r>
    </w:p>
    <w:p>
      <w:pPr>
        <w:spacing w:after="0" w:line="8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Gerald Simmer,</w:t>
      </w:r>
    </w:p>
    <w:p>
      <w:pPr>
        <w:spacing w:after="0" w:line="7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Shawnlee Construction LLC, Plan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477520</wp:posOffset>
            </wp:positionV>
            <wp:extent cx="606298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62980" cy="26035"/>
                    </a:xfrm>
                    <a:prstGeom prst="rect">
                      <a:avLst/>
                    </a:prstGeom>
                    <a:noFill/>
                  </pic:spPr>
                </pic:pic>
              </a:graphicData>
            </a:graphic>
          </wp:anchor>
        </w:drawing>
      </w:r>
    </w:p>
    <w:p>
      <w:pPr>
        <w:sectPr>
          <w:pgSz w:w="11900" w:h="16838" w:orient="portrait"/>
          <w:cols w:equalWidth="0" w:num="1">
            <w:col w:w="9540"/>
          </w:cols>
          <w:pgMar w:left="1180" w:top="125" w:right="117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6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70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10"/>
        </w:trPr>
        <w:tc>
          <w:tcPr>
            <w:tcW w:w="1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23</w:t>
            </w:r>
          </w:p>
        </w:tc>
        <w:tc>
          <w:tcPr>
            <w:tcW w:w="124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Consent of BDO USA, LLP</w:t>
            </w:r>
          </w:p>
        </w:tc>
        <w:tc>
          <w:tcPr>
            <w:tcW w:w="4980" w:type="dxa"/>
            <w:vAlign w:val="bottom"/>
            <w:tcBorders>
              <w:top w:val="single" w:sz="8" w:color="CCEEFF"/>
            </w:tcBorders>
            <w:shd w:val="clear" w:color="auto" w:fill="CCEEFF"/>
          </w:tcPr>
          <w:p>
            <w:pPr>
              <w:spacing w:after="0"/>
              <w:rPr>
                <w:sz w:val="18"/>
                <w:szCs w:val="18"/>
                <w:color w:val="auto"/>
              </w:rPr>
            </w:pPr>
          </w:p>
        </w:tc>
      </w:tr>
      <w:tr>
        <w:trPr>
          <w:trHeight w:val="453"/>
        </w:trPr>
        <w:tc>
          <w:tcPr>
            <w:tcW w:w="1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r>
    </w:tbl>
    <w:p>
      <w:pPr>
        <w:sectPr>
          <w:pgSz w:w="11900" w:h="16838" w:orient="portrait"/>
          <w:cols w:equalWidth="0" w:num="1">
            <w:col w:w="9540"/>
          </w:cols>
          <w:pgMar w:left="1180" w:top="125" w:right="117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Shawnlee Construction LLC 401(k) Plan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Plainville, Massachusetts</w:t>
      </w:r>
    </w:p>
    <w:p>
      <w:pPr>
        <w:spacing w:after="0" w:line="238" w:lineRule="exact"/>
        <w:rPr>
          <w:sz w:val="20"/>
          <w:szCs w:val="20"/>
          <w:color w:val="auto"/>
        </w:rPr>
      </w:pPr>
    </w:p>
    <w:p>
      <w:pPr>
        <w:jc w:val="both"/>
        <w:spacing w:after="0" w:line="221" w:lineRule="exact"/>
        <w:rPr>
          <w:sz w:val="20"/>
          <w:szCs w:val="20"/>
          <w:color w:val="auto"/>
        </w:rPr>
      </w:pPr>
      <w:r>
        <w:rPr>
          <w:rFonts w:ascii="Arial" w:cs="Arial" w:eastAsia="Arial" w:hAnsi="Arial"/>
          <w:sz w:val="16"/>
          <w:szCs w:val="16"/>
          <w:color w:val="auto"/>
        </w:rPr>
        <w:t>We hereby consent to the incorporation by reference in the Registration Statement on Form S</w:t>
      </w:r>
      <w:r>
        <w:rPr>
          <w:rFonts w:ascii="MS PGothic" w:cs="MS PGothic" w:eastAsia="MS PGothic" w:hAnsi="MS PGothic"/>
          <w:sz w:val="16"/>
          <w:szCs w:val="16"/>
          <w:color w:val="auto"/>
        </w:rPr>
        <w:t>‑</w:t>
      </w:r>
      <w:r>
        <w:rPr>
          <w:rFonts w:ascii="Arial" w:cs="Arial" w:eastAsia="Arial" w:hAnsi="Arial"/>
          <w:sz w:val="16"/>
          <w:szCs w:val="16"/>
          <w:color w:val="auto"/>
        </w:rPr>
        <w:t>8 (333-156596) of Shawnlee Construction LLC of our report dated June 21, 2017, relating to the financial statements and supplemental schedule of Shawnlee Construction LLC 401(k) Plan which appears in this Form 11-K for the year ended December 31,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485775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2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decimal"/>
      <w:start w:val="4"/>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5"/>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2019-12-05T23:15:30Z</dcterms:created>
  <dcterms:modified xsi:type="dcterms:W3CDTF">2019-12-05T23:15:30Z</dcterms:modified>
</cp:coreProperties>
</file>