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July 28, 2025</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2" w:lineRule="exact"/>
        <w:rPr>
          <w:sz w:val="24"/>
          <w:szCs w:val="24"/>
          <w:color w:val="auto"/>
        </w:rPr>
      </w:pPr>
    </w:p>
    <w:tbl>
      <w:tblPr>
        <w:tblLayout w:type="fixed"/>
        <w:tblInd w:w="440" w:type="dxa"/>
        <w:tblCellMar>
          <w:top w:w="0" w:type="dxa"/>
          <w:left w:w="0" w:type="dxa"/>
          <w:bottom w:w="0" w:type="dxa"/>
          <w:right w:w="0" w:type="dxa"/>
        </w:tblCellMar>
      </w:tblPr>
      <w:tr>
        <w:trPr>
          <w:trHeight w:val="219"/>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1"/>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2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70"/>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81"/>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2801 East Beltline, NE Grand Rapids, Michigan</w:t>
            </w:r>
          </w:p>
        </w:tc>
        <w:tc>
          <w:tcPr>
            <w:tcW w:w="2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34"/>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1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left="60" w:right="79"/>
        <w:spacing w:after="0" w:line="31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359" w:hanging="10"/>
        <w:spacing w:after="0" w:line="378" w:lineRule="auto"/>
        <w:tabs>
          <w:tab w:leader="none" w:pos="5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2"/>
        </w:trPr>
        <w:tc>
          <w:tcPr>
            <w:tcW w:w="3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0" w:right="119"/>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582930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42545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76835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 w:name="page2"/>
    <w:bookmarkEnd w:id="1"/>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July 28, 2025, the Registrant issued a press release announcing its financial results for the quarter-ended June 28, 2025.</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 copy of the Registrant’s press release is attached as Exhibit 99(a) to this Current Report.</w:t>
      </w:r>
    </w:p>
    <w:p>
      <w:pPr>
        <w:spacing w:after="0" w:line="203"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Pro Forma Financial Information, and Exhibits</w:t>
      </w:r>
    </w:p>
    <w:p>
      <w:pPr>
        <w:spacing w:after="0" w:line="324" w:lineRule="exact"/>
        <w:rPr>
          <w:sz w:val="20"/>
          <w:szCs w:val="20"/>
          <w:color w:val="auto"/>
        </w:rPr>
      </w:pPr>
    </w:p>
    <w:p>
      <w:pPr>
        <w:ind w:left="1280" w:hanging="582"/>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p>
      <w:pPr>
        <w:ind w:left="700"/>
        <w:spacing w:after="0"/>
        <w:tabs>
          <w:tab w:leader="none" w:pos="1260" w:val="left"/>
        </w:tabs>
        <w:rPr>
          <w:sz w:val="20"/>
          <w:szCs w:val="20"/>
          <w:color w:val="auto"/>
        </w:rPr>
      </w:pPr>
      <w:r>
        <w:rPr>
          <w:rFonts w:ascii="Times New Roman" w:cs="Times New Roman" w:eastAsia="Times New Roman" w:hAnsi="Times New Roman"/>
          <w:sz w:val="18"/>
          <w:szCs w:val="18"/>
          <w:color w:val="auto"/>
        </w:rPr>
        <w:t>99(a)</w:t>
      </w:r>
      <w:r>
        <w:rPr>
          <w:sz w:val="20"/>
          <w:szCs w:val="20"/>
          <w:color w:val="auto"/>
        </w:rPr>
        <w:tab/>
      </w:r>
      <w:r>
        <w:rPr>
          <w:rFonts w:ascii="Times New Roman" w:cs="Times New Roman" w:eastAsia="Times New Roman" w:hAnsi="Times New Roman"/>
          <w:sz w:val="18"/>
          <w:szCs w:val="18"/>
          <w:u w:val="single" w:color="auto"/>
          <w:color w:val="0000EE"/>
        </w:rPr>
        <w:t>Press Release dated July 28, 2025</w:t>
      </w:r>
    </w:p>
    <w:p>
      <w:pPr>
        <w:spacing w:after="0" w:line="225" w:lineRule="exact"/>
        <w:rPr>
          <w:sz w:val="20"/>
          <w:szCs w:val="20"/>
          <w:color w:val="auto"/>
        </w:rPr>
      </w:pPr>
    </w:p>
    <w:p>
      <w:pPr>
        <w:ind w:left="1280" w:hanging="582"/>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01"/>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00" w:type="dxa"/>
            <w:vAlign w:val="bottom"/>
          </w:tcPr>
          <w:p>
            <w:pPr>
              <w:spacing w:after="0"/>
              <w:rPr>
                <w:sz w:val="24"/>
                <w:szCs w:val="24"/>
                <w:color w:val="auto"/>
              </w:rPr>
            </w:pP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0" w:type="dxa"/>
            <w:vAlign w:val="bottom"/>
            <w:tcBorders>
              <w:top w:val="single" w:sz="8" w:color="auto"/>
              <w:bottom w:val="single" w:sz="8" w:color="auto"/>
            </w:tcBorders>
            <w:gridSpan w:val="2"/>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9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99(a)</w:t>
            </w:r>
          </w:p>
        </w:tc>
        <w:tc>
          <w:tcPr>
            <w:tcW w:w="2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July 28, 2025.</w:t>
            </w:r>
          </w:p>
        </w:tc>
        <w:tc>
          <w:tcPr>
            <w:tcW w:w="4560" w:type="dxa"/>
            <w:vAlign w:val="bottom"/>
            <w:gridSpan w:val="2"/>
          </w:tcPr>
          <w:p>
            <w:pPr>
              <w:spacing w:after="0"/>
              <w:rPr>
                <w:sz w:val="24"/>
                <w:szCs w:val="24"/>
                <w:color w:val="auto"/>
              </w:rPr>
            </w:pPr>
          </w:p>
        </w:tc>
      </w:tr>
      <w:tr>
        <w:trPr>
          <w:trHeight w:val="34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w:t>
            </w:r>
          </w:p>
        </w:tc>
      </w:tr>
      <w:tr>
        <w:trPr>
          <w:trHeight w:val="234"/>
        </w:trPr>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0" w:lineRule="exact"/>
        <w:rPr>
          <w:sz w:val="20"/>
          <w:szCs w:val="20"/>
          <w:color w:val="auto"/>
        </w:rPr>
      </w:pPr>
    </w:p>
    <w:p>
      <w:pPr>
        <w:ind w:left="60" w:right="79"/>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48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256"/>
        </w:trPr>
        <w:tc>
          <w:tcPr>
            <w:tcW w:w="29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1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(Registrant)</w:t>
            </w:r>
          </w:p>
        </w:tc>
      </w:tr>
      <w:tr>
        <w:trPr>
          <w:trHeight w:val="51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Dated: July 28, 2025</w:t>
            </w:r>
          </w:p>
        </w:tc>
        <w:tc>
          <w:tcPr>
            <w:tcW w:w="48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40"/>
        </w:trPr>
        <w:tc>
          <w:tcPr>
            <w:tcW w:w="29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218"/>
        </w:trPr>
        <w:tc>
          <w:tcPr>
            <w:tcW w:w="2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2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29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57"/>
        </w:trPr>
        <w:tc>
          <w:tcPr>
            <w:tcW w:w="29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142875</wp:posOffset>
            </wp:positionV>
            <wp:extent cx="649795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514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19685</wp:posOffset>
            </wp:positionV>
            <wp:extent cx="1903095" cy="754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03095" cy="7543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Monday, July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UFP Industries Announces Second Quarter 2025 Results</w:t>
      </w:r>
    </w:p>
    <w:p>
      <w:pPr>
        <w:spacing w:after="0" w:line="200" w:lineRule="exact"/>
        <w:rPr>
          <w:sz w:val="20"/>
          <w:szCs w:val="20"/>
          <w:color w:val="auto"/>
        </w:rPr>
      </w:pPr>
    </w:p>
    <w:p>
      <w:pPr>
        <w:spacing w:after="0" w:line="315" w:lineRule="exact"/>
        <w:rPr>
          <w:sz w:val="20"/>
          <w:szCs w:val="20"/>
          <w:color w:val="auto"/>
        </w:rPr>
      </w:pPr>
    </w:p>
    <w:p>
      <w:pPr>
        <w:ind w:right="60"/>
        <w:spacing w:after="0" w:line="400" w:lineRule="auto"/>
        <w:rPr>
          <w:sz w:val="20"/>
          <w:szCs w:val="20"/>
          <w:color w:val="auto"/>
        </w:rPr>
      </w:pPr>
      <w:r>
        <w:rPr>
          <w:rFonts w:ascii="Times New Roman" w:cs="Times New Roman" w:eastAsia="Times New Roman" w:hAnsi="Times New Roman"/>
          <w:sz w:val="19"/>
          <w:szCs w:val="19"/>
          <w:color w:val="auto"/>
        </w:rPr>
        <w:t>GRAND RAPIDS, MI – July 28, 2025 -- UFP Industries, Inc. (Nasdaq: UFPI) a leading manufacturer focused on delivering value-added products across its Retail, Packaging, and Construction segments reported results for the second quarter ended June, 28, 2025, including net sales of $1.84 billion, net earnings attributable to controlling interests of $100.7 million, earnings per diluted share of $1.70, and adjusted EBITDA of $174.1 million. Results for the quarter include impairment charges and one-time tax benefits which each amount to $0.05 per diluted share and offset one another.</w:t>
      </w:r>
    </w:p>
    <w:p>
      <w:pPr>
        <w:spacing w:after="0" w:line="164" w:lineRule="exact"/>
        <w:rPr>
          <w:sz w:val="20"/>
          <w:szCs w:val="20"/>
          <w:color w:val="auto"/>
        </w:rPr>
      </w:pPr>
    </w:p>
    <w:p>
      <w:pPr>
        <w:ind w:right="40"/>
        <w:spacing w:after="0" w:line="373" w:lineRule="auto"/>
        <w:rPr>
          <w:sz w:val="20"/>
          <w:szCs w:val="20"/>
          <w:color w:val="auto"/>
        </w:rPr>
      </w:pPr>
      <w:r>
        <w:rPr>
          <w:rFonts w:ascii="Times New Roman" w:cs="Times New Roman" w:eastAsia="Times New Roman" w:hAnsi="Times New Roman"/>
          <w:sz w:val="20"/>
          <w:szCs w:val="20"/>
          <w:color w:val="auto"/>
        </w:rPr>
        <w:t>Our second quarter was largely a continuation from our first quarter as visibility remains limited, tariff uncertainty remains a challenge for consumer and business sentiment, and end market demand remains soft but stable. Despite the current environment, we continue to make progress positioning UFP as a leaner and faster growing enterprise for when markets recover,” said Will Schwartz UFP Industries CEO. “I want to thank each of our employees for their continued dedication and willingness to make the difficult but necessary business decisions during these uncertain times. We remain on target to realize approximately $60 million of structural cost savings by year-end 2026 and will continue to evaluate all aspects of our business to drive additional margin improvement.”</w:t>
      </w:r>
    </w:p>
    <w:p>
      <w:pPr>
        <w:spacing w:after="0" w:line="185" w:lineRule="exact"/>
        <w:rPr>
          <w:sz w:val="20"/>
          <w:szCs w:val="20"/>
          <w:color w:val="auto"/>
        </w:rPr>
      </w:pPr>
    </w:p>
    <w:p>
      <w:pPr>
        <w:ind w:right="220"/>
        <w:spacing w:after="0" w:line="377" w:lineRule="auto"/>
        <w:rPr>
          <w:sz w:val="20"/>
          <w:szCs w:val="20"/>
          <w:color w:val="auto"/>
        </w:rPr>
      </w:pPr>
      <w:r>
        <w:rPr>
          <w:rFonts w:ascii="Times New Roman" w:cs="Times New Roman" w:eastAsia="Times New Roman" w:hAnsi="Times New Roman"/>
          <w:sz w:val="20"/>
          <w:szCs w:val="20"/>
          <w:color w:val="auto"/>
        </w:rPr>
        <w:t>“Looking ahead, we remain focused on driving innovation across the portfolio and making strategic investments to drive growth and profitability. Our long-term capital plans are focused on investing in our most attractive opportunities for growth, margin, and returns. We are also actively pursuing M&amp;A transactions that complement our core capabilities. Our strong balance sheet and free cash flow generation remain competitive advantages, enabling us to pursue strategic investments, along with share repurchases and dividends, while maintaining a conservative capital structure.”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2025 Highlights (comparisons on a year-over-year basis except where noted):</w:t>
      </w:r>
    </w:p>
    <w:p>
      <w:pPr>
        <w:spacing w:after="0" w:line="233" w:lineRule="exact"/>
        <w:rPr>
          <w:sz w:val="20"/>
          <w:szCs w:val="20"/>
          <w:color w:val="auto"/>
        </w:rPr>
      </w:pPr>
    </w:p>
    <w:p>
      <w:pPr>
        <w:ind w:left="640" w:right="460" w:hanging="322"/>
        <w:spacing w:after="0" w:line="366" w:lineRule="auto"/>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 of $1.84 billion decreased by 4 percent due to a 1 percent decrease in price and a 3 percent decline in organic units.</w:t>
      </w:r>
    </w:p>
    <w:p>
      <w:pPr>
        <w:ind w:left="640" w:right="600" w:hanging="322"/>
        <w:spacing w:after="0" w:line="373" w:lineRule="auto"/>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product sales of $129.1 million were 7.0 percent of total net sales compared to 6.7 percent in the second quarter of 2024.</w:t>
      </w:r>
    </w:p>
    <w:p>
      <w:pPr>
        <w:ind w:left="640" w:hanging="322"/>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Earnings of $100.7 million declined from $126.0 million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528320</wp:posOffset>
            </wp:positionV>
            <wp:extent cx="649795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9900"/>
          </w:cols>
          <w:pgMar w:left="1160" w:top="117" w:right="8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6" w:lineRule="exact"/>
        <w:rPr>
          <w:sz w:val="20"/>
          <w:szCs w:val="20"/>
          <w:color w:val="auto"/>
        </w:rPr>
      </w:pPr>
    </w:p>
    <w:p>
      <w:pPr>
        <w:ind w:left="970" w:right="160" w:hanging="322"/>
        <w:spacing w:after="0" w:line="205" w:lineRule="auto"/>
        <w:tabs>
          <w:tab w:leader="none" w:pos="97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9"/>
          <w:szCs w:val="29"/>
          <w:u w:val="single" w:color="auto"/>
          <w:color w:val="0000EE"/>
          <w:vertAlign w:val="superscript"/>
        </w:rPr>
        <w:t>1</w:t>
      </w:r>
      <w:r>
        <w:rPr>
          <w:rFonts w:ascii="Times New Roman" w:cs="Times New Roman" w:eastAsia="Times New Roman" w:hAnsi="Times New Roman"/>
          <w:sz w:val="20"/>
          <w:szCs w:val="20"/>
          <w:color w:val="auto"/>
        </w:rPr>
        <w:t xml:space="preserve"> was $174.1 million in the quarter, or 9.5% percent of net sales, compared to $203.9 million, or 10.7 percent of net sales, for the same period a year ago.</w:t>
      </w:r>
    </w:p>
    <w:p>
      <w:pPr>
        <w:spacing w:after="0" w:line="251"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20"/>
          <w:szCs w:val="20"/>
          <w:b w:val="1"/>
          <w:bCs w:val="1"/>
          <w:u w:val="single" w:color="auto"/>
          <w:color w:val="auto"/>
        </w:rPr>
        <w:t>Capital Allocation</w:t>
      </w:r>
    </w:p>
    <w:p>
      <w:pPr>
        <w:spacing w:after="0" w:line="341" w:lineRule="exact"/>
        <w:rPr>
          <w:sz w:val="20"/>
          <w:szCs w:val="20"/>
          <w:color w:val="auto"/>
        </w:rPr>
      </w:pPr>
    </w:p>
    <w:p>
      <w:pPr>
        <w:ind w:left="330" w:right="100"/>
        <w:spacing w:after="0" w:line="388" w:lineRule="auto"/>
        <w:rPr>
          <w:sz w:val="20"/>
          <w:szCs w:val="20"/>
          <w:color w:val="auto"/>
        </w:rPr>
      </w:pPr>
      <w:r>
        <w:rPr>
          <w:rFonts w:ascii="Times New Roman" w:cs="Times New Roman" w:eastAsia="Times New Roman" w:hAnsi="Times New Roman"/>
          <w:sz w:val="20"/>
          <w:szCs w:val="20"/>
          <w:color w:val="auto"/>
        </w:rPr>
        <w:t>UFP Industries maintains a strong balance sheet and as of June 28, 2025, had approximately $2.1 billion of liquidity consisting of $841.9 million of cash and remaining availability under its revolving credit facility and a shelf agreement with certain lenders. The company’s return-focused approach to capital allocation includes the following:</w:t>
      </w:r>
    </w:p>
    <w:p>
      <w:pPr>
        <w:spacing w:after="0" w:line="163" w:lineRule="exact"/>
        <w:rPr>
          <w:sz w:val="20"/>
          <w:szCs w:val="20"/>
          <w:color w:val="auto"/>
        </w:rPr>
      </w:pPr>
    </w:p>
    <w:p>
      <w:pPr>
        <w:ind w:left="650" w:right="80" w:hanging="326"/>
        <w:spacing w:after="0" w:line="375" w:lineRule="auto"/>
        <w:tabs>
          <w:tab w:leader="none" w:pos="65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Acquisitions and Organic Growth. </w:t>
      </w:r>
      <w:r>
        <w:rPr>
          <w:rFonts w:ascii="Times New Roman" w:cs="Times New Roman" w:eastAsia="Times New Roman" w:hAnsi="Times New Roman"/>
          <w:sz w:val="20"/>
          <w:szCs w:val="20"/>
          <w:color w:val="auto"/>
        </w:rPr>
        <w:t>The company seeks strategic acquisitions and invests in organic growth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opportunities when acquisition targets are not available at valuations that will allow us to meet or exceed targeted return rates. In 2024, the company announced up to $1 billion in capital investments through 2028 for automation, technology upgrades, geographic expansion and increased capacity at existing facilities, primarily for its Deckorators and Site Built business units, as well as its Packaging segment. The company expects to invest approximately $300 million to $325 million in capital projects in 2025.</w:t>
      </w:r>
    </w:p>
    <w:p>
      <w:pPr>
        <w:spacing w:after="0" w:line="314" w:lineRule="exact"/>
        <w:rPr>
          <w:rFonts w:ascii="Times New Roman" w:cs="Times New Roman" w:eastAsia="Times New Roman" w:hAnsi="Times New Roman"/>
          <w:sz w:val="20"/>
          <w:szCs w:val="20"/>
          <w:color w:val="auto"/>
        </w:rPr>
      </w:pPr>
    </w:p>
    <w:p>
      <w:pPr>
        <w:ind w:left="650" w:right="200" w:hanging="326"/>
        <w:spacing w:after="0" w:line="378" w:lineRule="auto"/>
        <w:tabs>
          <w:tab w:leader="none" w:pos="65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Dividend payments. </w:t>
      </w:r>
      <w:r>
        <w:rPr>
          <w:rFonts w:ascii="Times New Roman" w:cs="Times New Roman" w:eastAsia="Times New Roman" w:hAnsi="Times New Roman"/>
          <w:sz w:val="20"/>
          <w:szCs w:val="20"/>
          <w:color w:val="auto"/>
        </w:rPr>
        <w:t>On July 23, 2025, the UFP Industries Board of Directors approved a quarterly cash dividend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of $0.35 per share, which represents a 6 percent year over year increase. This dividend is payable on September 15, 2025, to shareholders of record on September 1, 2025. We continue to consider our payout ratio and yield when determining the appropriate dividend rate and have a long-term objective of increasing our dividend in line with our earnings growth.</w:t>
      </w:r>
    </w:p>
    <w:p>
      <w:pPr>
        <w:spacing w:after="0" w:line="308" w:lineRule="exact"/>
        <w:rPr>
          <w:rFonts w:ascii="Times New Roman" w:cs="Times New Roman" w:eastAsia="Times New Roman" w:hAnsi="Times New Roman"/>
          <w:sz w:val="20"/>
          <w:szCs w:val="20"/>
          <w:color w:val="auto"/>
        </w:rPr>
      </w:pPr>
    </w:p>
    <w:p>
      <w:pPr>
        <w:ind w:left="650" w:right="80" w:hanging="326"/>
        <w:spacing w:after="0" w:line="375" w:lineRule="auto"/>
        <w:tabs>
          <w:tab w:leader="none" w:pos="65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Share repurchases. </w:t>
      </w:r>
      <w:r>
        <w:rPr>
          <w:rFonts w:ascii="Times New Roman" w:cs="Times New Roman" w:eastAsia="Times New Roman" w:hAnsi="Times New Roman"/>
          <w:sz w:val="20"/>
          <w:szCs w:val="20"/>
          <w:color w:val="auto"/>
        </w:rPr>
        <w:t>On July 24, 2024, the UFP Industries Board of Directors authorized the company’s repurchase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 to $200 million of shares through July 31, 2025. On April 23, 2025, the Board approved an increase in this repurchase authorization to $300 million. As of July 25, 2025, we have repurchased a total of approximately 2.6 million shares under this authorization for $269.6 million at an average share price of $103.55. On July 23, 2025, the Board approved a new share repurchase authorization totaling $300 million through July 31, 2026, which supersedes and replaces our prior share repurchase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122555</wp:posOffset>
            </wp:positionV>
            <wp:extent cx="1628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86" w:lineRule="exact"/>
        <w:rPr>
          <w:sz w:val="20"/>
          <w:szCs w:val="20"/>
          <w:color w:val="auto"/>
        </w:rPr>
      </w:pPr>
    </w:p>
    <w:p>
      <w:pPr>
        <w:ind w:left="110" w:hanging="110"/>
        <w:spacing w:after="0"/>
        <w:tabs>
          <w:tab w:leader="none" w:pos="11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a non-GAAP measurement; see the reconciliation of non-GAAP financial measures and related explanations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480060</wp:posOffset>
            </wp:positionV>
            <wp:extent cx="649795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30"/>
          </w:cols>
          <w:pgMar w:left="830" w:top="482" w:right="8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business segment, the company reported the following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UFP Retail Solutions</w:t>
      </w:r>
    </w:p>
    <w:p>
      <w:pPr>
        <w:spacing w:after="0" w:line="341"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0"/>
          <w:szCs w:val="20"/>
          <w:color w:val="auto"/>
        </w:rPr>
        <w:t>Net sales of $788.2 million were down 3 percent compared to the second quarter of 2024. Organic unit sales decreased 7 percent, which was partially offset by a 4 percent increase in selling prices. Organic unit sales decreased 3 percent for Deckorators and 7 percent for ProWood. Within our Deckorators business unit, our sales of railings declined 25 percent, wood-plastic composite decking was flat, and mineral-based Surestone composite decking increased over 45 percent. Railing sales declined due to the loss of placement with a large retail customer, which also impacted our wood-plastic composite decking volumes. However, we gained market share with another major retailer, and initial stocking orders from this retailer for our mineral-based, Surestone decking board, and stronger demand from the pro channel for this product has provided an offset. This shift positions us for a modest net market share gain in 2025 as we add capacity to supply to approximately 1,500 stores by 2026. We expect to realize the full benefit of this share gain in 2026 and remain focused on our long-term goal to double our composite decking and railing market share over the next five years. ProWood volumes declined primarily due to softer demand as result of higher interest rates and weaker consumer sentiment, as well as our ongoing efforts to exit lower-margin product lines.</w:t>
      </w:r>
    </w:p>
    <w:p>
      <w:pPr>
        <w:spacing w:after="0" w:line="191" w:lineRule="exact"/>
        <w:rPr>
          <w:sz w:val="20"/>
          <w:szCs w:val="20"/>
          <w:color w:val="auto"/>
        </w:rPr>
      </w:pPr>
    </w:p>
    <w:p>
      <w:pPr>
        <w:jc w:val="both"/>
        <w:ind w:right="180"/>
        <w:spacing w:after="0" w:line="377" w:lineRule="auto"/>
        <w:rPr>
          <w:sz w:val="20"/>
          <w:szCs w:val="20"/>
          <w:color w:val="auto"/>
        </w:rPr>
      </w:pPr>
      <w:r>
        <w:rPr>
          <w:rFonts w:ascii="Times New Roman" w:cs="Times New Roman" w:eastAsia="Times New Roman" w:hAnsi="Times New Roman"/>
          <w:sz w:val="20"/>
          <w:szCs w:val="20"/>
          <w:color w:val="auto"/>
        </w:rPr>
        <w:t>Gross profit was $113.7 million, or 14.4 percent of net sales, compared to $126.7 million, or 15.7 percent of net sales, over the same period in 2024. Gross profit declined for Deckorators as a result of lower unit sales of railings and an increase in costs due to a customer transition, while gross profit for our ProWood pressure-treated products was largely unchanged as higher material costs were offset by higher pricing. Higher costs contributed to a $4 million decline in gross profit for our Edge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UFP Packaging</w:t>
      </w:r>
    </w:p>
    <w:p>
      <w:pPr>
        <w:spacing w:after="0" w:line="247" w:lineRule="exact"/>
        <w:rPr>
          <w:sz w:val="20"/>
          <w:szCs w:val="20"/>
          <w:color w:val="auto"/>
        </w:rPr>
      </w:pPr>
    </w:p>
    <w:p>
      <w:pPr>
        <w:ind w:right="80"/>
        <w:spacing w:after="0" w:line="373" w:lineRule="auto"/>
        <w:rPr>
          <w:sz w:val="20"/>
          <w:szCs w:val="20"/>
          <w:color w:val="auto"/>
        </w:rPr>
      </w:pPr>
      <w:r>
        <w:rPr>
          <w:rFonts w:ascii="Times New Roman" w:cs="Times New Roman" w:eastAsia="Times New Roman" w:hAnsi="Times New Roman"/>
          <w:sz w:val="20"/>
          <w:szCs w:val="20"/>
          <w:color w:val="auto"/>
        </w:rPr>
        <w:t>Net sales of $428.7 million were down 2 percent compared to the second quarter of 2024. The declines in the quarter were driven by a 4 percent decline in selling prices and flat organic sales, which were partially offset by a 2 percent increase from an acquisition. Organic unit sales were flat as a 2 percent decline in Structural Packaging, due to lower demand, was offset by a 5 percent increase in PalletOne and an 8 percent increase in Protective Packaging as these business units continue to gain market share.</w:t>
      </w:r>
    </w:p>
    <w:p>
      <w:pPr>
        <w:spacing w:after="0" w:line="197" w:lineRule="exact"/>
        <w:rPr>
          <w:sz w:val="20"/>
          <w:szCs w:val="20"/>
          <w:color w:val="auto"/>
        </w:rPr>
      </w:pPr>
    </w:p>
    <w:p>
      <w:pPr>
        <w:jc w:val="both"/>
        <w:ind w:right="200"/>
        <w:spacing w:after="0" w:line="381" w:lineRule="auto"/>
        <w:rPr>
          <w:sz w:val="20"/>
          <w:szCs w:val="20"/>
          <w:color w:val="auto"/>
        </w:rPr>
      </w:pPr>
      <w:r>
        <w:rPr>
          <w:rFonts w:ascii="Times New Roman" w:cs="Times New Roman" w:eastAsia="Times New Roman" w:hAnsi="Times New Roman"/>
          <w:sz w:val="20"/>
          <w:szCs w:val="20"/>
          <w:color w:val="auto"/>
        </w:rPr>
        <w:t>Gross profit for the Packaging segment was $70.6 million, or 16.5 percent of net sales, compared to $83.7 million, or 19.2 percent of net sales, in the second quarter last year. Gross profit declined primarily due to softer demand, which resulted in more competitive pricing in our Pallet One and Structural Packaging business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UFP Construction</w:t>
      </w:r>
    </w:p>
    <w:p>
      <w:pPr>
        <w:spacing w:after="0" w:line="247" w:lineRule="exact"/>
        <w:rPr>
          <w:sz w:val="20"/>
          <w:szCs w:val="20"/>
          <w:color w:val="auto"/>
        </w:rPr>
      </w:pPr>
    </w:p>
    <w:p>
      <w:pPr>
        <w:spacing w:after="0" w:line="377" w:lineRule="auto"/>
        <w:rPr>
          <w:sz w:val="20"/>
          <w:szCs w:val="20"/>
          <w:color w:val="auto"/>
        </w:rPr>
      </w:pPr>
      <w:r>
        <w:rPr>
          <w:rFonts w:ascii="Times New Roman" w:cs="Times New Roman" w:eastAsia="Times New Roman" w:hAnsi="Times New Roman"/>
          <w:sz w:val="20"/>
          <w:szCs w:val="20"/>
          <w:color w:val="auto"/>
        </w:rPr>
        <w:t>Net sales of $551.6 million were down 4 percent compared to the second quarter of 2024 as a 6 percent decrease in selling prices was partially offset by an organic unit sales increase of 2 percent. Organic unit sales increased 8 percent in Factory Built due to higher industry production, market share gains, new products, and expanded capabilities. Organic unit sales increased 6 percent in Commercial and 11 percent in Concrete Forming. Site Built Housing volumes decreased 7 percent due to softer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565150</wp:posOffset>
            </wp:positionV>
            <wp:extent cx="6497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9900"/>
          </w:cols>
          <w:pgMar w:left="1160" w:top="482" w:right="8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4</w:t>
      </w:r>
    </w:p>
    <w:p>
      <w:pPr>
        <w:spacing w:after="0" w:line="54" w:lineRule="exact"/>
        <w:rPr>
          <w:sz w:val="20"/>
          <w:szCs w:val="20"/>
          <w:color w:val="auto"/>
        </w:rPr>
      </w:pPr>
    </w:p>
    <w:p>
      <w:pPr>
        <w:ind w:right="240"/>
        <w:spacing w:after="0" w:line="380" w:lineRule="auto"/>
        <w:rPr>
          <w:sz w:val="20"/>
          <w:szCs w:val="20"/>
          <w:color w:val="auto"/>
        </w:rPr>
      </w:pPr>
      <w:r>
        <w:rPr>
          <w:rFonts w:ascii="Times New Roman" w:cs="Times New Roman" w:eastAsia="Times New Roman" w:hAnsi="Times New Roman"/>
          <w:sz w:val="20"/>
          <w:szCs w:val="20"/>
          <w:color w:val="auto"/>
        </w:rPr>
        <w:t>Gross profit for the Construction segment was $100.2 million, or 18.2 percent of net sales, compared to $125.6 million, or 21.9 percent of net sales, in the second quarter last year. The decrease in gross profit was primarily driven by lower unit sales and more competitive pricing in our Site Built business unit. Favorable volumes in both the Concrete Forming Solutions and Factory Built businesses each supported year over year gross profit growth in the quarter.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Short-Term Outlook</w:t>
      </w:r>
    </w:p>
    <w:p>
      <w:pPr>
        <w:spacing w:after="0" w:line="233" w:lineRule="exact"/>
        <w:rPr>
          <w:sz w:val="20"/>
          <w:szCs w:val="20"/>
          <w:color w:val="auto"/>
        </w:rPr>
      </w:pPr>
    </w:p>
    <w:p>
      <w:pPr>
        <w:ind w:right="140"/>
        <w:spacing w:after="0" w:line="397" w:lineRule="auto"/>
        <w:rPr>
          <w:sz w:val="20"/>
          <w:szCs w:val="20"/>
          <w:color w:val="auto"/>
        </w:rPr>
      </w:pPr>
      <w:r>
        <w:rPr>
          <w:rFonts w:ascii="Times New Roman" w:cs="Times New Roman" w:eastAsia="Times New Roman" w:hAnsi="Times New Roman"/>
          <w:sz w:val="19"/>
          <w:szCs w:val="19"/>
          <w:u w:val="single" w:color="auto"/>
          <w:color w:val="auto"/>
        </w:rPr>
        <w:t>Tariff and duty impacts:</w:t>
      </w:r>
      <w:r>
        <w:rPr>
          <w:rFonts w:ascii="Times New Roman" w:cs="Times New Roman" w:eastAsia="Times New Roman" w:hAnsi="Times New Roman"/>
          <w:sz w:val="19"/>
          <w:szCs w:val="19"/>
          <w:color w:val="auto"/>
        </w:rPr>
        <w:t xml:space="preserve"> We are working closely with our domestic and international suppliers to navigate the recently proposed tariffs on several of our raw materials. If tariffs are enacted, the demand for domestic products would be expected to increase, which will likely increase costs as capacity gets challenged. Although the trade landscape continues to evolve, since we do not own any foreign sawmills and have excellent relationships with our mill partners, we believe we are currently in a strong position to adapt quickly to tariffs without material adverse financial impact after a short adjustment period. The company will continue to monitor the market and intends to make decisions quickly to minimize disruption.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July 23, 2025, our Board of Directors approved a plan to close our Bonner, Montana manufacturing facilities, which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manufacture our Edge siding, pattern, and trim products. We plan to transfer our trim and certain other products to existing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facilities and will exit the coated siding business. As part of this restructuring, we expect to incur impairment charges and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one-time costs in a range of $15 million to $17 million in the third quarter of 2025 and expect a minimal impact 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revenues. These actions are expected to eliminate future operating losses associated with these facilities of approximately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 million in 2026. In addition, in July, we completed the sale of a small industrial component manufacturer as well as the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 of real estate associated with previously closed plants. We plan to recognize a one-time gain in July of approximately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$13 million associated with these transactions. An additional property is under contract to be sold in the third quarter, which</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 expected to add approximately $2 million to this gain. These actions are part of our ongoing efforts to improve capacity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utilization and reduce our costs by eliminating excess capacity and closing under-performing operations.</w:t>
      </w:r>
    </w:p>
    <w:p>
      <w:pPr>
        <w:spacing w:after="0" w:line="337" w:lineRule="exact"/>
        <w:rPr>
          <w:sz w:val="20"/>
          <w:szCs w:val="20"/>
          <w:color w:val="auto"/>
        </w:rPr>
      </w:pPr>
    </w:p>
    <w:p>
      <w:pPr>
        <w:ind w:right="200"/>
        <w:spacing w:after="0" w:line="400" w:lineRule="auto"/>
        <w:rPr>
          <w:sz w:val="20"/>
          <w:szCs w:val="20"/>
          <w:color w:val="auto"/>
        </w:rPr>
      </w:pPr>
      <w:r>
        <w:rPr>
          <w:rFonts w:ascii="Times New Roman" w:cs="Times New Roman" w:eastAsia="Times New Roman" w:hAnsi="Times New Roman"/>
          <w:sz w:val="19"/>
          <w:szCs w:val="19"/>
          <w:u w:val="single" w:color="auto"/>
          <w:color w:val="auto"/>
        </w:rPr>
        <w:t>End Market Demand:</w:t>
      </w:r>
      <w:r>
        <w:rPr>
          <w:rFonts w:ascii="Times New Roman" w:cs="Times New Roman" w:eastAsia="Times New Roman" w:hAnsi="Times New Roman"/>
          <w:sz w:val="19"/>
          <w:szCs w:val="19"/>
          <w:color w:val="auto"/>
        </w:rPr>
        <w:t xml:space="preserve"> Our 2025 outlook remains unchanged. We continue to anticipate the softer demand and competitive pricing environment will remain through the balance of 2025 and are planning for low single-digit unit declines in each of our segments. We anticipate a more significant decline in Site Built will be partially offset by an increase in Factory Built. We expect initial stocking orders for our new Surestone decking product and expanded manufacturing and distribution capabilities will continue to support momentum in our Deckorators business through the remainder of the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Long-Term Outlook</w:t>
      </w:r>
    </w:p>
    <w:p>
      <w:pPr>
        <w:spacing w:after="0" w:line="233" w:lineRule="exact"/>
        <w:rPr>
          <w:sz w:val="20"/>
          <w:szCs w:val="20"/>
          <w:color w:val="auto"/>
        </w:rPr>
      </w:pPr>
    </w:p>
    <w:p>
      <w:pPr>
        <w:ind w:right="160"/>
        <w:spacing w:after="0" w:line="380" w:lineRule="auto"/>
        <w:rPr>
          <w:sz w:val="20"/>
          <w:szCs w:val="20"/>
          <w:color w:val="auto"/>
        </w:rPr>
      </w:pPr>
      <w:r>
        <w:rPr>
          <w:rFonts w:ascii="Times New Roman" w:cs="Times New Roman" w:eastAsia="Times New Roman" w:hAnsi="Times New Roman"/>
          <w:sz w:val="20"/>
          <w:szCs w:val="20"/>
          <w:color w:val="auto"/>
        </w:rPr>
        <w:t xml:space="preserve">The company’s </w:t>
      </w:r>
      <w:r>
        <w:rPr>
          <w:rFonts w:ascii="Times New Roman" w:cs="Times New Roman" w:eastAsia="Times New Roman" w:hAnsi="Times New Roman"/>
          <w:sz w:val="20"/>
          <w:szCs w:val="20"/>
          <w:u w:val="single" w:color="auto"/>
          <w:color w:val="auto"/>
        </w:rPr>
        <w:t>long-term</w:t>
      </w:r>
      <w:r>
        <w:rPr>
          <w:rFonts w:ascii="Times New Roman" w:cs="Times New Roman" w:eastAsia="Times New Roman" w:hAnsi="Times New Roman"/>
          <w:sz w:val="20"/>
          <w:szCs w:val="20"/>
          <w:color w:val="auto"/>
        </w:rPr>
        <w:t xml:space="preserve"> goals remain unchanged and include: 1) achieving 7-10 percent unit sales growth annually (including bolt-on acquisitions) with at least 10 percent of all sales coming from new products; 2) achieving 12.5 percent adjusted EBITDA margins; 3) earning an incremental return on new investments over our hurdle rate; and 4) maintaining a conservative 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649605</wp:posOffset>
            </wp:positionV>
            <wp:extent cx="649795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9900"/>
          </w:cols>
          <w:pgMar w:left="1160" w:top="482" w:right="8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233" w:lineRule="exact"/>
        <w:rPr>
          <w:sz w:val="20"/>
          <w:szCs w:val="20"/>
          <w:color w:val="auto"/>
        </w:rPr>
      </w:pPr>
    </w:p>
    <w:p>
      <w:pPr>
        <w:ind w:right="180"/>
        <w:spacing w:after="0" w:line="377" w:lineRule="auto"/>
        <w:rPr>
          <w:sz w:val="20"/>
          <w:szCs w:val="20"/>
          <w:color w:val="auto"/>
        </w:rPr>
      </w:pPr>
      <w:r>
        <w:rPr>
          <w:rFonts w:ascii="Times New Roman" w:cs="Times New Roman" w:eastAsia="Times New Roman" w:hAnsi="Times New Roman"/>
          <w:sz w:val="20"/>
          <w:szCs w:val="20"/>
          <w:color w:val="auto"/>
        </w:rPr>
        <w:t>UFP Industries will conduct a conference call to discuss its outlook and information included in this news release at 9:00 a.m. ET on Tuesday, July 29, 2025. The call will be hosted by CEO Will Schwartz and CFO Michael Cole and will be available simultaneously and in its entirety to all interested investors and news media through a webcast at https://www.ufpinvestor.com/news-filings-reports#events---presentations. A replay of the call will be available through the website.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UFP Industries, Inc.</w:t>
      </w:r>
    </w:p>
    <w:p>
      <w:pPr>
        <w:spacing w:after="0" w:line="355" w:lineRule="exact"/>
        <w:rPr>
          <w:sz w:val="20"/>
          <w:szCs w:val="20"/>
          <w:color w:val="auto"/>
        </w:rPr>
      </w:pPr>
    </w:p>
    <w:p>
      <w:pPr>
        <w:spacing w:after="0" w:line="373" w:lineRule="auto"/>
        <w:rPr>
          <w:sz w:val="20"/>
          <w:szCs w:val="20"/>
          <w:color w:val="auto"/>
        </w:rPr>
      </w:pPr>
      <w:r>
        <w:rPr>
          <w:rFonts w:ascii="Times New Roman" w:cs="Times New Roman" w:eastAsia="Times New Roman" w:hAnsi="Times New Roman"/>
          <w:sz w:val="20"/>
          <w:szCs w:val="20"/>
          <w:color w:val="auto"/>
        </w:rPr>
        <w:t>UFP Industries, Inc. is a holding company whose operating subsidiaries – UFP Packaging, UFP Construction and UFP Retail Solutions – manufacture, distribute and sell a wide variety of value-added products used in residential and commercial construction, packaging and other industrial applications worldwide. Founded in 1955, the company is headquartered in Grand Rapids, Mich., with affiliates in North America, Europe, Asia and Australia. For more about UFP Industries, go to www.ufpi.com.</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60"/>
        <w:spacing w:after="0" w:line="387" w:lineRule="auto"/>
        <w:rPr>
          <w:sz w:val="20"/>
          <w:szCs w:val="20"/>
          <w:color w:val="auto"/>
        </w:rPr>
      </w:pPr>
      <w:r>
        <w:rPr>
          <w:rFonts w:ascii="Times New Roman" w:cs="Times New Roman" w:eastAsia="Times New Roman" w:hAnsi="Times New Roman"/>
          <w:sz w:val="14"/>
          <w:szCs w:val="14"/>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or unusual weather conditions; adverse economic conditions in the markets we serve; changes in tariffs, import/export regulations, and other trade policies; concentration of sales to customers; the success of vertical integration strategies; excess capacity or supply chain challenges; inbound and outbound transportation costs; alternatives to replace treated wood products; government regulations, particularly involving environmental and safety regulations; our ability to make successful business acquisitions; cybersecurity breaches; and potential pandemics. Certain of these risk factors as well as other risk factors and additional information are included in the Company's reports on Form 10-K and 10-Q on file with the Securities and Exchange Commission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Non-GAAP Financial Information</w:t>
      </w:r>
    </w:p>
    <w:p>
      <w:pPr>
        <w:spacing w:after="0" w:line="204" w:lineRule="exact"/>
        <w:rPr>
          <w:sz w:val="20"/>
          <w:szCs w:val="20"/>
          <w:color w:val="auto"/>
        </w:rPr>
      </w:pPr>
    </w:p>
    <w:p>
      <w:pPr>
        <w:ind w:right="100"/>
        <w:spacing w:after="0" w:line="389" w:lineRule="auto"/>
        <w:rPr>
          <w:sz w:val="20"/>
          <w:szCs w:val="20"/>
          <w:color w:val="auto"/>
        </w:rPr>
      </w:pPr>
      <w:r>
        <w:rPr>
          <w:rFonts w:ascii="Times New Roman" w:cs="Times New Roman" w:eastAsia="Times New Roman" w:hAnsi="Times New Roman"/>
          <w:sz w:val="14"/>
          <w:szCs w:val="14"/>
          <w:i w:val="1"/>
          <w:iCs w:val="1"/>
          <w:color w:val="auto"/>
        </w:rPr>
        <w:t>This release includes certain financial information not prepared in accordance with U.S. GAAP. Because not all companies calculate non-GAAP financial information identically (or at all), the presentations herein may not be comparable to other similarly titled measures used by other companies. Management uses Adjusted EBITDA, a non-GAAP financial measure, in order to evaluate historical and ongoing operations. Management believes that this non-GAAP financial measure is useful in order to enable investors to perform meaningful comparisons of historical and current performance. Adjusted EBITDA is intended to supplement and should be read together with the financial results. Adjusted EBITDA should not be considered an alternative or substitute for, and should not be considered superior to, the reported financial results. Accordingly, users of this financial information should not place undue reliance on the non-GAAP financial measure. See the table below for a reconciliation of Adjusted EBITDA to net earnings.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earnings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earnings refers to net earnings attributable to controlling interest unless specifically noted.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600075</wp:posOffset>
            </wp:positionV>
            <wp:extent cx="649795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9900"/>
          </w:cols>
          <w:pgMar w:left="1160" w:top="482" w:right="8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Stanley Elliott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(804) 337-8217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1102995</wp:posOffset>
            </wp:positionV>
            <wp:extent cx="6497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9900"/>
          </w:cols>
          <w:pgMar w:left="1160" w:top="482" w:right="8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7</w:t>
      </w:r>
    </w:p>
    <w:p>
      <w:pPr>
        <w:spacing w:after="0" w:line="9"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 FOR THE THREE AND SIX MONTHS ENDED JUNE 2025/2024</w:t>
      </w: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Quarter Period</w:t>
            </w:r>
          </w:p>
        </w:tc>
        <w:tc>
          <w:tcPr>
            <w:tcW w:w="620" w:type="dxa"/>
            <w:vAlign w:val="bottom"/>
            <w:tcBorders>
              <w:top w:val="single" w:sz="8" w:color="auto"/>
              <w:bottom w:val="single" w:sz="8" w:color="auto"/>
              <w:right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60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1,835,374</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1,901,959</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3,430,893</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3,540,925</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1,522,640</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1,539,216</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2,849,963</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2,852,104</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80.5</w:t>
            </w:r>
          </w:p>
        </w:tc>
        <w:tc>
          <w:tcPr>
            <w:tcW w:w="0" w:type="dxa"/>
            <w:vAlign w:val="bottom"/>
          </w:tcPr>
          <w:p>
            <w:pPr>
              <w:spacing w:after="0"/>
              <w:rPr>
                <w:sz w:val="1"/>
                <w:szCs w:val="1"/>
                <w:color w:val="auto"/>
              </w:rPr>
            </w:pPr>
          </w:p>
        </w:tc>
      </w:tr>
      <w:tr>
        <w:trPr>
          <w:trHeight w:val="196"/>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312,734</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362,743</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580,930</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688,821</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AND ADMINISTRATIVE</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184,995</w:t>
            </w:r>
          </w:p>
        </w:tc>
        <w:tc>
          <w:tcPr>
            <w:tcW w:w="12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203,155</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361,249</w:t>
            </w:r>
          </w:p>
        </w:tc>
        <w:tc>
          <w:tcPr>
            <w:tcW w:w="12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395,214</w:t>
            </w:r>
          </w:p>
        </w:tc>
        <w:tc>
          <w:tcPr>
            <w:tcW w:w="10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87"/>
        </w:trPr>
        <w:tc>
          <w:tcPr>
            <w:tcW w:w="40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ON DISPOSITION AND IMPAIRMENT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OF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120" w:type="dxa"/>
            <w:vAlign w:val="bottom"/>
          </w:tcPr>
          <w:p>
            <w:pPr>
              <w:spacing w:after="0"/>
              <w:rPr>
                <w:sz w:val="18"/>
                <w:szCs w:val="18"/>
                <w:color w:val="auto"/>
              </w:rPr>
            </w:pPr>
          </w:p>
        </w:tc>
        <w:tc>
          <w:tcPr>
            <w:tcW w:w="620" w:type="dxa"/>
            <w:vAlign w:val="bottom"/>
            <w:tcBorders>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00" w:type="dxa"/>
            <w:vAlign w:val="bottom"/>
          </w:tcPr>
          <w:p>
            <w:pPr>
              <w:spacing w:after="0"/>
              <w:rPr>
                <w:sz w:val="18"/>
                <w:szCs w:val="18"/>
                <w:color w:val="auto"/>
              </w:rPr>
            </w:pPr>
          </w:p>
        </w:tc>
        <w:tc>
          <w:tcPr>
            <w:tcW w:w="620" w:type="dxa"/>
            <w:vAlign w:val="bottom"/>
            <w:tcBorders>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120" w:type="dxa"/>
            <w:vAlign w:val="bottom"/>
          </w:tcPr>
          <w:p>
            <w:pPr>
              <w:spacing w:after="0"/>
              <w:rPr>
                <w:sz w:val="18"/>
                <w:szCs w:val="18"/>
                <w:color w:val="auto"/>
              </w:rPr>
            </w:pPr>
          </w:p>
        </w:tc>
        <w:tc>
          <w:tcPr>
            <w:tcW w:w="6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00" w:type="dxa"/>
            <w:vAlign w:val="bottom"/>
          </w:tcPr>
          <w:p>
            <w:pPr>
              <w:spacing w:after="0"/>
              <w:rPr>
                <w:sz w:val="18"/>
                <w:szCs w:val="18"/>
                <w:color w:val="auto"/>
              </w:rPr>
            </w:pPr>
          </w:p>
        </w:tc>
        <w:tc>
          <w:tcPr>
            <w:tcW w:w="60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8"/>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LOSSES (GAINS),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2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(1,668)</w:t>
            </w:r>
          </w:p>
        </w:tc>
        <w:tc>
          <w:tcPr>
            <w:tcW w:w="620" w:type="dxa"/>
            <w:vAlign w:val="bottom"/>
            <w:tcBorders>
              <w:right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(1,241)</w:t>
            </w: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FROM OPERATIONS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123,091</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159,034</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215,343</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292,857</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AND OTHER</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(8,854)</w:t>
            </w:r>
          </w:p>
        </w:tc>
        <w:tc>
          <w:tcPr>
            <w:tcW w:w="62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(9,406)</w:t>
            </w:r>
          </w:p>
        </w:tc>
        <w:tc>
          <w:tcPr>
            <w:tcW w:w="620" w:type="dxa"/>
            <w:vAlign w:val="bottom"/>
            <w:tcBorders>
              <w:right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(17,283)</w:t>
            </w:r>
          </w:p>
        </w:tc>
        <w:tc>
          <w:tcPr>
            <w:tcW w:w="62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(22,169)</w:t>
            </w:r>
          </w:p>
        </w:tc>
        <w:tc>
          <w:tcPr>
            <w:tcW w:w="600" w:type="dxa"/>
            <w:vAlign w:val="bottom"/>
            <w:tcBorders>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96"/>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BEFORE INCOME TAXES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131,945</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168,440</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232,626</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315,026</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31,074</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42,208</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52,332</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67,695</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6"/>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100,871</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126,232</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180,294</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247,331</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LESS NET EARNINGS ATTRIBUTABLE TO</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 INTEREST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w:t>
            </w: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(302)</w:t>
            </w: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(807)</w:t>
            </w: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(610)</w:t>
            </w: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ATTRIBUTABLE TO</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100,734</w:t>
            </w: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125,930</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179,487</w:t>
            </w: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246,721</w:t>
            </w:r>
          </w:p>
        </w:tc>
        <w:tc>
          <w:tcPr>
            <w:tcW w:w="10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CONTROLLING INTEREST</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
        </w:trPr>
        <w:tc>
          <w:tcPr>
            <w:tcW w:w="400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112,609</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118,252</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195,213</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238,221</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LESS COMPREHENSIVE (INCOME) LOSS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ATTRIBUTABLE TO NONCONTROLLING</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(1,754)</w:t>
            </w:r>
          </w:p>
        </w:tc>
        <w:tc>
          <w:tcPr>
            <w:tcW w:w="6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(2,391)</w:t>
            </w:r>
          </w:p>
        </w:tc>
        <w:tc>
          <w:tcPr>
            <w:tcW w:w="6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110,855</w:t>
            </w: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120,272</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192,822</w:t>
            </w: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239,650</w:t>
            </w:r>
          </w:p>
        </w:tc>
        <w:tc>
          <w:tcPr>
            <w:tcW w:w="10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CONTROLLING INTEREST</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0"/>
        </w:trPr>
        <w:tc>
          <w:tcPr>
            <w:tcW w:w="4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482" w:right="8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EARNINGS BY SEGMENT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2025/2024</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8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960" w:type="dxa"/>
            <w:vAlign w:val="bottom"/>
            <w:tcBorders>
              <w:top w:val="single" w:sz="8" w:color="auto"/>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Quarter Period 2025</w:t>
            </w: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right w:val="single" w:sz="8" w:color="auto"/>
            </w:tcBorders>
          </w:tcPr>
          <w:p>
            <w:pPr>
              <w:spacing w:after="0"/>
              <w:rPr>
                <w:sz w:val="14"/>
                <w:szCs w:val="14"/>
                <w:color w:val="auto"/>
              </w:rPr>
            </w:pPr>
          </w:p>
        </w:tc>
      </w:tr>
      <w:tr>
        <w:trPr>
          <w:trHeight w:val="142"/>
        </w:trPr>
        <w:tc>
          <w:tcPr>
            <w:tcW w:w="388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2"/>
                <w:szCs w:val="12"/>
                <w:color w:val="auto"/>
              </w:rPr>
            </w:pPr>
          </w:p>
        </w:tc>
        <w:tc>
          <w:tcPr>
            <w:tcW w:w="9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08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2"/>
                <w:szCs w:val="12"/>
                <w:color w:val="auto"/>
              </w:rPr>
            </w:pPr>
          </w:p>
        </w:tc>
        <w:tc>
          <w:tcPr>
            <w:tcW w:w="9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2"/>
                <w:szCs w:val="12"/>
                <w:color w:val="auto"/>
              </w:rPr>
            </w:pPr>
          </w:p>
        </w:tc>
        <w:tc>
          <w:tcPr>
            <w:tcW w:w="860" w:type="dxa"/>
            <w:vAlign w:val="bottom"/>
            <w:tcBorders>
              <w:right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88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788,224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428,669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551,590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1,835,374</w:t>
            </w:r>
          </w:p>
        </w:tc>
      </w:tr>
      <w:tr>
        <w:trPr>
          <w:trHeight w:val="216"/>
        </w:trPr>
        <w:tc>
          <w:tcPr>
            <w:tcW w:w="3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(13,121)</w:t>
            </w: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1,522,640</w:t>
            </w:r>
          </w:p>
        </w:tc>
      </w:tr>
      <w:tr>
        <w:trPr>
          <w:trHeight w:val="210"/>
        </w:trPr>
        <w:tc>
          <w:tcPr>
            <w:tcW w:w="3880" w:type="dxa"/>
            <w:vAlign w:val="bottom"/>
            <w:tcBorders>
              <w:top w:val="single" w:sz="8" w:color="CCEEFF"/>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312,734</w:t>
            </w:r>
          </w:p>
        </w:tc>
      </w:tr>
      <w:tr>
        <w:trPr>
          <w:trHeight w:val="194"/>
        </w:trPr>
        <w:tc>
          <w:tcPr>
            <w:tcW w:w="3880" w:type="dxa"/>
            <w:vAlign w:val="bottom"/>
            <w:tcBorders>
              <w:left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SELLING, GENERAL AND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38"/>
        </w:trPr>
        <w:tc>
          <w:tcPr>
            <w:tcW w:w="3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ADMINISTRATIVE EXPENSES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184,995</w:t>
            </w:r>
          </w:p>
        </w:tc>
      </w:tr>
      <w:tr>
        <w:trPr>
          <w:trHeight w:val="194"/>
        </w:trPr>
        <w:tc>
          <w:tcPr>
            <w:tcW w:w="388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LOSS (GAIN) ON DISPOSITION AND</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r>
      <w:tr>
        <w:trPr>
          <w:trHeight w:val="238"/>
        </w:trPr>
        <w:tc>
          <w:tcPr>
            <w:tcW w:w="3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 OF ASSETS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(1,305)</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r>
      <w:tr>
        <w:trPr>
          <w:trHeight w:val="216"/>
        </w:trPr>
        <w:tc>
          <w:tcPr>
            <w:tcW w:w="3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LOSSES (GAINS), NET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09"/>
        </w:trPr>
        <w:tc>
          <w:tcPr>
            <w:tcW w:w="3880" w:type="dxa"/>
            <w:vAlign w:val="bottom"/>
            <w:tcBorders>
              <w:top w:val="single" w:sz="8" w:color="CCEEFF"/>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123,091</w:t>
            </w:r>
          </w:p>
        </w:tc>
      </w:tr>
      <w:tr>
        <w:trPr>
          <w:trHeight w:val="216"/>
        </w:trPr>
        <w:tc>
          <w:tcPr>
            <w:tcW w:w="3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OTHER</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(795)</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(2,512)</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(5,493)</w:t>
            </w: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(8,854)</w:t>
            </w:r>
          </w:p>
        </w:tc>
      </w:tr>
      <w:tr>
        <w:trPr>
          <w:trHeight w:val="210"/>
        </w:trPr>
        <w:tc>
          <w:tcPr>
            <w:tcW w:w="3880" w:type="dxa"/>
            <w:vAlign w:val="bottom"/>
            <w:tcBorders>
              <w:top w:val="single" w:sz="8" w:color="CCEEFF"/>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131,945</w:t>
            </w:r>
          </w:p>
        </w:tc>
      </w:tr>
      <w:tr>
        <w:trPr>
          <w:trHeight w:val="216"/>
        </w:trPr>
        <w:tc>
          <w:tcPr>
            <w:tcW w:w="388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31,074</w:t>
            </w:r>
          </w:p>
        </w:tc>
      </w:tr>
      <w:tr>
        <w:trPr>
          <w:trHeight w:val="209"/>
        </w:trPr>
        <w:tc>
          <w:tcPr>
            <w:tcW w:w="3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41,128</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20,633</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27,563</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100,871</w:t>
            </w:r>
          </w:p>
        </w:tc>
      </w:tr>
      <w:tr>
        <w:trPr>
          <w:trHeight w:val="250"/>
        </w:trPr>
        <w:tc>
          <w:tcPr>
            <w:tcW w:w="38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5"/>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142"/>
        </w:trPr>
        <w:tc>
          <w:tcPr>
            <w:tcW w:w="3880" w:type="dxa"/>
            <w:vAlign w:val="bottom"/>
            <w:tcBorders>
              <w:left w:val="single" w:sz="8" w:color="auto"/>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5"/>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Quarter Period 2024</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r>
      <w:tr>
        <w:trPr>
          <w:trHeight w:val="142"/>
        </w:trPr>
        <w:tc>
          <w:tcPr>
            <w:tcW w:w="388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2"/>
                <w:szCs w:val="12"/>
                <w:color w:val="auto"/>
              </w:rPr>
            </w:pPr>
          </w:p>
        </w:tc>
        <w:tc>
          <w:tcPr>
            <w:tcW w:w="9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08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2"/>
                <w:szCs w:val="12"/>
                <w:color w:val="auto"/>
              </w:rPr>
            </w:pPr>
          </w:p>
        </w:tc>
        <w:tc>
          <w:tcPr>
            <w:tcW w:w="9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2"/>
                <w:szCs w:val="12"/>
                <w:color w:val="auto"/>
              </w:rPr>
            </w:pPr>
          </w:p>
        </w:tc>
        <w:tc>
          <w:tcPr>
            <w:tcW w:w="860" w:type="dxa"/>
            <w:vAlign w:val="bottom"/>
            <w:tcBorders>
              <w:right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88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809,067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435,204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574,547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1,901,959</w:t>
            </w:r>
          </w:p>
        </w:tc>
      </w:tr>
      <w:tr>
        <w:trPr>
          <w:trHeight w:val="216"/>
        </w:trPr>
        <w:tc>
          <w:tcPr>
            <w:tcW w:w="3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(5,165)</w:t>
            </w: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1,539,216</w:t>
            </w:r>
          </w:p>
        </w:tc>
      </w:tr>
      <w:tr>
        <w:trPr>
          <w:trHeight w:val="210"/>
        </w:trPr>
        <w:tc>
          <w:tcPr>
            <w:tcW w:w="3880" w:type="dxa"/>
            <w:vAlign w:val="bottom"/>
            <w:tcBorders>
              <w:top w:val="single" w:sz="8" w:color="CCEEFF"/>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362,743</w:t>
            </w:r>
          </w:p>
        </w:tc>
      </w:tr>
      <w:tr>
        <w:trPr>
          <w:trHeight w:val="194"/>
        </w:trPr>
        <w:tc>
          <w:tcPr>
            <w:tcW w:w="3880" w:type="dxa"/>
            <w:vAlign w:val="bottom"/>
            <w:tcBorders>
              <w:left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SELLING, GENERAL AND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38"/>
        </w:trPr>
        <w:tc>
          <w:tcPr>
            <w:tcW w:w="3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ADMINISTRATIVE EXPENSES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(3,015)</w:t>
            </w:r>
          </w:p>
        </w:tc>
        <w:tc>
          <w:tcPr>
            <w:tcW w:w="160" w:type="dxa"/>
            <w:vAlign w:val="bottom"/>
          </w:tcPr>
          <w:p>
            <w:pPr>
              <w:spacing w:after="0"/>
              <w:rPr>
                <w:sz w:val="20"/>
                <w:szCs w:val="20"/>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203,155</w:t>
            </w:r>
          </w:p>
        </w:tc>
      </w:tr>
      <w:tr>
        <w:trPr>
          <w:trHeight w:val="194"/>
        </w:trPr>
        <w:tc>
          <w:tcPr>
            <w:tcW w:w="388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LOSS (GAIN) ON DISPOSITION AND</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r>
      <w:tr>
        <w:trPr>
          <w:trHeight w:val="238"/>
        </w:trPr>
        <w:tc>
          <w:tcPr>
            <w:tcW w:w="3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 OF ASSETS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16"/>
        </w:trPr>
        <w:tc>
          <w:tcPr>
            <w:tcW w:w="3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LOSSES (GAINS), NET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10"/>
        </w:trPr>
        <w:tc>
          <w:tcPr>
            <w:tcW w:w="3880" w:type="dxa"/>
            <w:vAlign w:val="bottom"/>
            <w:tcBorders>
              <w:top w:val="single" w:sz="8" w:color="CCEEFF"/>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159,034</w:t>
            </w:r>
          </w:p>
        </w:tc>
      </w:tr>
      <w:tr>
        <w:trPr>
          <w:trHeight w:val="216"/>
        </w:trPr>
        <w:tc>
          <w:tcPr>
            <w:tcW w:w="3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OTHER</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(8,657)</w:t>
            </w: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w:t>
            </w:r>
          </w:p>
        </w:tc>
      </w:tr>
      <w:tr>
        <w:trPr>
          <w:trHeight w:val="209"/>
        </w:trPr>
        <w:tc>
          <w:tcPr>
            <w:tcW w:w="3880" w:type="dxa"/>
            <w:vAlign w:val="bottom"/>
            <w:tcBorders>
              <w:top w:val="single" w:sz="8" w:color="CCEEFF"/>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168,440</w:t>
            </w:r>
          </w:p>
        </w:tc>
      </w:tr>
      <w:tr>
        <w:trPr>
          <w:trHeight w:val="216"/>
        </w:trPr>
        <w:tc>
          <w:tcPr>
            <w:tcW w:w="388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42,208</w:t>
            </w:r>
          </w:p>
        </w:tc>
      </w:tr>
      <w:tr>
        <w:trPr>
          <w:trHeight w:val="209"/>
        </w:trPr>
        <w:tc>
          <w:tcPr>
            <w:tcW w:w="3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44,936</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21,637</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38,989</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126,232</w:t>
            </w:r>
          </w:p>
        </w:tc>
      </w:tr>
      <w:tr>
        <w:trPr>
          <w:trHeight w:val="1108"/>
        </w:trPr>
        <w:tc>
          <w:tcPr>
            <w:tcW w:w="3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482" w:right="8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EARNINGS BY SEGMENT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2025/2024</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8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000" w:type="dxa"/>
            <w:vAlign w:val="bottom"/>
            <w:tcBorders>
              <w:top w:val="single" w:sz="8" w:color="auto"/>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to Date 2025</w:t>
            </w: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right w:val="single" w:sz="8" w:color="auto"/>
            </w:tcBorders>
          </w:tcPr>
          <w:p>
            <w:pPr>
              <w:spacing w:after="0"/>
              <w:rPr>
                <w:sz w:val="14"/>
                <w:szCs w:val="14"/>
                <w:color w:val="auto"/>
              </w:rPr>
            </w:pPr>
          </w:p>
        </w:tc>
      </w:tr>
      <w:tr>
        <w:trPr>
          <w:trHeight w:val="142"/>
        </w:trPr>
        <w:tc>
          <w:tcPr>
            <w:tcW w:w="388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94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2"/>
                <w:szCs w:val="12"/>
                <w:color w:val="auto"/>
              </w:rPr>
            </w:pPr>
          </w:p>
        </w:tc>
        <w:tc>
          <w:tcPr>
            <w:tcW w:w="92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1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2"/>
                <w:szCs w:val="12"/>
                <w:color w:val="auto"/>
              </w:rPr>
            </w:pPr>
          </w:p>
        </w:tc>
        <w:tc>
          <w:tcPr>
            <w:tcW w:w="9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2"/>
                <w:szCs w:val="12"/>
                <w:color w:val="auto"/>
              </w:rPr>
            </w:pPr>
          </w:p>
        </w:tc>
        <w:tc>
          <w:tcPr>
            <w:tcW w:w="860" w:type="dxa"/>
            <w:vAlign w:val="bottom"/>
            <w:tcBorders>
              <w:right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88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1,395,607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838,677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1,067,530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3,430,893</w:t>
            </w:r>
          </w:p>
        </w:tc>
      </w:tr>
      <w:tr>
        <w:trPr>
          <w:trHeight w:val="216"/>
        </w:trPr>
        <w:tc>
          <w:tcPr>
            <w:tcW w:w="3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(27,126)</w:t>
            </w:r>
          </w:p>
        </w:tc>
        <w:tc>
          <w:tcPr>
            <w:tcW w:w="18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2,849,963</w:t>
            </w:r>
          </w:p>
        </w:tc>
      </w:tr>
      <w:tr>
        <w:trPr>
          <w:trHeight w:val="209"/>
        </w:trPr>
        <w:tc>
          <w:tcPr>
            <w:tcW w:w="3880" w:type="dxa"/>
            <w:vAlign w:val="bottom"/>
            <w:tcBorders>
              <w:top w:val="single" w:sz="8" w:color="CCEEFF"/>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140,156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580,930</w:t>
            </w:r>
          </w:p>
        </w:tc>
      </w:tr>
      <w:tr>
        <w:trPr>
          <w:trHeight w:val="194"/>
        </w:trPr>
        <w:tc>
          <w:tcPr>
            <w:tcW w:w="3880" w:type="dxa"/>
            <w:vAlign w:val="bottom"/>
            <w:tcBorders>
              <w:left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SELLING, GENERAL AND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38"/>
        </w:trPr>
        <w:tc>
          <w:tcPr>
            <w:tcW w:w="3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ADMINISTRATIVE EXPENSES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361,249</w:t>
            </w:r>
          </w:p>
        </w:tc>
      </w:tr>
      <w:tr>
        <w:trPr>
          <w:trHeight w:val="194"/>
        </w:trPr>
        <w:tc>
          <w:tcPr>
            <w:tcW w:w="388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LOSS (GAIN) ON DISPOSITION AND</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r>
      <w:tr>
        <w:trPr>
          <w:trHeight w:val="238"/>
        </w:trPr>
        <w:tc>
          <w:tcPr>
            <w:tcW w:w="3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 OF ASSETS</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(1,557)</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r>
      <w:tr>
        <w:trPr>
          <w:trHeight w:val="216"/>
        </w:trPr>
        <w:tc>
          <w:tcPr>
            <w:tcW w:w="3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LOSSES (GAINS), NET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10"/>
        </w:trPr>
        <w:tc>
          <w:tcPr>
            <w:tcW w:w="3880" w:type="dxa"/>
            <w:vAlign w:val="bottom"/>
            <w:tcBorders>
              <w:top w:val="single" w:sz="8" w:color="CCEEFF"/>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OPERATIONS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215,343</w:t>
            </w:r>
          </w:p>
        </w:tc>
      </w:tr>
      <w:tr>
        <w:trPr>
          <w:trHeight w:val="216"/>
        </w:trPr>
        <w:tc>
          <w:tcPr>
            <w:tcW w:w="3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OTHER</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(13,242)</w:t>
            </w:r>
          </w:p>
        </w:tc>
        <w:tc>
          <w:tcPr>
            <w:tcW w:w="18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(17,283)</w:t>
            </w:r>
          </w:p>
        </w:tc>
      </w:tr>
      <w:tr>
        <w:trPr>
          <w:trHeight w:val="209"/>
        </w:trPr>
        <w:tc>
          <w:tcPr>
            <w:tcW w:w="3880" w:type="dxa"/>
            <w:vAlign w:val="bottom"/>
            <w:tcBorders>
              <w:top w:val="single" w:sz="8" w:color="CCEEFF"/>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232,626</w:t>
            </w:r>
          </w:p>
        </w:tc>
      </w:tr>
      <w:tr>
        <w:trPr>
          <w:trHeight w:val="216"/>
        </w:trPr>
        <w:tc>
          <w:tcPr>
            <w:tcW w:w="388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52,332</w:t>
            </w:r>
          </w:p>
        </w:tc>
      </w:tr>
      <w:tr>
        <w:trPr>
          <w:trHeight w:val="210"/>
        </w:trPr>
        <w:tc>
          <w:tcPr>
            <w:tcW w:w="3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61,791</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37,550</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49,507</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26,930</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180,294</w:t>
            </w:r>
          </w:p>
        </w:tc>
      </w:tr>
      <w:tr>
        <w:trPr>
          <w:trHeight w:val="250"/>
        </w:trPr>
        <w:tc>
          <w:tcPr>
            <w:tcW w:w="38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5"/>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142"/>
        </w:trPr>
        <w:tc>
          <w:tcPr>
            <w:tcW w:w="3880" w:type="dxa"/>
            <w:vAlign w:val="bottom"/>
            <w:tcBorders>
              <w:left w:val="single" w:sz="8" w:color="auto"/>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5"/>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Year to Date 2024</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r>
      <w:tr>
        <w:trPr>
          <w:trHeight w:val="162"/>
        </w:trPr>
        <w:tc>
          <w:tcPr>
            <w:tcW w:w="388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4"/>
                <w:szCs w:val="14"/>
                <w:color w:val="auto"/>
              </w:rPr>
            </w:pPr>
          </w:p>
        </w:tc>
        <w:tc>
          <w:tcPr>
            <w:tcW w:w="94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4"/>
                <w:szCs w:val="14"/>
                <w:color w:val="auto"/>
              </w:rPr>
            </w:pPr>
          </w:p>
        </w:tc>
        <w:tc>
          <w:tcPr>
            <w:tcW w:w="92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1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4"/>
                <w:szCs w:val="14"/>
                <w:color w:val="auto"/>
              </w:rPr>
            </w:pPr>
          </w:p>
        </w:tc>
        <w:tc>
          <w:tcPr>
            <w:tcW w:w="9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4"/>
                <w:szCs w:val="14"/>
                <w:color w:val="auto"/>
              </w:rPr>
            </w:pPr>
          </w:p>
        </w:tc>
        <w:tc>
          <w:tcPr>
            <w:tcW w:w="860" w:type="dxa"/>
            <w:vAlign w:val="bottom"/>
            <w:tcBorders>
              <w:right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3880" w:type="dxa"/>
            <w:vAlign w:val="bottom"/>
            <w:tcBorders>
              <w:top w:val="single" w:sz="8" w:color="auto"/>
              <w:left w:val="single" w:sz="8" w:color="auto"/>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1,437,832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859,622</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1,092,443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148,417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2,611</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3,540,925</w:t>
            </w:r>
          </w:p>
        </w:tc>
      </w:tr>
      <w:tr>
        <w:trPr>
          <w:trHeight w:val="216"/>
        </w:trPr>
        <w:tc>
          <w:tcPr>
            <w:tcW w:w="3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(11,459)</w:t>
            </w:r>
          </w:p>
        </w:tc>
        <w:tc>
          <w:tcPr>
            <w:tcW w:w="18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2,852,104</w:t>
            </w:r>
          </w:p>
        </w:tc>
      </w:tr>
      <w:tr>
        <w:trPr>
          <w:trHeight w:val="209"/>
        </w:trPr>
        <w:tc>
          <w:tcPr>
            <w:tcW w:w="3880" w:type="dxa"/>
            <w:vAlign w:val="bottom"/>
            <w:tcBorders>
              <w:top w:val="single" w:sz="8" w:color="CCEEFF"/>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169,126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688,821</w:t>
            </w:r>
          </w:p>
        </w:tc>
      </w:tr>
      <w:tr>
        <w:trPr>
          <w:trHeight w:val="194"/>
        </w:trPr>
        <w:tc>
          <w:tcPr>
            <w:tcW w:w="3880" w:type="dxa"/>
            <w:vAlign w:val="bottom"/>
            <w:tcBorders>
              <w:left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SELLING, GENERAL AND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38"/>
        </w:trPr>
        <w:tc>
          <w:tcPr>
            <w:tcW w:w="3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ADMINISTRATIVE EXPENSES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(3,048)</w:t>
            </w:r>
          </w:p>
        </w:tc>
        <w:tc>
          <w:tcPr>
            <w:tcW w:w="180" w:type="dxa"/>
            <w:vAlign w:val="bottom"/>
          </w:tcPr>
          <w:p>
            <w:pPr>
              <w:spacing w:after="0"/>
              <w:rPr>
                <w:sz w:val="20"/>
                <w:szCs w:val="20"/>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395,214</w:t>
            </w:r>
          </w:p>
        </w:tc>
      </w:tr>
      <w:tr>
        <w:trPr>
          <w:trHeight w:val="194"/>
        </w:trPr>
        <w:tc>
          <w:tcPr>
            <w:tcW w:w="388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LOSS (GAIN) ON DISPOSITION AND</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r>
      <w:tr>
        <w:trPr>
          <w:trHeight w:val="238"/>
        </w:trPr>
        <w:tc>
          <w:tcPr>
            <w:tcW w:w="3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 OF ASSETS</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16"/>
        </w:trPr>
        <w:tc>
          <w:tcPr>
            <w:tcW w:w="3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LOSSES (GAINS), NET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09"/>
        </w:trPr>
        <w:tc>
          <w:tcPr>
            <w:tcW w:w="3880" w:type="dxa"/>
            <w:vAlign w:val="bottom"/>
            <w:tcBorders>
              <w:top w:val="single" w:sz="8" w:color="CCEEFF"/>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OPERATIONS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292,857</w:t>
            </w:r>
          </w:p>
        </w:tc>
      </w:tr>
      <w:tr>
        <w:trPr>
          <w:trHeight w:val="216"/>
        </w:trPr>
        <w:tc>
          <w:tcPr>
            <w:tcW w:w="3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OTHER</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(4,793)</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(18,312)</w:t>
            </w:r>
          </w:p>
        </w:tc>
        <w:tc>
          <w:tcPr>
            <w:tcW w:w="18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(22,169)</w:t>
            </w:r>
          </w:p>
        </w:tc>
      </w:tr>
      <w:tr>
        <w:trPr>
          <w:trHeight w:val="210"/>
        </w:trPr>
        <w:tc>
          <w:tcPr>
            <w:tcW w:w="3880" w:type="dxa"/>
            <w:vAlign w:val="bottom"/>
            <w:tcBorders>
              <w:top w:val="single" w:sz="8" w:color="CCEEFF"/>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315,026</w:t>
            </w:r>
          </w:p>
        </w:tc>
      </w:tr>
      <w:tr>
        <w:trPr>
          <w:trHeight w:val="216"/>
        </w:trPr>
        <w:tc>
          <w:tcPr>
            <w:tcW w:w="388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67,695</w:t>
            </w:r>
          </w:p>
        </w:tc>
      </w:tr>
      <w:tr>
        <w:trPr>
          <w:trHeight w:val="210"/>
        </w:trPr>
        <w:tc>
          <w:tcPr>
            <w:tcW w:w="3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82,999</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46,965</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76,457</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12,684</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247,331</w:t>
            </w:r>
          </w:p>
        </w:tc>
      </w:tr>
      <w:tr>
        <w:trPr>
          <w:trHeight w:val="891"/>
        </w:trPr>
        <w:tc>
          <w:tcPr>
            <w:tcW w:w="3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482" w:right="8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10</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EARNINGS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 BY SEGMENT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2025/2024</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8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900" w:type="dxa"/>
            <w:vAlign w:val="bottom"/>
            <w:tcBorders>
              <w:top w:val="single" w:sz="8" w:color="auto"/>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Quarter Period 2025</w:t>
            </w: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right w:val="single" w:sz="8" w:color="auto"/>
            </w:tcBorders>
          </w:tcPr>
          <w:p>
            <w:pPr>
              <w:spacing w:after="0"/>
              <w:rPr>
                <w:sz w:val="14"/>
                <w:szCs w:val="14"/>
                <w:color w:val="auto"/>
              </w:rPr>
            </w:pPr>
          </w:p>
        </w:tc>
      </w:tr>
      <w:tr>
        <w:trPr>
          <w:trHeight w:val="142"/>
        </w:trPr>
        <w:tc>
          <w:tcPr>
            <w:tcW w:w="388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0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12"/>
                <w:szCs w:val="12"/>
                <w:color w:val="auto"/>
              </w:rPr>
            </w:pPr>
          </w:p>
        </w:tc>
        <w:tc>
          <w:tcPr>
            <w:tcW w:w="9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88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41,128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20,633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27,563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100,871</w:t>
            </w:r>
          </w:p>
        </w:tc>
      </w:tr>
      <w:tr>
        <w:trPr>
          <w:trHeight w:val="216"/>
        </w:trPr>
        <w:tc>
          <w:tcPr>
            <w:tcW w:w="38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INTEREST AND OTHER</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(795)</w:t>
            </w: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(2,512)</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(5,493)</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(8,854)</w:t>
            </w:r>
          </w:p>
        </w:tc>
      </w:tr>
      <w:tr>
        <w:trPr>
          <w:trHeight w:val="216"/>
        </w:trPr>
        <w:tc>
          <w:tcPr>
            <w:tcW w:w="3880" w:type="dxa"/>
            <w:vAlign w:val="bottom"/>
            <w:tcBorders>
              <w:left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31,074</w:t>
            </w:r>
          </w:p>
        </w:tc>
      </w:tr>
      <w:tr>
        <w:trPr>
          <w:trHeight w:val="198"/>
        </w:trPr>
        <w:tc>
          <w:tcPr>
            <w:tcW w:w="388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EXPENSES ASSOCIATED WITH SHARE-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34"/>
        </w:trPr>
        <w:tc>
          <w:tcPr>
            <w:tcW w:w="38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BASED COMPENSATION ARRANGEMENTS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8,809</w:t>
            </w:r>
          </w:p>
        </w:tc>
      </w:tr>
      <w:tr>
        <w:trPr>
          <w:trHeight w:val="198"/>
        </w:trPr>
        <w:tc>
          <w:tcPr>
            <w:tcW w:w="3880" w:type="dxa"/>
            <w:vAlign w:val="bottom"/>
            <w:tcBorders>
              <w:left w:val="single" w:sz="8" w:color="auto"/>
              <w:right w:val="single" w:sz="8" w:color="auto"/>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r>
      <w:tr>
        <w:trPr>
          <w:trHeight w:val="234"/>
        </w:trPr>
        <w:tc>
          <w:tcPr>
            <w:tcW w:w="3880" w:type="dxa"/>
            <w:vAlign w:val="bottom"/>
            <w:tcBorders>
              <w:left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ASSETS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r>
      <w:tr>
        <w:trPr>
          <w:trHeight w:val="198"/>
        </w:trPr>
        <w:tc>
          <w:tcPr>
            <w:tcW w:w="388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GAIN FROM REDUCTION OF ESTIMATED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34"/>
        </w:trPr>
        <w:tc>
          <w:tcPr>
            <w:tcW w:w="38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EARNOUT LIABILITY</w:t>
            </w: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(1,511)</w:t>
            </w:r>
          </w:p>
        </w:tc>
        <w:tc>
          <w:tcPr>
            <w:tcW w:w="2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16"/>
        </w:trPr>
        <w:tc>
          <w:tcPr>
            <w:tcW w:w="3880" w:type="dxa"/>
            <w:vAlign w:val="bottom"/>
            <w:tcBorders>
              <w:left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r>
      <w:tr>
        <w:trPr>
          <w:trHeight w:val="216"/>
        </w:trPr>
        <w:tc>
          <w:tcPr>
            <w:tcW w:w="3880" w:type="dxa"/>
            <w:vAlign w:val="bottom"/>
            <w:tcBorders>
              <w:left w:val="single" w:sz="8" w:color="auto"/>
              <w:bottom w:val="single" w:sz="8" w:color="CCEEFF"/>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5,928</w:t>
            </w:r>
          </w:p>
        </w:tc>
      </w:tr>
      <w:tr>
        <w:trPr>
          <w:trHeight w:val="209"/>
        </w:trPr>
        <w:tc>
          <w:tcPr>
            <w:tcW w:w="388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63,978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38,796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45,480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20,402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174,147</w:t>
            </w:r>
          </w:p>
        </w:tc>
      </w:tr>
      <w:tr>
        <w:trPr>
          <w:trHeight w:val="20"/>
        </w:trPr>
        <w:tc>
          <w:tcPr>
            <w:tcW w:w="3880" w:type="dxa"/>
            <w:vAlign w:val="bottom"/>
            <w:tcBorders>
              <w:lef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r>
      <w:tr>
        <w:trPr>
          <w:trHeight w:val="102"/>
        </w:trPr>
        <w:tc>
          <w:tcPr>
            <w:tcW w:w="3880" w:type="dxa"/>
            <w:vAlign w:val="bottom"/>
            <w:tcBorders>
              <w:left w:val="single" w:sz="8" w:color="auto"/>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r>
      <w:tr>
        <w:trPr>
          <w:trHeight w:val="194"/>
        </w:trPr>
        <w:tc>
          <w:tcPr>
            <w:tcW w:w="388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AS A PERCENTAGE OF</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r>
      <w:tr>
        <w:trPr>
          <w:trHeight w:val="238"/>
        </w:trPr>
        <w:tc>
          <w:tcPr>
            <w:tcW w:w="3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122"/>
        </w:trPr>
        <w:tc>
          <w:tcPr>
            <w:tcW w:w="3880" w:type="dxa"/>
            <w:vAlign w:val="bottom"/>
            <w:tcBorders>
              <w:left w:val="single" w:sz="8" w:color="auto"/>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r>
      <w:tr>
        <w:trPr>
          <w:trHeight w:val="194"/>
        </w:trPr>
        <w:tc>
          <w:tcPr>
            <w:tcW w:w="388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AS A PERCENTAGE OF</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r>
      <w:tr>
        <w:trPr>
          <w:trHeight w:val="238"/>
        </w:trPr>
        <w:tc>
          <w:tcPr>
            <w:tcW w:w="3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182"/>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Not meaningful</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3"/>
        </w:trPr>
        <w:tc>
          <w:tcPr>
            <w:tcW w:w="3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42"/>
        </w:trPr>
        <w:tc>
          <w:tcPr>
            <w:tcW w:w="3880" w:type="dxa"/>
            <w:vAlign w:val="bottom"/>
            <w:tcBorders>
              <w:left w:val="single" w:sz="8" w:color="auto"/>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5"/>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Quarter Period 2024</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388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0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12"/>
                <w:szCs w:val="12"/>
                <w:color w:val="auto"/>
              </w:rPr>
            </w:pPr>
          </w:p>
        </w:tc>
        <w:tc>
          <w:tcPr>
            <w:tcW w:w="9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88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44,936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21,637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38,989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14,152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126,232</w:t>
            </w:r>
          </w:p>
        </w:tc>
      </w:tr>
      <w:tr>
        <w:trPr>
          <w:trHeight w:val="216"/>
        </w:trPr>
        <w:tc>
          <w:tcPr>
            <w:tcW w:w="38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INTEREST AND OTHER</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(1,202)</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(8,657)</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w:t>
            </w:r>
          </w:p>
        </w:tc>
      </w:tr>
      <w:tr>
        <w:trPr>
          <w:trHeight w:val="216"/>
        </w:trPr>
        <w:tc>
          <w:tcPr>
            <w:tcW w:w="3880" w:type="dxa"/>
            <w:vAlign w:val="bottom"/>
            <w:tcBorders>
              <w:left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42,208</w:t>
            </w:r>
          </w:p>
        </w:tc>
      </w:tr>
      <w:tr>
        <w:trPr>
          <w:trHeight w:val="198"/>
        </w:trPr>
        <w:tc>
          <w:tcPr>
            <w:tcW w:w="388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EXPENSES ASSOCIATED WITH SHARE-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34"/>
        </w:trPr>
        <w:tc>
          <w:tcPr>
            <w:tcW w:w="38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BASED COMPENSATION ARRANGEMENTS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7,999</w:t>
            </w:r>
          </w:p>
        </w:tc>
      </w:tr>
      <w:tr>
        <w:trPr>
          <w:trHeight w:val="198"/>
        </w:trPr>
        <w:tc>
          <w:tcPr>
            <w:tcW w:w="3880" w:type="dxa"/>
            <w:vAlign w:val="bottom"/>
            <w:tcBorders>
              <w:left w:val="single" w:sz="8" w:color="auto"/>
              <w:right w:val="single" w:sz="8" w:color="auto"/>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r>
      <w:tr>
        <w:trPr>
          <w:trHeight w:val="234"/>
        </w:trPr>
        <w:tc>
          <w:tcPr>
            <w:tcW w:w="3880" w:type="dxa"/>
            <w:vAlign w:val="bottom"/>
            <w:tcBorders>
              <w:left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ASSETS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198"/>
        </w:trPr>
        <w:tc>
          <w:tcPr>
            <w:tcW w:w="388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GAIN FROM REDUCTION OF ESTIMATED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34"/>
        </w:trPr>
        <w:tc>
          <w:tcPr>
            <w:tcW w:w="38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EARNOUT LIABILITY</w:t>
            </w: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(1,818)</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r>
      <w:tr>
        <w:trPr>
          <w:trHeight w:val="216"/>
        </w:trPr>
        <w:tc>
          <w:tcPr>
            <w:tcW w:w="3880" w:type="dxa"/>
            <w:vAlign w:val="bottom"/>
            <w:tcBorders>
              <w:left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30,624</w:t>
            </w:r>
          </w:p>
        </w:tc>
      </w:tr>
      <w:tr>
        <w:trPr>
          <w:trHeight w:val="216"/>
        </w:trPr>
        <w:tc>
          <w:tcPr>
            <w:tcW w:w="3880" w:type="dxa"/>
            <w:vAlign w:val="bottom"/>
            <w:tcBorders>
              <w:left w:val="single" w:sz="8" w:color="auto"/>
              <w:bottom w:val="single" w:sz="8" w:color="CCEEFF"/>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w:t>
            </w:r>
          </w:p>
        </w:tc>
      </w:tr>
      <w:tr>
        <w:trPr>
          <w:trHeight w:val="209"/>
        </w:trPr>
        <w:tc>
          <w:tcPr>
            <w:tcW w:w="388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70,187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42,960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58,615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10,020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22,132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203,914</w:t>
            </w:r>
          </w:p>
        </w:tc>
      </w:tr>
      <w:tr>
        <w:trPr>
          <w:trHeight w:val="20"/>
        </w:trPr>
        <w:tc>
          <w:tcPr>
            <w:tcW w:w="3880" w:type="dxa"/>
            <w:vAlign w:val="bottom"/>
            <w:tcBorders>
              <w:lef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r>
      <w:tr>
        <w:trPr>
          <w:trHeight w:val="102"/>
        </w:trPr>
        <w:tc>
          <w:tcPr>
            <w:tcW w:w="3880" w:type="dxa"/>
            <w:vAlign w:val="bottom"/>
            <w:tcBorders>
              <w:left w:val="single" w:sz="8" w:color="auto"/>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r>
      <w:tr>
        <w:trPr>
          <w:trHeight w:val="194"/>
        </w:trPr>
        <w:tc>
          <w:tcPr>
            <w:tcW w:w="388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AS A PERCENTAGE OF</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r>
      <w:tr>
        <w:trPr>
          <w:trHeight w:val="238"/>
        </w:trPr>
        <w:tc>
          <w:tcPr>
            <w:tcW w:w="3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121"/>
        </w:trPr>
        <w:tc>
          <w:tcPr>
            <w:tcW w:w="3880" w:type="dxa"/>
            <w:vAlign w:val="bottom"/>
            <w:tcBorders>
              <w:left w:val="single" w:sz="8" w:color="auto"/>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r>
      <w:tr>
        <w:trPr>
          <w:trHeight w:val="194"/>
        </w:trPr>
        <w:tc>
          <w:tcPr>
            <w:tcW w:w="388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AS A PERCENTAGE OF</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r>
      <w:tr>
        <w:trPr>
          <w:trHeight w:val="238"/>
        </w:trPr>
        <w:tc>
          <w:tcPr>
            <w:tcW w:w="3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ind w:left="20"/>
        <w:spacing w:after="0"/>
        <w:rPr>
          <w:sz w:val="20"/>
          <w:szCs w:val="20"/>
          <w:color w:val="auto"/>
        </w:rPr>
      </w:pPr>
      <w:r>
        <w:rPr>
          <w:rFonts w:ascii="Times New Roman" w:cs="Times New Roman" w:eastAsia="Times New Roman" w:hAnsi="Times New Roman"/>
          <w:sz w:val="14"/>
          <w:szCs w:val="14"/>
          <w:color w:val="auto"/>
        </w:rPr>
        <w:t>*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755015</wp:posOffset>
            </wp:positionV>
            <wp:extent cx="649795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482" w:right="8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EARNINGS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 BY SEGMENT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2025/2024</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8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940" w:type="dxa"/>
            <w:vAlign w:val="bottom"/>
            <w:tcBorders>
              <w:top w:val="single" w:sz="8" w:color="auto"/>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to Date 2025</w:t>
            </w: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right w:val="single" w:sz="8" w:color="auto"/>
            </w:tcBorders>
          </w:tcPr>
          <w:p>
            <w:pPr>
              <w:spacing w:after="0"/>
              <w:rPr>
                <w:sz w:val="14"/>
                <w:szCs w:val="14"/>
                <w:color w:val="auto"/>
              </w:rPr>
            </w:pPr>
          </w:p>
        </w:tc>
      </w:tr>
      <w:tr>
        <w:trPr>
          <w:trHeight w:val="162"/>
        </w:trPr>
        <w:tc>
          <w:tcPr>
            <w:tcW w:w="388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14"/>
                <w:szCs w:val="14"/>
                <w:color w:val="auto"/>
              </w:rPr>
            </w:pP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0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14"/>
                <w:szCs w:val="14"/>
                <w:color w:val="auto"/>
              </w:rPr>
            </w:pPr>
          </w:p>
        </w:tc>
        <w:tc>
          <w:tcPr>
            <w:tcW w:w="9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4"/>
                <w:szCs w:val="14"/>
                <w:color w:val="auto"/>
              </w:rPr>
            </w:pP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4"/>
                <w:szCs w:val="14"/>
                <w:color w:val="auto"/>
              </w:rPr>
            </w:pPr>
          </w:p>
        </w:tc>
        <w:tc>
          <w:tcPr>
            <w:tcW w:w="760" w:type="dxa"/>
            <w:vAlign w:val="bottom"/>
            <w:tcBorders>
              <w:right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3880" w:type="dxa"/>
            <w:vAlign w:val="bottom"/>
            <w:tcBorders>
              <w:top w:val="single" w:sz="8" w:color="auto"/>
              <w:left w:val="single" w:sz="8" w:color="auto"/>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NET EARNINGS</w:t>
            </w: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61,791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37,550</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49,507</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4,516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26,930</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180,294</w:t>
            </w:r>
          </w:p>
        </w:tc>
      </w:tr>
      <w:tr>
        <w:trPr>
          <w:trHeight w:val="216"/>
        </w:trPr>
        <w:tc>
          <w:tcPr>
            <w:tcW w:w="38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INTEREST AND OTHER</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(3,459)</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(13,242)</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(17,283)</w:t>
            </w:r>
          </w:p>
        </w:tc>
      </w:tr>
      <w:tr>
        <w:trPr>
          <w:trHeight w:val="216"/>
        </w:trPr>
        <w:tc>
          <w:tcPr>
            <w:tcW w:w="3880" w:type="dxa"/>
            <w:vAlign w:val="bottom"/>
            <w:tcBorders>
              <w:left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52,332</w:t>
            </w:r>
          </w:p>
        </w:tc>
      </w:tr>
      <w:tr>
        <w:trPr>
          <w:trHeight w:val="198"/>
        </w:trPr>
        <w:tc>
          <w:tcPr>
            <w:tcW w:w="388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EXPENSES ASSOCIATED WITH SHARE-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34"/>
        </w:trPr>
        <w:tc>
          <w:tcPr>
            <w:tcW w:w="38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BASED COMPENSATION ARRANGEMENTS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20,370</w:t>
            </w:r>
          </w:p>
        </w:tc>
      </w:tr>
      <w:tr>
        <w:trPr>
          <w:trHeight w:val="198"/>
        </w:trPr>
        <w:tc>
          <w:tcPr>
            <w:tcW w:w="3880" w:type="dxa"/>
            <w:vAlign w:val="bottom"/>
            <w:tcBorders>
              <w:left w:val="single" w:sz="8" w:color="auto"/>
              <w:right w:val="single" w:sz="8" w:color="auto"/>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r>
      <w:tr>
        <w:trPr>
          <w:trHeight w:val="234"/>
        </w:trPr>
        <w:tc>
          <w:tcPr>
            <w:tcW w:w="3880" w:type="dxa"/>
            <w:vAlign w:val="bottom"/>
            <w:tcBorders>
              <w:left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ASSETS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(1,557)</w:t>
            </w:r>
          </w:p>
        </w:tc>
        <w:tc>
          <w:tcPr>
            <w:tcW w:w="22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r>
      <w:tr>
        <w:trPr>
          <w:trHeight w:val="198"/>
        </w:trPr>
        <w:tc>
          <w:tcPr>
            <w:tcW w:w="388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GAIN FROM REDUCTION OF ESTIMATED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34"/>
        </w:trPr>
        <w:tc>
          <w:tcPr>
            <w:tcW w:w="38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EARNOUT LIABILITY</w:t>
            </w: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(1,511)</w:t>
            </w:r>
          </w:p>
        </w:tc>
        <w:tc>
          <w:tcPr>
            <w:tcW w:w="2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16"/>
        </w:trPr>
        <w:tc>
          <w:tcPr>
            <w:tcW w:w="3880" w:type="dxa"/>
            <w:vAlign w:val="bottom"/>
            <w:tcBorders>
              <w:left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66,941</w:t>
            </w:r>
          </w:p>
        </w:tc>
      </w:tr>
      <w:tr>
        <w:trPr>
          <w:trHeight w:val="216"/>
        </w:trPr>
        <w:tc>
          <w:tcPr>
            <w:tcW w:w="3880" w:type="dxa"/>
            <w:vAlign w:val="bottom"/>
            <w:tcBorders>
              <w:left w:val="single" w:sz="8" w:color="auto"/>
              <w:bottom w:val="single" w:sz="8" w:color="CCEEFF"/>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11,745</w:t>
            </w:r>
          </w:p>
        </w:tc>
      </w:tr>
      <w:tr>
        <w:trPr>
          <w:trHeight w:val="209"/>
        </w:trPr>
        <w:tc>
          <w:tcPr>
            <w:tcW w:w="388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99,827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73,841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82,790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49,316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316,298</w:t>
            </w:r>
          </w:p>
        </w:tc>
      </w:tr>
      <w:tr>
        <w:trPr>
          <w:trHeight w:val="20"/>
        </w:trPr>
        <w:tc>
          <w:tcPr>
            <w:tcW w:w="3880" w:type="dxa"/>
            <w:vAlign w:val="bottom"/>
            <w:tcBorders>
              <w:lef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r>
      <w:tr>
        <w:trPr>
          <w:trHeight w:val="102"/>
        </w:trPr>
        <w:tc>
          <w:tcPr>
            <w:tcW w:w="3880" w:type="dxa"/>
            <w:vAlign w:val="bottom"/>
            <w:tcBorders>
              <w:left w:val="single" w:sz="8" w:color="auto"/>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r>
      <w:tr>
        <w:trPr>
          <w:trHeight w:val="194"/>
        </w:trPr>
        <w:tc>
          <w:tcPr>
            <w:tcW w:w="388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AS A PERCENTAGE OF</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r>
      <w:tr>
        <w:trPr>
          <w:trHeight w:val="238"/>
        </w:trPr>
        <w:tc>
          <w:tcPr>
            <w:tcW w:w="3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122"/>
        </w:trPr>
        <w:tc>
          <w:tcPr>
            <w:tcW w:w="3880" w:type="dxa"/>
            <w:vAlign w:val="bottom"/>
            <w:tcBorders>
              <w:left w:val="single" w:sz="8" w:color="auto"/>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r>
      <w:tr>
        <w:trPr>
          <w:trHeight w:val="194"/>
        </w:trPr>
        <w:tc>
          <w:tcPr>
            <w:tcW w:w="388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AS A PERCENTAGE OF</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r>
      <w:tr>
        <w:trPr>
          <w:trHeight w:val="238"/>
        </w:trPr>
        <w:tc>
          <w:tcPr>
            <w:tcW w:w="3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182"/>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Not meaningful</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3"/>
        </w:trPr>
        <w:tc>
          <w:tcPr>
            <w:tcW w:w="3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42"/>
        </w:trPr>
        <w:tc>
          <w:tcPr>
            <w:tcW w:w="3880" w:type="dxa"/>
            <w:vAlign w:val="bottom"/>
            <w:tcBorders>
              <w:left w:val="single" w:sz="8" w:color="auto"/>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5"/>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Year to Date 2024</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62"/>
        </w:trPr>
        <w:tc>
          <w:tcPr>
            <w:tcW w:w="388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14"/>
                <w:szCs w:val="14"/>
                <w:color w:val="auto"/>
              </w:rPr>
            </w:pP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0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14"/>
                <w:szCs w:val="14"/>
                <w:color w:val="auto"/>
              </w:rPr>
            </w:pPr>
          </w:p>
        </w:tc>
        <w:tc>
          <w:tcPr>
            <w:tcW w:w="9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4"/>
                <w:szCs w:val="14"/>
                <w:color w:val="auto"/>
              </w:rPr>
            </w:pP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4"/>
                <w:szCs w:val="14"/>
                <w:color w:val="auto"/>
              </w:rPr>
            </w:pPr>
          </w:p>
        </w:tc>
        <w:tc>
          <w:tcPr>
            <w:tcW w:w="760" w:type="dxa"/>
            <w:vAlign w:val="bottom"/>
            <w:tcBorders>
              <w:right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3880" w:type="dxa"/>
            <w:vAlign w:val="bottom"/>
            <w:tcBorders>
              <w:top w:val="single" w:sz="8" w:color="auto"/>
              <w:left w:val="single" w:sz="8" w:color="auto"/>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NET EARNINGS</w:t>
            </w: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82,999</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46,965</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76,457</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12,684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28,226</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247,331</w:t>
            </w:r>
          </w:p>
        </w:tc>
      </w:tr>
      <w:tr>
        <w:trPr>
          <w:trHeight w:val="216"/>
        </w:trPr>
        <w:tc>
          <w:tcPr>
            <w:tcW w:w="38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INTEREST AND OTHER</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(4,793)</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(18,312)</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(22,169)</w:t>
            </w:r>
          </w:p>
        </w:tc>
      </w:tr>
      <w:tr>
        <w:trPr>
          <w:trHeight w:val="216"/>
        </w:trPr>
        <w:tc>
          <w:tcPr>
            <w:tcW w:w="3880" w:type="dxa"/>
            <w:vAlign w:val="bottom"/>
            <w:tcBorders>
              <w:left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67,695</w:t>
            </w:r>
          </w:p>
        </w:tc>
      </w:tr>
      <w:tr>
        <w:trPr>
          <w:trHeight w:val="198"/>
        </w:trPr>
        <w:tc>
          <w:tcPr>
            <w:tcW w:w="388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EXPENSES ASSOCIATED WITH SHARE-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34"/>
        </w:trPr>
        <w:tc>
          <w:tcPr>
            <w:tcW w:w="38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BASED COMPENSATION ARRANGEMENTS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19,276</w:t>
            </w:r>
          </w:p>
        </w:tc>
      </w:tr>
      <w:tr>
        <w:trPr>
          <w:trHeight w:val="198"/>
        </w:trPr>
        <w:tc>
          <w:tcPr>
            <w:tcW w:w="3880" w:type="dxa"/>
            <w:vAlign w:val="bottom"/>
            <w:tcBorders>
              <w:left w:val="single" w:sz="8" w:color="auto"/>
              <w:right w:val="single" w:sz="8" w:color="auto"/>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r>
      <w:tr>
        <w:trPr>
          <w:trHeight w:val="234"/>
        </w:trPr>
        <w:tc>
          <w:tcPr>
            <w:tcW w:w="3880" w:type="dxa"/>
            <w:vAlign w:val="bottom"/>
            <w:tcBorders>
              <w:left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ASSETS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198"/>
        </w:trPr>
        <w:tc>
          <w:tcPr>
            <w:tcW w:w="388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GAIN FROM REDUCTION OF ESTIMATED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34"/>
        </w:trPr>
        <w:tc>
          <w:tcPr>
            <w:tcW w:w="38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EARNOUT LIABILITY</w:t>
            </w: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(1,818)</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16"/>
        </w:trPr>
        <w:tc>
          <w:tcPr>
            <w:tcW w:w="3880" w:type="dxa"/>
            <w:vAlign w:val="bottom"/>
            <w:tcBorders>
              <w:left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60,643</w:t>
            </w:r>
          </w:p>
        </w:tc>
      </w:tr>
      <w:tr>
        <w:trPr>
          <w:trHeight w:val="216"/>
        </w:trPr>
        <w:tc>
          <w:tcPr>
            <w:tcW w:w="3880" w:type="dxa"/>
            <w:vAlign w:val="bottom"/>
            <w:tcBorders>
              <w:left w:val="single" w:sz="8" w:color="auto"/>
              <w:bottom w:val="single" w:sz="8" w:color="CCEEFF"/>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w:t>
            </w:r>
          </w:p>
        </w:tc>
      </w:tr>
      <w:tr>
        <w:trPr>
          <w:trHeight w:val="209"/>
        </w:trPr>
        <w:tc>
          <w:tcPr>
            <w:tcW w:w="388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125,546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87,272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112,507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16,506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42,816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384,647</w:t>
            </w:r>
          </w:p>
        </w:tc>
      </w:tr>
      <w:tr>
        <w:trPr>
          <w:trHeight w:val="20"/>
        </w:trPr>
        <w:tc>
          <w:tcPr>
            <w:tcW w:w="3880" w:type="dxa"/>
            <w:vAlign w:val="bottom"/>
            <w:tcBorders>
              <w:lef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r>
      <w:tr>
        <w:trPr>
          <w:trHeight w:val="102"/>
        </w:trPr>
        <w:tc>
          <w:tcPr>
            <w:tcW w:w="3880" w:type="dxa"/>
            <w:vAlign w:val="bottom"/>
            <w:tcBorders>
              <w:left w:val="single" w:sz="8" w:color="auto"/>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r>
      <w:tr>
        <w:trPr>
          <w:trHeight w:val="194"/>
        </w:trPr>
        <w:tc>
          <w:tcPr>
            <w:tcW w:w="388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AS A PERCENTAGE OF</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r>
      <w:tr>
        <w:trPr>
          <w:trHeight w:val="238"/>
        </w:trPr>
        <w:tc>
          <w:tcPr>
            <w:tcW w:w="3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121"/>
        </w:trPr>
        <w:tc>
          <w:tcPr>
            <w:tcW w:w="3880" w:type="dxa"/>
            <w:vAlign w:val="bottom"/>
            <w:tcBorders>
              <w:left w:val="single" w:sz="8" w:color="auto"/>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r>
      <w:tr>
        <w:trPr>
          <w:trHeight w:val="194"/>
        </w:trPr>
        <w:tc>
          <w:tcPr>
            <w:tcW w:w="388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AS A PERCENTAGE OF</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r>
      <w:tr>
        <w:trPr>
          <w:trHeight w:val="238"/>
        </w:trPr>
        <w:tc>
          <w:tcPr>
            <w:tcW w:w="3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182"/>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Not meaningful</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169"/>
        </w:trPr>
        <w:tc>
          <w:tcPr>
            <w:tcW w:w="3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482" w:right="8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UFP Industries, Inc.</w:t>
            </w:r>
          </w:p>
        </w:tc>
        <w:tc>
          <w:tcPr>
            <w:tcW w:w="0" w:type="dxa"/>
            <w:vAlign w:val="bottom"/>
          </w:tcPr>
          <w:p>
            <w:pPr>
              <w:spacing w:after="0"/>
              <w:rPr>
                <w:sz w:val="1"/>
                <w:szCs w:val="1"/>
                <w:color w:val="auto"/>
              </w:rPr>
            </w:pPr>
          </w:p>
        </w:tc>
      </w:tr>
      <w:tr>
        <w:trPr>
          <w:trHeight w:val="238"/>
        </w:trPr>
        <w:tc>
          <w:tcPr>
            <w:tcW w:w="2220" w:type="dxa"/>
            <w:vAlign w:val="bottom"/>
          </w:tcPr>
          <w:p>
            <w:pPr>
              <w:spacing w:after="0"/>
              <w:rPr>
                <w:sz w:val="20"/>
                <w:szCs w:val="20"/>
                <w:color w:val="auto"/>
              </w:rPr>
            </w:pPr>
          </w:p>
        </w:tc>
        <w:tc>
          <w:tcPr>
            <w:tcW w:w="5720" w:type="dxa"/>
            <w:vAlign w:val="bottom"/>
            <w:gridSpan w:val="7"/>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 12</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5720" w:type="dxa"/>
            <w:vAlign w:val="bottom"/>
            <w:gridSpan w:val="7"/>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80" w:type="dxa"/>
            <w:vAlign w:val="bottom"/>
            <w:gridSpan w:val="3"/>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9"/>
              </w:rPr>
              <w:t>JUNE 2025/2024</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99"/>
        </w:trPr>
        <w:tc>
          <w:tcPr>
            <w:tcW w:w="2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5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20" w:type="dxa"/>
            <w:vAlign w:val="bottom"/>
            <w:tcBorders>
              <w:lef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841,930</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1,041,341</w:t>
            </w: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258,784</w:t>
            </w: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263,318</w:t>
            </w:r>
          </w:p>
        </w:tc>
        <w:tc>
          <w:tcPr>
            <w:tcW w:w="0" w:type="dxa"/>
            <w:vAlign w:val="bottom"/>
          </w:tcPr>
          <w:p>
            <w:pPr>
              <w:spacing w:after="0"/>
              <w:rPr>
                <w:sz w:val="1"/>
                <w:szCs w:val="1"/>
                <w:color w:val="auto"/>
              </w:rPr>
            </w:pPr>
          </w:p>
        </w:tc>
      </w:tr>
      <w:tr>
        <w:trPr>
          <w:trHeight w:val="203"/>
        </w:trPr>
        <w:tc>
          <w:tcPr>
            <w:tcW w:w="222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5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1,061</w:t>
            </w:r>
          </w:p>
        </w:tc>
        <w:tc>
          <w:tcPr>
            <w:tcW w:w="180" w:type="dxa"/>
            <w:vAlign w:val="bottom"/>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200" w:type="dxa"/>
            <w:vAlign w:val="bottom"/>
          </w:tcPr>
          <w:p>
            <w:pPr>
              <w:spacing w:after="0"/>
              <w:rPr>
                <w:sz w:val="17"/>
                <w:szCs w:val="17"/>
                <w:color w:val="auto"/>
              </w:rPr>
            </w:pPr>
          </w:p>
        </w:tc>
        <w:tc>
          <w:tcPr>
            <w:tcW w:w="102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257,212</w:t>
            </w:r>
          </w:p>
        </w:tc>
        <w:tc>
          <w:tcPr>
            <w:tcW w:w="180" w:type="dxa"/>
            <w:vAlign w:val="bottom"/>
          </w:tcPr>
          <w:p>
            <w:pPr>
              <w:spacing w:after="0"/>
              <w:rPr>
                <w:sz w:val="17"/>
                <w:szCs w:val="17"/>
                <w:color w:val="auto"/>
              </w:rPr>
            </w:pPr>
          </w:p>
        </w:tc>
        <w:tc>
          <w:tcPr>
            <w:tcW w:w="900" w:type="dxa"/>
            <w:vAlign w:val="bottom"/>
            <w:tcBorders>
              <w:right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281,316</w:t>
            </w:r>
          </w:p>
        </w:tc>
        <w:tc>
          <w:tcPr>
            <w:tcW w:w="0" w:type="dxa"/>
            <w:vAlign w:val="bottom"/>
          </w:tcPr>
          <w:p>
            <w:pPr>
              <w:spacing w:after="0"/>
              <w:rPr>
                <w:sz w:val="1"/>
                <w:szCs w:val="1"/>
                <w:color w:val="auto"/>
              </w:rPr>
            </w:pPr>
          </w:p>
        </w:tc>
      </w:tr>
      <w:tr>
        <w:trPr>
          <w:trHeight w:val="203"/>
        </w:trPr>
        <w:tc>
          <w:tcPr>
            <w:tcW w:w="2220" w:type="dxa"/>
            <w:vAlign w:val="bottom"/>
            <w:tcBorders>
              <w:lef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Investments</w:t>
            </w:r>
          </w:p>
        </w:tc>
        <w:tc>
          <w:tcPr>
            <w:tcW w:w="5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32,021</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36,740</w:t>
            </w: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debt</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5,122</w:t>
            </w: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43,754</w:t>
            </w:r>
          </w:p>
        </w:tc>
        <w:tc>
          <w:tcPr>
            <w:tcW w:w="0" w:type="dxa"/>
            <w:vAlign w:val="bottom"/>
          </w:tcPr>
          <w:p>
            <w:pPr>
              <w:spacing w:after="0"/>
              <w:rPr>
                <w:sz w:val="1"/>
                <w:szCs w:val="1"/>
                <w:color w:val="auto"/>
              </w:rPr>
            </w:pPr>
          </w:p>
        </w:tc>
      </w:tr>
      <w:tr>
        <w:trPr>
          <w:trHeight w:val="193"/>
        </w:trPr>
        <w:tc>
          <w:tcPr>
            <w:tcW w:w="222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5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687,332</w:t>
            </w:r>
          </w:p>
        </w:tc>
        <w:tc>
          <w:tcPr>
            <w:tcW w:w="180" w:type="dxa"/>
            <w:vAlign w:val="bottom"/>
          </w:tcPr>
          <w:p>
            <w:pPr>
              <w:spacing w:after="0"/>
              <w:rPr>
                <w:sz w:val="16"/>
                <w:szCs w:val="16"/>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724,921</w:t>
            </w:r>
          </w:p>
        </w:tc>
        <w:tc>
          <w:tcPr>
            <w:tcW w:w="18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220" w:type="dxa"/>
            <w:vAlign w:val="bottom"/>
            <w:tcBorders>
              <w:lef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5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722,232</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684,813</w:t>
            </w: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Borders>
              <w:left w:val="single" w:sz="8" w:color="auto"/>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56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82,929</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65,453</w:t>
            </w:r>
          </w:p>
        </w:tc>
        <w:tc>
          <w:tcPr>
            <w:tcW w:w="180" w:type="dxa"/>
            <w:vAlign w:val="bottom"/>
            <w:tcBorders>
              <w:bottom w:val="single" w:sz="8" w:color="CCEEFF"/>
              <w:right w:val="single" w:sz="8" w:color="auto"/>
            </w:tcBorders>
          </w:tcPr>
          <w:p>
            <w:pPr>
              <w:spacing w:after="0"/>
              <w:rPr>
                <w:sz w:val="17"/>
                <w:szCs w:val="17"/>
                <w:color w:val="auto"/>
              </w:rPr>
            </w:pPr>
          </w:p>
        </w:tc>
        <w:tc>
          <w:tcPr>
            <w:tcW w:w="2760" w:type="dxa"/>
            <w:vAlign w:val="bottom"/>
            <w:tcBorders>
              <w:bottom w:val="single" w:sz="8" w:color="CCEEFF"/>
              <w:right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Borders>
              <w:lef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5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2,367,505</w:t>
            </w:r>
          </w:p>
        </w:tc>
        <w:tc>
          <w:tcPr>
            <w:tcW w:w="180" w:type="dxa"/>
            <w:vAlign w:val="bottom"/>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2,554,029</w:t>
            </w: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tcPr>
          <w:p>
            <w:pPr>
              <w:spacing w:after="0"/>
              <w:rPr>
                <w:sz w:val="17"/>
                <w:szCs w:val="17"/>
                <w:color w:val="auto"/>
              </w:rPr>
            </w:pPr>
          </w:p>
        </w:tc>
        <w:tc>
          <w:tcPr>
            <w:tcW w:w="102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521,118</w:t>
            </w:r>
          </w:p>
        </w:tc>
        <w:tc>
          <w:tcPr>
            <w:tcW w:w="180" w:type="dxa"/>
            <w:vAlign w:val="bottom"/>
          </w:tcPr>
          <w:p>
            <w:pPr>
              <w:spacing w:after="0"/>
              <w:rPr>
                <w:sz w:val="17"/>
                <w:szCs w:val="17"/>
                <w:color w:val="auto"/>
              </w:rPr>
            </w:pPr>
          </w:p>
        </w:tc>
        <w:tc>
          <w:tcPr>
            <w:tcW w:w="900" w:type="dxa"/>
            <w:vAlign w:val="bottom"/>
            <w:tcBorders>
              <w:right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588,388</w:t>
            </w:r>
          </w:p>
        </w:tc>
        <w:tc>
          <w:tcPr>
            <w:tcW w:w="0" w:type="dxa"/>
            <w:vAlign w:val="bottom"/>
          </w:tcPr>
          <w:p>
            <w:pPr>
              <w:spacing w:after="0"/>
              <w:rPr>
                <w:sz w:val="1"/>
                <w:szCs w:val="1"/>
                <w:color w:val="auto"/>
              </w:rPr>
            </w:pPr>
          </w:p>
        </w:tc>
      </w:tr>
      <w:tr>
        <w:trPr>
          <w:trHeight w:val="203"/>
        </w:trPr>
        <w:tc>
          <w:tcPr>
            <w:tcW w:w="2220" w:type="dxa"/>
            <w:vAlign w:val="bottom"/>
            <w:tcBorders>
              <w:lef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220" w:type="dxa"/>
            <w:vAlign w:val="bottom"/>
            <w:tcBorders>
              <w:lef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LONG-TERM DEBT AND</w:t>
            </w:r>
          </w:p>
        </w:tc>
        <w:tc>
          <w:tcPr>
            <w:tcW w:w="2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5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289,347</w:t>
            </w:r>
          </w:p>
        </w:tc>
        <w:tc>
          <w:tcPr>
            <w:tcW w:w="18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259,830</w:t>
            </w:r>
          </w:p>
        </w:tc>
        <w:tc>
          <w:tcPr>
            <w:tcW w:w="18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FINANCE LEASE OBLIGATIONS</w:t>
            </w:r>
          </w:p>
        </w:tc>
        <w:tc>
          <w:tcPr>
            <w:tcW w:w="200" w:type="dxa"/>
            <w:vAlign w:val="bottom"/>
          </w:tcPr>
          <w:p>
            <w:pPr>
              <w:spacing w:after="0"/>
              <w:rPr>
                <w:sz w:val="18"/>
                <w:szCs w:val="18"/>
                <w:color w:val="auto"/>
              </w:rPr>
            </w:pPr>
          </w:p>
        </w:tc>
        <w:tc>
          <w:tcPr>
            <w:tcW w:w="102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229,181</w:t>
            </w:r>
          </w:p>
        </w:tc>
        <w:tc>
          <w:tcPr>
            <w:tcW w:w="180" w:type="dxa"/>
            <w:vAlign w:val="bottom"/>
          </w:tcPr>
          <w:p>
            <w:pPr>
              <w:spacing w:after="0"/>
              <w:rPr>
                <w:sz w:val="18"/>
                <w:szCs w:val="18"/>
                <w:color w:val="auto"/>
              </w:rPr>
            </w:pPr>
          </w:p>
        </w:tc>
        <w:tc>
          <w:tcPr>
            <w:tcW w:w="900" w:type="dxa"/>
            <w:vAlign w:val="bottom"/>
            <w:tcBorders>
              <w:right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232,979</w:t>
            </w:r>
          </w:p>
        </w:tc>
        <w:tc>
          <w:tcPr>
            <w:tcW w:w="0" w:type="dxa"/>
            <w:vAlign w:val="bottom"/>
          </w:tcPr>
          <w:p>
            <w:pPr>
              <w:spacing w:after="0"/>
              <w:rPr>
                <w:sz w:val="1"/>
                <w:szCs w:val="1"/>
                <w:color w:val="auto"/>
              </w:rPr>
            </w:pPr>
          </w:p>
        </w:tc>
      </w:tr>
      <w:tr>
        <w:trPr>
          <w:trHeight w:val="205"/>
        </w:trPr>
        <w:tc>
          <w:tcPr>
            <w:tcW w:w="222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c>
          <w:tcPr>
            <w:tcW w:w="5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494,495</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505,138</w:t>
            </w: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173,373</w:t>
            </w: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180,686</w:t>
            </w:r>
          </w:p>
        </w:tc>
        <w:tc>
          <w:tcPr>
            <w:tcW w:w="0" w:type="dxa"/>
            <w:vAlign w:val="bottom"/>
          </w:tcPr>
          <w:p>
            <w:pPr>
              <w:spacing w:after="0"/>
              <w:rPr>
                <w:sz w:val="1"/>
                <w:szCs w:val="1"/>
                <w:color w:val="auto"/>
              </w:rPr>
            </w:pPr>
          </w:p>
        </w:tc>
      </w:tr>
      <w:tr>
        <w:trPr>
          <w:trHeight w:val="203"/>
        </w:trPr>
        <w:tc>
          <w:tcPr>
            <w:tcW w:w="2220" w:type="dxa"/>
            <w:vAlign w:val="bottom"/>
            <w:tcBorders>
              <w:lef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Borders>
              <w:lef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TEMPORARY EQUITY</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5,253</w:t>
            </w: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18,931</w:t>
            </w:r>
          </w:p>
        </w:tc>
        <w:tc>
          <w:tcPr>
            <w:tcW w:w="0" w:type="dxa"/>
            <w:vAlign w:val="bottom"/>
          </w:tcPr>
          <w:p>
            <w:pPr>
              <w:spacing w:after="0"/>
              <w:rPr>
                <w:sz w:val="1"/>
                <w:szCs w:val="1"/>
                <w:color w:val="auto"/>
              </w:rPr>
            </w:pPr>
          </w:p>
        </w:tc>
      </w:tr>
      <w:tr>
        <w:trPr>
          <w:trHeight w:val="203"/>
        </w:trPr>
        <w:tc>
          <w:tcPr>
            <w:tcW w:w="2220" w:type="dxa"/>
            <w:vAlign w:val="bottom"/>
            <w:tcBorders>
              <w:lef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22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w:t>
            </w:r>
          </w:p>
        </w:tc>
        <w:tc>
          <w:tcPr>
            <w:tcW w:w="5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76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2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EQUIPMENT, NET</w:t>
            </w:r>
          </w:p>
        </w:tc>
        <w:tc>
          <w:tcPr>
            <w:tcW w:w="560" w:type="dxa"/>
            <w:vAlign w:val="bottom"/>
            <w:tcBorders>
              <w:right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946,041</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819,497</w:t>
            </w:r>
          </w:p>
        </w:tc>
        <w:tc>
          <w:tcPr>
            <w:tcW w:w="180" w:type="dxa"/>
            <w:vAlign w:val="bottom"/>
            <w:tcBorders>
              <w:right w:val="single" w:sz="8" w:color="auto"/>
            </w:tcBorders>
            <w:shd w:val="clear" w:color="auto" w:fill="CCEEFF"/>
          </w:tcPr>
          <w:p>
            <w:pPr>
              <w:spacing w:after="0"/>
              <w:rPr>
                <w:sz w:val="18"/>
                <w:szCs w:val="18"/>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3,168,463</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3,117,510</w:t>
            </w:r>
          </w:p>
        </w:tc>
        <w:tc>
          <w:tcPr>
            <w:tcW w:w="0" w:type="dxa"/>
            <w:vAlign w:val="bottom"/>
          </w:tcPr>
          <w:p>
            <w:pPr>
              <w:spacing w:after="0"/>
              <w:rPr>
                <w:sz w:val="1"/>
                <w:szCs w:val="1"/>
                <w:color w:val="auto"/>
              </w:rPr>
            </w:pPr>
          </w:p>
        </w:tc>
      </w:tr>
      <w:tr>
        <w:trPr>
          <w:trHeight w:val="199"/>
        </w:trPr>
        <w:tc>
          <w:tcPr>
            <w:tcW w:w="2220" w:type="dxa"/>
            <w:vAlign w:val="bottom"/>
            <w:tcBorders>
              <w:lef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Borders>
              <w:lef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220" w:type="dxa"/>
            <w:vAlign w:val="bottom"/>
            <w:tcBorders>
              <w:lef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4,097,388</w:t>
            </w: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4,138,494</w:t>
            </w:r>
          </w:p>
        </w:tc>
        <w:tc>
          <w:tcPr>
            <w:tcW w:w="18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 AND</w:t>
            </w:r>
          </w:p>
        </w:tc>
        <w:tc>
          <w:tcPr>
            <w:tcW w:w="2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16"/>
                <w:szCs w:val="16"/>
                <w:color w:val="auto"/>
              </w:rPr>
              <w:t>4,097,388</w:t>
            </w: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right w:val="single" w:sz="8" w:color="auto"/>
            </w:tcBorders>
            <w:vMerge w:val="restart"/>
          </w:tcPr>
          <w:p>
            <w:pPr>
              <w:jc w:val="right"/>
              <w:ind w:right="58"/>
              <w:spacing w:after="0"/>
              <w:rPr>
                <w:sz w:val="20"/>
                <w:szCs w:val="20"/>
                <w:color w:val="auto"/>
              </w:rPr>
            </w:pPr>
            <w:r>
              <w:rPr>
                <w:rFonts w:ascii="Times New Roman" w:cs="Times New Roman" w:eastAsia="Times New Roman" w:hAnsi="Times New Roman"/>
                <w:sz w:val="16"/>
                <w:szCs w:val="16"/>
                <w:color w:val="auto"/>
              </w:rPr>
              <w:t>4,138,494</w:t>
            </w:r>
          </w:p>
        </w:tc>
        <w:tc>
          <w:tcPr>
            <w:tcW w:w="0" w:type="dxa"/>
            <w:vAlign w:val="bottom"/>
          </w:tcPr>
          <w:p>
            <w:pPr>
              <w:spacing w:after="0"/>
              <w:rPr>
                <w:sz w:val="1"/>
                <w:szCs w:val="1"/>
                <w:color w:val="auto"/>
              </w:rPr>
            </w:pPr>
          </w:p>
        </w:tc>
      </w:tr>
      <w:tr>
        <w:trPr>
          <w:trHeight w:val="245"/>
        </w:trPr>
        <w:tc>
          <w:tcPr>
            <w:tcW w:w="222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6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0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05"/>
        </w:trPr>
        <w:tc>
          <w:tcPr>
            <w:tcW w:w="2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482" w:right="8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UFP Industries, Inc.</w:t>
            </w:r>
          </w:p>
        </w:tc>
        <w:tc>
          <w:tcPr>
            <w:tcW w:w="0" w:type="dxa"/>
            <w:vAlign w:val="bottom"/>
          </w:tcPr>
          <w:p>
            <w:pPr>
              <w:spacing w:after="0"/>
              <w:rPr>
                <w:sz w:val="1"/>
                <w:szCs w:val="1"/>
                <w:color w:val="auto"/>
              </w:rPr>
            </w:pPr>
          </w:p>
        </w:tc>
      </w:tr>
      <w:tr>
        <w:trPr>
          <w:trHeight w:val="238"/>
        </w:trPr>
        <w:tc>
          <w:tcPr>
            <w:tcW w:w="8640" w:type="dxa"/>
            <w:vAlign w:val="bottom"/>
            <w:gridSpan w:val="3"/>
            <w:vMerge w:val="restart"/>
          </w:tcPr>
          <w:p>
            <w:pPr>
              <w:jc w:val="center"/>
              <w:ind w:left="1539"/>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 13</w:t>
            </w:r>
          </w:p>
        </w:tc>
        <w:tc>
          <w:tcPr>
            <w:tcW w:w="0" w:type="dxa"/>
            <w:vAlign w:val="bottom"/>
          </w:tcPr>
          <w:p>
            <w:pPr>
              <w:spacing w:after="0"/>
              <w:rPr>
                <w:sz w:val="1"/>
                <w:szCs w:val="1"/>
                <w:color w:val="auto"/>
              </w:rPr>
            </w:pPr>
          </w:p>
        </w:tc>
      </w:tr>
      <w:tr>
        <w:trPr>
          <w:trHeight w:val="194"/>
        </w:trPr>
        <w:tc>
          <w:tcPr>
            <w:tcW w:w="86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0" w:type="dxa"/>
            <w:vAlign w:val="bottom"/>
          </w:tcPr>
          <w:p>
            <w:pPr>
              <w:jc w:val="center"/>
              <w:ind w:left="2759"/>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00" w:type="dxa"/>
            <w:vAlign w:val="bottom"/>
          </w:tcPr>
          <w:p>
            <w:pPr>
              <w:jc w:val="center"/>
              <w:ind w:left="2759"/>
              <w:spacing w:after="0"/>
              <w:rPr>
                <w:sz w:val="20"/>
                <w:szCs w:val="20"/>
                <w:color w:val="auto"/>
              </w:rPr>
            </w:pPr>
            <w:r>
              <w:rPr>
                <w:rFonts w:ascii="Times New Roman" w:cs="Times New Roman" w:eastAsia="Times New Roman" w:hAnsi="Times New Roman"/>
                <w:sz w:val="18"/>
                <w:szCs w:val="18"/>
                <w:b w:val="1"/>
                <w:bCs w:val="1"/>
                <w:color w:val="auto"/>
                <w:w w:val="99"/>
              </w:rPr>
              <w:t>JUNE 2025/2024</w:t>
            </w:r>
          </w:p>
        </w:tc>
        <w:tc>
          <w:tcPr>
            <w:tcW w:w="280" w:type="dxa"/>
            <w:vAlign w:val="bottom"/>
          </w:tcPr>
          <w:p>
            <w:pPr>
              <w:spacing w:after="0"/>
              <w:rPr>
                <w:sz w:val="20"/>
                <w:szCs w:val="20"/>
                <w:color w:val="auto"/>
              </w:rPr>
            </w:pPr>
          </w:p>
        </w:tc>
        <w:tc>
          <w:tcPr>
            <w:tcW w:w="96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180,294</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247,331</w:t>
            </w: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from operating activities: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66,941</w:t>
            </w: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60,643</w:t>
            </w: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11,745</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11,735</w:t>
            </w: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Expense associated with share-based and grant compensation arrangements</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20,370</w:t>
            </w: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19,276</w:t>
            </w: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Unrealized gain on investment and other</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(1,825)</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in (earnings) loss of investee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Net loss on sale, disposition and impairment of assets</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3,754</w:t>
            </w: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 from reduction of estimated earnout liability</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(1,855)</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Changes in: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(184,404)</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(176,839)</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2,461</w:t>
            </w: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41,684</w:t>
            </w: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32,887</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61,125</w:t>
            </w: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Borders>
              <w:left w:val="single" w:sz="8" w:color="auto"/>
              <w:bottom w:val="single" w:sz="8" w:color="CCEEFF"/>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(17,381)</w:t>
            </w:r>
          </w:p>
        </w:tc>
        <w:tc>
          <w:tcPr>
            <w:tcW w:w="3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(25,723)</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NET CASH FROM OPERATING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113,138</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239,078</w:t>
            </w: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(129,752)</w:t>
            </w: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(106,585)</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3,694</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Acquisitions, net of cash received and purchase of equity method investment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(15,706)</w:t>
            </w: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(16,873)</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(16,416)</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7,467</w:t>
            </w: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9,284</w:t>
            </w: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1,591</w:t>
            </w:r>
          </w:p>
        </w:tc>
        <w:tc>
          <w:tcPr>
            <w:tcW w:w="300" w:type="dxa"/>
            <w:vAlign w:val="bottom"/>
            <w:tcBorders>
              <w:bottom w:val="single" w:sz="8" w:color="auto"/>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(7,674)</w:t>
            </w:r>
          </w:p>
        </w:tc>
        <w:tc>
          <w:tcPr>
            <w:tcW w:w="0" w:type="dxa"/>
            <w:vAlign w:val="bottom"/>
          </w:tcPr>
          <w:p>
            <w:pPr>
              <w:spacing w:after="0"/>
              <w:rPr>
                <w:sz w:val="1"/>
                <w:szCs w:val="1"/>
                <w:color w:val="auto"/>
              </w:rPr>
            </w:pPr>
          </w:p>
        </w:tc>
      </w:tr>
      <w:tr>
        <w:trPr>
          <w:trHeight w:val="196"/>
        </w:trPr>
        <w:tc>
          <w:tcPr>
            <w:tcW w:w="7400" w:type="dxa"/>
            <w:vAlign w:val="bottom"/>
            <w:tcBorders>
              <w:left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(149,579)</w:t>
            </w: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(119,038)</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FINANCING ACTIVITIES: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under revolving credit facilities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13,357</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12,354</w:t>
            </w: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Repayments under revolving credit facilities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(12,814)</w:t>
            </w: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(11,988)</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debt on behalf of investee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(6,303)</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Contingent consideration payments and other</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(4,779)</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1,294</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Dividends paid to shareholders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(41,978)</w:t>
            </w: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(40,660)</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(9,400)</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Payments to taxing authorities in connection with shares directly withheld from employees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(9,560)</w:t>
            </w: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(17,838)</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(251,933)</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(119,362)</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3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Borders>
              <w:left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(302,338)</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(196,468)</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2,176</w:t>
            </w:r>
          </w:p>
        </w:tc>
        <w:tc>
          <w:tcPr>
            <w:tcW w:w="300" w:type="dxa"/>
            <w:vAlign w:val="bottom"/>
            <w:tcBorders>
              <w:bottom w:val="single" w:sz="8" w:color="auto"/>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(3,726)</w:t>
            </w:r>
          </w:p>
        </w:tc>
        <w:tc>
          <w:tcPr>
            <w:tcW w:w="0" w:type="dxa"/>
            <w:vAlign w:val="bottom"/>
          </w:tcPr>
          <w:p>
            <w:pPr>
              <w:spacing w:after="0"/>
              <w:rPr>
                <w:sz w:val="1"/>
                <w:szCs w:val="1"/>
                <w:color w:val="auto"/>
              </w:rPr>
            </w:pPr>
          </w:p>
        </w:tc>
      </w:tr>
      <w:tr>
        <w:trPr>
          <w:trHeight w:val="196"/>
        </w:trPr>
        <w:tc>
          <w:tcPr>
            <w:tcW w:w="7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(336,603)</w:t>
            </w: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(80,154)</w:t>
            </w: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ALL CASH AND CASH EQUIVALENTS, BEGINNING OF PERIOD</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1,179,594</w:t>
            </w:r>
          </w:p>
        </w:tc>
        <w:tc>
          <w:tcPr>
            <w:tcW w:w="3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1,122,256</w:t>
            </w:r>
          </w:p>
        </w:tc>
        <w:tc>
          <w:tcPr>
            <w:tcW w:w="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Borders>
              <w:left w:val="single" w:sz="8" w:color="auto"/>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0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ALL CASH AND CASH EQUIVALENTS, END OF PERIOD</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842,991</w:t>
            </w:r>
          </w:p>
        </w:tc>
        <w:tc>
          <w:tcPr>
            <w:tcW w:w="30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1,042,102</w:t>
            </w:r>
          </w:p>
        </w:tc>
        <w:tc>
          <w:tcPr>
            <w:tcW w:w="1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400" w:type="dxa"/>
            <w:vAlign w:val="bottom"/>
            <w:tcBorders>
              <w:left w:val="single" w:sz="8" w:color="auto"/>
              <w:right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and cash equivalents and restricted cash:</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1,171,828</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1,118,329</w:t>
            </w: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Restricted cash, beginning of period</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7,766</w:t>
            </w:r>
          </w:p>
        </w:tc>
        <w:tc>
          <w:tcPr>
            <w:tcW w:w="3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cash and cash equivalents, beginning of period</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1,179,594</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1,122,256</w:t>
            </w: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841,930</w:t>
            </w: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1,041,341</w:t>
            </w: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Restricted cash, end of period</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1,061</w:t>
            </w:r>
          </w:p>
        </w:tc>
        <w:tc>
          <w:tcPr>
            <w:tcW w:w="3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cash and cash equivalents, end of period</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842,991</w:t>
            </w:r>
          </w:p>
        </w:tc>
        <w:tc>
          <w:tcPr>
            <w:tcW w:w="300" w:type="dxa"/>
            <w:vAlign w:val="bottom"/>
            <w:tcBorders>
              <w:bottom w:val="single" w:sz="8" w:color="auto"/>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1,042,102</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0" w:type="dxa"/>
            <w:vAlign w:val="bottom"/>
            <w:tcBorders>
              <w:lef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00" w:type="dxa"/>
            <w:vAlign w:val="bottom"/>
            <w:tcBorders>
              <w:left w:val="single" w:sz="8" w:color="auto"/>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86"/>
        </w:trPr>
        <w:tc>
          <w:tcPr>
            <w:tcW w:w="7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40"/>
      </w:cols>
      <w:pgMar w:left="820" w:top="482"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3"/>
    </w:lvl>
  </w:abstractNum>
  <w:abstractNum w:abstractNumId="2">
    <w:nsid w:val="46E87CCD"/>
    <w:multiLevelType w:val="hybridMultilevel"/>
    <w:lvl w:ilvl="0">
      <w:lvlJc w:val="left"/>
      <w:lvlText w:val="%1"/>
      <w:numFmt w:val="decimal"/>
      <w:start w:val="10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2025-07-28T15:14:28Z</dcterms:created>
  <dcterms:modified xsi:type="dcterms:W3CDTF">2025-07-28T15:14:28Z</dcterms:modified>
</cp:coreProperties>
</file>