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597471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471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420" w:hanging="315"/>
        <w:spacing w:after="0" w:line="242" w:lineRule="auto"/>
        <w:tabs>
          <w:tab w:leader="none" w:pos="4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ANNUAL REPORT PURSUANT TO SECTION 15(d) OF THE SECURITIES EXCHANGE ACT OF 1934 [NO FEE REQUIRED].</w:t>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fiscal year ended December 31, 2021</w:t>
      </w:r>
    </w:p>
    <w:p>
      <w:pPr>
        <w:spacing w:after="0" w:line="3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w:t>
      </w:r>
    </w:p>
    <w:p>
      <w:pPr>
        <w:spacing w:after="0" w:line="200" w:lineRule="exact"/>
        <w:rPr>
          <w:sz w:val="24"/>
          <w:szCs w:val="24"/>
          <w:color w:val="auto"/>
        </w:rPr>
      </w:pPr>
    </w:p>
    <w:p>
      <w:pPr>
        <w:spacing w:after="0" w:line="214" w:lineRule="exact"/>
        <w:rPr>
          <w:sz w:val="24"/>
          <w:szCs w:val="24"/>
          <w:color w:val="auto"/>
        </w:rPr>
      </w:pPr>
    </w:p>
    <w:p>
      <w:pPr>
        <w:ind w:left="440" w:right="200" w:hanging="252"/>
        <w:spacing w:after="0" w:line="242" w:lineRule="auto"/>
        <w:tabs>
          <w:tab w:leader="none" w:pos="44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[NO FEE REQUIRED].</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0-22684</w:t>
      </w:r>
    </w:p>
    <w:p>
      <w:pPr>
        <w:spacing w:after="0" w:line="3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UFP Industries, Inc. Employees' Profit Sharing</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401(k) Plan</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(Full title of the plan and the address of the plan, if different from that of issuer named below)</w:t>
      </w:r>
    </w:p>
    <w:p>
      <w:pPr>
        <w:spacing w:after="0" w:line="3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1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2801 East Beltline NE</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Grand Rapids, Michigan 49525-9736</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248920</wp:posOffset>
            </wp:positionV>
            <wp:extent cx="596646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340"/>
          </w:cols>
          <w:pgMar w:left="1240" w:top="686" w:right="1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 and Supplemental Schedules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8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color w:val="auto"/>
                <w:w w:val="99"/>
              </w:rPr>
              <w:t>Years Ended December 31, 2021 and 2020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3"/>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34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Statements of Net Assets Available for Benefits</w:t>
            </w:r>
          </w:p>
        </w:tc>
        <w:tc>
          <w:tcPr>
            <w:tcW w:w="4300" w:type="dxa"/>
            <w:vAlign w:val="bottom"/>
            <w:tcBorders>
              <w:bottom w:val="single" w:sz="8" w:color="CCEEFF"/>
            </w:tcBorders>
            <w:gridSpan w:val="5"/>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Net Assets Available for Benefits</w:t>
            </w:r>
          </w:p>
        </w:tc>
        <w:tc>
          <w:tcPr>
            <w:tcW w:w="16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Schedule H, Line 4i—Schedule of Assets (Held at End of Year)</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7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Schedule H, Line 4a—Schedule of Delinquent Participant Contributions</w:t>
            </w:r>
          </w:p>
        </w:tc>
        <w:tc>
          <w:tcPr>
            <w:tcW w:w="1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4" w:lineRule="exact"/>
        <w:rPr>
          <w:sz w:val="20"/>
          <w:szCs w:val="20"/>
          <w:color w:val="auto"/>
        </w:rPr>
      </w:pPr>
    </w:p>
    <w:p>
      <w:pPr>
        <w:ind w:right="3500"/>
        <w:spacing w:after="0" w:line="265" w:lineRule="auto"/>
        <w:rPr>
          <w:sz w:val="20"/>
          <w:szCs w:val="20"/>
          <w:color w:val="auto"/>
        </w:rPr>
      </w:pPr>
      <w:r>
        <w:rPr>
          <w:rFonts w:ascii="Times New Roman" w:cs="Times New Roman" w:eastAsia="Times New Roman" w:hAnsi="Times New Roman"/>
          <w:sz w:val="17"/>
          <w:szCs w:val="17"/>
          <w:color w:val="auto"/>
        </w:rPr>
        <w:t>To Plan Participants and Members of the Profit Sharing and 401(k) Trustee Committee UFP Industries, Inc. Employees’ Profit Sharing and 401(k) Plan Grand Rapids, Michigan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We have audited the accompanying statements of net assets available for benefits of UFP Industries, Inc. Employees’ Profit Sharing and 401(k) Plan (the “Plan”) as of December 31, 2021 and 2020, the related statement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2021 and 2020, and the changes in net assets available for benefits for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7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Emphasis of a Matter – Plan Merger</w:t>
      </w: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As discussed in Note 3 to the financial statements, the idX Corporation 401(k) Profit Sharing Plan merged into the Plan effective December 31, 2020. Our opinion is not modified with respect to this matter.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Information</w:t>
      </w:r>
    </w:p>
    <w:p>
      <w:pPr>
        <w:spacing w:after="0" w:line="21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The supplemental information in the accompanying Schedule of Assets (Held at End of Year) as of December 31, 2021 and the Schedule of Delinquent Participant Contributions for the year ended December 31, 2021, have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Plan’s auditor since 2009.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 Rapids, Michigan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29, 2022</w:t>
      </w:r>
    </w:p>
    <w:p>
      <w:pPr>
        <w:sectPr>
          <w:pgSz w:w="11900" w:h="16838" w:orient="portrait"/>
          <w:cols w:equalWidth="0" w:num="1">
            <w:col w:w="9420"/>
          </w:cols>
          <w:pgMar w:left="1240" w:top="295" w:right="1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537845</wp:posOffset>
            </wp:positionV>
            <wp:extent cx="59836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582,965,833</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432,430,373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14,280,611</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13,130,797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4,153,177</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3,295,288</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Receivable from another qualified plan (Note 3)</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30,446,257</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601,399,621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479,302,715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investment broker (equal to total liabilities)</w:t>
            </w: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601,399,525</w:t>
            </w:r>
          </w:p>
        </w:tc>
        <w:tc>
          <w:tcPr>
            <w:tcW w:w="36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479,287,665</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4,963,907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4,349,546</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114,685,260</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59,515,477</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119,649,167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63,865,023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31,707,937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24,178,120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Rollover contributions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3,507,302</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1,354,936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9,525,870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7,059,874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notes receivable from participants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842,198</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799,260</w:t>
            </w:r>
          </w:p>
        </w:tc>
        <w:tc>
          <w:tcPr>
            <w:tcW w:w="0" w:type="dxa"/>
            <w:vAlign w:val="bottom"/>
          </w:tcPr>
          <w:p>
            <w:pPr>
              <w:spacing w:after="0"/>
              <w:rPr>
                <w:sz w:val="1"/>
                <w:szCs w:val="1"/>
                <w:color w:val="auto"/>
              </w:rPr>
            </w:pPr>
          </w:p>
        </w:tc>
      </w:tr>
      <w:tr>
        <w:trPr>
          <w:trHeight w:val="20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Additions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165,232,474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97,257,213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3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(42,452,860)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(23,444,815)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(667,754)</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(904,805)</w:t>
            </w:r>
          </w:p>
        </w:tc>
        <w:tc>
          <w:tcPr>
            <w:tcW w:w="0" w:type="dxa"/>
            <w:vAlign w:val="bottom"/>
          </w:tcPr>
          <w:p>
            <w:pPr>
              <w:spacing w:after="0"/>
              <w:rPr>
                <w:sz w:val="1"/>
                <w:szCs w:val="1"/>
                <w:color w:val="auto"/>
              </w:rPr>
            </w:pPr>
          </w:p>
        </w:tc>
      </w:tr>
      <w:tr>
        <w:trPr>
          <w:trHeight w:val="20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Deductions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(43,120,614)</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(24,349,620)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122,111,860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72,907,593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Transfers in (Note 3)</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881,993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(Note 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(565,855)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Transfer from another qualified plan (Note 3)</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30,446,257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479,287,665</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375,617,677</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601,399,525</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479,287,665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5" w:name="page6"/>
    <w:bookmarkEnd w:id="5"/>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401(k) Plan</w:t>
      </w:r>
    </w:p>
    <w:p>
      <w:pPr>
        <w:spacing w:after="0" w:line="30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302" w:lineRule="exact"/>
        <w:rPr>
          <w:sz w:val="20"/>
          <w:szCs w:val="20"/>
          <w:color w:val="auto"/>
        </w:rPr>
      </w:pPr>
    </w:p>
    <w:p>
      <w:pPr>
        <w:ind w:left="3" w:right="7180" w:hanging="3"/>
        <w:spacing w:after="0" w:line="597" w:lineRule="auto"/>
        <w:tabs>
          <w:tab w:leader="none" w:pos="48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General</w:t>
      </w:r>
    </w:p>
    <w:p>
      <w:pPr>
        <w:jc w:val="both"/>
        <w:ind w:left="3"/>
        <w:spacing w:after="0" w:line="362" w:lineRule="auto"/>
        <w:rPr>
          <w:sz w:val="20"/>
          <w:szCs w:val="20"/>
          <w:color w:val="auto"/>
        </w:rPr>
      </w:pPr>
      <w:r>
        <w:rPr>
          <w:rFonts w:ascii="Times New Roman" w:cs="Times New Roman" w:eastAsia="Times New Roman" w:hAnsi="Times New Roman"/>
          <w:sz w:val="17"/>
          <w:szCs w:val="17"/>
          <w:color w:val="auto"/>
        </w:rPr>
        <w:t>The following description of the UFP Industries, Inc. Employees’ Profit Sharing and 401(k) Plan (the Plan) provides only general information. Participants should refer to the Plan Document, as amended, for a more complete description of the Plan’s provisions.</w:t>
      </w:r>
    </w:p>
    <w:p>
      <w:pPr>
        <w:spacing w:after="0" w:line="180" w:lineRule="exact"/>
        <w:rPr>
          <w:sz w:val="20"/>
          <w:szCs w:val="20"/>
          <w:color w:val="auto"/>
        </w:rPr>
      </w:pPr>
    </w:p>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Effective January 1, 2020, the plan name was changed to UFP Industries, Inc. Employees’ Profit Sharing and 401(k) Plan, formerly known as Universal Forest Products, Inc. Employees’ Profit Sharing and 401(k) Plan.</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310" w:lineRule="exact"/>
        <w:rPr>
          <w:sz w:val="20"/>
          <w:szCs w:val="20"/>
          <w:color w:val="auto"/>
        </w:rPr>
      </w:pPr>
    </w:p>
    <w:p>
      <w:pPr>
        <w:jc w:val="both"/>
        <w:ind w:left="3"/>
        <w:spacing w:after="0" w:line="305" w:lineRule="auto"/>
        <w:rPr>
          <w:sz w:val="20"/>
          <w:szCs w:val="20"/>
          <w:color w:val="auto"/>
        </w:rPr>
      </w:pPr>
      <w:r>
        <w:rPr>
          <w:rFonts w:ascii="Times New Roman" w:cs="Times New Roman" w:eastAsia="Times New Roman" w:hAnsi="Times New Roman"/>
          <w:sz w:val="18"/>
          <w:szCs w:val="18"/>
          <w:color w:val="auto"/>
        </w:rPr>
        <w:t>As of June 18, 2021 recordkeeping and trustee services transferred from Wells Fargo Bank, N.A. to Principal Trust Company (“Principal”). Principal is currently the Trustee and Recordkeeper for the Plan, and provides custody of assets, trading, income collection, contribution deposit processing and paying agent services. The trustee is legally responsible for maintaining the assets of the Plan, making distribution payments as directed by the Company and generally performing all other acts deemed necessary or proper to fulfill its responsibility as set forth in the trust agreement pertaining to the Plan.</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Eligibility and Enrollment</w:t>
      </w:r>
    </w:p>
    <w:p>
      <w:pPr>
        <w:spacing w:after="0" w:line="324"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The Plan is a defined-contribution, profit sharing and 401(k) plan that provides tax-deferred benefits for substantially all eligible employees of UFP Industries, Inc. (Plan Sponsor) or other Participating Employers, excluding the employees of separate subsidiaries that maintain a similar defined-contribution plan and those covered under a collective bargaining agreement. The Plan is subject to the provisions of the Employee Retirement Security Act of 1974 (ERISA).</w:t>
      </w:r>
    </w:p>
    <w:p>
      <w:pPr>
        <w:spacing w:after="0" w:line="223" w:lineRule="exact"/>
        <w:rPr>
          <w:sz w:val="20"/>
          <w:szCs w:val="20"/>
          <w:color w:val="auto"/>
        </w:rPr>
      </w:pPr>
    </w:p>
    <w:p>
      <w:pPr>
        <w:jc w:val="both"/>
        <w:ind w:left="3"/>
        <w:spacing w:after="0" w:line="329" w:lineRule="auto"/>
        <w:rPr>
          <w:sz w:val="20"/>
          <w:szCs w:val="20"/>
          <w:color w:val="auto"/>
        </w:rPr>
      </w:pPr>
      <w:r>
        <w:rPr>
          <w:rFonts w:ascii="Times New Roman" w:cs="Times New Roman" w:eastAsia="Times New Roman" w:hAnsi="Times New Roman"/>
          <w:sz w:val="18"/>
          <w:szCs w:val="18"/>
          <w:color w:val="auto"/>
        </w:rPr>
        <w:t>All newly eligible employees are automatically enrolled in the Plan at a deferral level of 3% of eligible compensation. Eligible employees are those who are 18 years or older, have completed 60 days of employment and are hired to work more than 180 days.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0" w:lineRule="exact"/>
        <w:rPr>
          <w:sz w:val="20"/>
          <w:szCs w:val="20"/>
          <w:color w:val="auto"/>
        </w:rPr>
      </w:pPr>
    </w:p>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202" w:lineRule="exact"/>
        <w:rPr>
          <w:sz w:val="20"/>
          <w:szCs w:val="20"/>
          <w:color w:val="auto"/>
        </w:rPr>
      </w:pPr>
    </w:p>
    <w:p>
      <w:pPr>
        <w:jc w:val="both"/>
        <w:ind w:left="3" w:right="20"/>
        <w:spacing w:after="0" w:line="305" w:lineRule="auto"/>
        <w:rPr>
          <w:sz w:val="20"/>
          <w:szCs w:val="20"/>
          <w:color w:val="auto"/>
        </w:rPr>
      </w:pPr>
      <w:r>
        <w:rPr>
          <w:rFonts w:ascii="Times New Roman" w:cs="Times New Roman" w:eastAsia="Times New Roman" w:hAnsi="Times New Roman"/>
          <w:sz w:val="18"/>
          <w:szCs w:val="18"/>
          <w:color w:val="auto"/>
        </w:rPr>
        <w:t>The Plan Sponsor contributes regular discretionary matching contributions and may contribute additional discretionary matching contributions. Regular discretionary matching contributions are made quarterly and were 25% of participant deferrals in 2021 and 2020, on the first 6% of each participant’s eligible compensation. Additional matching contributions were also provided to hourly participants for 2021 and 2020. These amounts are not guaranteed, and may vary from year to year as the Plan Sponsor is not obligated to make such contributions.</w:t>
      </w:r>
    </w:p>
    <w:p>
      <w:pPr>
        <w:spacing w:after="0" w:line="200" w:lineRule="exact"/>
        <w:rPr>
          <w:sz w:val="20"/>
          <w:szCs w:val="20"/>
          <w:color w:val="auto"/>
        </w:rPr>
      </w:pPr>
    </w:p>
    <w:p>
      <w:pPr>
        <w:spacing w:after="0" w:line="25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497205</wp:posOffset>
            </wp:positionV>
            <wp:extent cx="598360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3"/>
          </w:cols>
          <w:pgMar w:left="1237" w:top="295" w:right="1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160"/>
        <w:spacing w:after="0" w:line="309" w:lineRule="auto"/>
        <w:rPr>
          <w:sz w:val="20"/>
          <w:szCs w:val="20"/>
          <w:color w:val="auto"/>
        </w:rPr>
      </w:pPr>
      <w:r>
        <w:rPr>
          <w:rFonts w:ascii="Times New Roman" w:cs="Times New Roman" w:eastAsia="Times New Roman" w:hAnsi="Times New Roman"/>
          <w:sz w:val="18"/>
          <w:szCs w:val="18"/>
          <w:color w:val="auto"/>
        </w:rPr>
        <w:t>The Plan Sponsor may also contribute a discretionary profit sharing amount annually as determined by management and approved by the Plan Sponsor’s Board of Directors. The Plan Sponsor’s annual profit sharing contributions are allocated to participants who had at least 1,000 hours of service during the plan year and are allocated to each participant’s account in the same ratio that each participant’s total compensation for the Plan year bears to the total compensation of all participants for such year. No discretionary profit sharing contributions were made in 2021 or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Employer contributions are subject to a vesting schedule as follows:</w:t>
            </w:r>
          </w:p>
        </w:tc>
        <w:tc>
          <w:tcPr>
            <w:tcW w:w="3840" w:type="dxa"/>
            <w:vAlign w:val="bottom"/>
          </w:tcPr>
          <w:p>
            <w:pPr>
              <w:spacing w:after="0"/>
              <w:rPr>
                <w:sz w:val="20"/>
                <w:szCs w:val="20"/>
                <w:color w:val="auto"/>
              </w:rPr>
            </w:pPr>
          </w:p>
        </w:tc>
      </w:tr>
      <w:tr>
        <w:trPr>
          <w:trHeight w:val="547"/>
        </w:trPr>
        <w:tc>
          <w:tcPr>
            <w:tcW w:w="38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Years of Service</w:t>
            </w:r>
          </w:p>
        </w:tc>
        <w:tc>
          <w:tcPr>
            <w:tcW w:w="1900" w:type="dxa"/>
            <w:vAlign w:val="bottom"/>
            <w:tcBorders>
              <w:bottom w:val="single" w:sz="8" w:color="CCEEFF"/>
            </w:tcBorders>
          </w:tcPr>
          <w:p>
            <w:pPr>
              <w:spacing w:after="0"/>
              <w:rPr>
                <w:sz w:val="24"/>
                <w:szCs w:val="24"/>
                <w:color w:val="auto"/>
              </w:rPr>
            </w:pPr>
          </w:p>
        </w:tc>
        <w:tc>
          <w:tcPr>
            <w:tcW w:w="38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Vesting Percentage</w:t>
            </w:r>
          </w:p>
        </w:tc>
      </w:tr>
      <w:tr>
        <w:trPr>
          <w:trHeight w:val="243"/>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2</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5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but less than 3</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57"/>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but less than 4</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5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but less than 5</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70"/>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 but less than 6</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5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or more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65" w:lineRule="exact"/>
        <w:rPr>
          <w:sz w:val="20"/>
          <w:szCs w:val="20"/>
          <w:color w:val="auto"/>
        </w:rPr>
      </w:pPr>
    </w:p>
    <w:p>
      <w:pPr>
        <w:jc w:val="both"/>
        <w:ind w:right="160"/>
        <w:spacing w:after="0" w:line="313" w:lineRule="auto"/>
        <w:rPr>
          <w:sz w:val="20"/>
          <w:szCs w:val="20"/>
          <w:color w:val="auto"/>
        </w:rPr>
      </w:pPr>
      <w:r>
        <w:rPr>
          <w:rFonts w:ascii="Times New Roman" w:cs="Times New Roman" w:eastAsia="Times New Roman" w:hAnsi="Times New Roman"/>
          <w:sz w:val="18"/>
          <w:szCs w:val="18"/>
          <w:color w:val="auto"/>
        </w:rPr>
        <w:t>The Plan was amended effective January 1, 2012 to be designated as an ESOP for those Participants with a portion of their account balance invested in the UFP Industries Inc. Stock Fund. This provision allows those Participants who are 100% vested the opportunity to elect to have the dividends on the employer stock fund paid to them in cash.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0" w:lineRule="exact"/>
        <w:rPr>
          <w:sz w:val="20"/>
          <w:szCs w:val="20"/>
          <w:color w:val="auto"/>
        </w:rPr>
      </w:pPr>
    </w:p>
    <w:p>
      <w:pPr>
        <w:jc w:val="both"/>
        <w:ind w:right="140"/>
        <w:spacing w:after="0" w:line="313" w:lineRule="auto"/>
        <w:rPr>
          <w:sz w:val="20"/>
          <w:szCs w:val="20"/>
          <w:color w:val="auto"/>
        </w:rPr>
      </w:pPr>
      <w:r>
        <w:rPr>
          <w:rFonts w:ascii="Times New Roman" w:cs="Times New Roman" w:eastAsia="Times New Roman" w:hAnsi="Times New Roman"/>
          <w:sz w:val="18"/>
          <w:szCs w:val="18"/>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participant account balances, as defined in the Plan Document.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310" w:lineRule="exact"/>
        <w:rPr>
          <w:sz w:val="20"/>
          <w:szCs w:val="20"/>
          <w:color w:val="auto"/>
        </w:rPr>
      </w:pPr>
    </w:p>
    <w:p>
      <w:pPr>
        <w:jc w:val="both"/>
        <w:ind w:right="160"/>
        <w:spacing w:after="0" w:line="313" w:lineRule="auto"/>
        <w:rPr>
          <w:sz w:val="20"/>
          <w:szCs w:val="20"/>
          <w:color w:val="auto"/>
        </w:rPr>
      </w:pPr>
      <w:r>
        <w:rPr>
          <w:rFonts w:ascii="Times New Roman" w:cs="Times New Roman" w:eastAsia="Times New Roman" w:hAnsi="Times New Roman"/>
          <w:sz w:val="18"/>
          <w:szCs w:val="18"/>
          <w:color w:val="auto"/>
        </w:rPr>
        <w:t>Upon termination of employment, a participant may not be fully vested in the employer’s contributions that have been allocated to his or her account. Forfeitures are used to offset the Plan Sponsor’s matching contributions and for reasonable administrative expenses. During 2021 and 2020, forfeitures of approximately $1,244,000 and $905,000, respectively, were used to offset the Plan Sponsor’s matching contributions.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310" w:lineRule="exact"/>
        <w:rPr>
          <w:sz w:val="20"/>
          <w:szCs w:val="20"/>
          <w:color w:val="auto"/>
        </w:rPr>
      </w:pPr>
    </w:p>
    <w:p>
      <w:pPr>
        <w:jc w:val="both"/>
        <w:ind w:right="140"/>
        <w:spacing w:after="0" w:line="305" w:lineRule="auto"/>
        <w:rPr>
          <w:sz w:val="20"/>
          <w:szCs w:val="20"/>
          <w:color w:val="auto"/>
        </w:rPr>
      </w:pPr>
      <w:r>
        <w:rPr>
          <w:rFonts w:ascii="Times New Roman" w:cs="Times New Roman" w:eastAsia="Times New Roman" w:hAnsi="Times New Roman"/>
          <w:sz w:val="18"/>
          <w:szCs w:val="18"/>
          <w:color w:val="auto"/>
        </w:rPr>
        <w:t>Participants may borrow from their account a minimum amount of $1,000 up to a maximum equal to the lesser of $50,000 or 50% of their vested account balance, reduced by any outstanding loans as outlined in the Plan Document. Loan terms range from one to five years or up to 25 years for the purchase of a residence. The loans bear interest at a rate equal to the prime rate (3.25% at December 31, 2021) plus 2% calculated on a daily basis. Interest rates on outstanding loans ranged from 4.2% to 11.5% at December 31, 2021.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0" w:lineRule="exact"/>
        <w:rPr>
          <w:sz w:val="20"/>
          <w:szCs w:val="20"/>
          <w:color w:val="auto"/>
        </w:rPr>
      </w:pPr>
    </w:p>
    <w:p>
      <w:pPr>
        <w:jc w:val="both"/>
        <w:ind w:right="160"/>
        <w:spacing w:after="0" w:line="307" w:lineRule="auto"/>
        <w:rPr>
          <w:sz w:val="20"/>
          <w:szCs w:val="20"/>
          <w:color w:val="auto"/>
        </w:rPr>
      </w:pPr>
      <w:r>
        <w:rPr>
          <w:rFonts w:ascii="Times New Roman" w:cs="Times New Roman" w:eastAsia="Times New Roman" w:hAnsi="Times New Roman"/>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ectPr>
          <w:pgSz w:w="11900" w:h="16838" w:orient="portrait"/>
          <w:cols w:equalWidth="0" w:num="1">
            <w:col w:w="9560"/>
          </w:cols>
          <w:pgMar w:left="1240" w:top="295" w:right="1099" w:bottom="1440" w:gutter="0" w:footer="0" w:header="0"/>
        </w:sectPr>
      </w:pPr>
    </w:p>
    <w:p>
      <w:pPr>
        <w:spacing w:after="0" w:line="1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537845</wp:posOffset>
            </wp:positionV>
            <wp:extent cx="598360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560"/>
          </w:cols>
          <w:pgMar w:left="1240" w:top="295" w:right="1099" w:bottom="1440" w:gutter="0" w:footer="0" w:header="0"/>
          <w:type w:val="continuous"/>
        </w:sectPr>
      </w:pPr>
    </w:p>
    <w:bookmarkStart w:id="7" w:name="page8"/>
    <w:bookmarkEnd w:id="7"/>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 w:right="20"/>
        <w:spacing w:after="0" w:line="305" w:lineRule="auto"/>
        <w:rPr>
          <w:sz w:val="20"/>
          <w:szCs w:val="20"/>
          <w:color w:val="auto"/>
        </w:rPr>
      </w:pPr>
      <w:r>
        <w:rPr>
          <w:rFonts w:ascii="Times New Roman" w:cs="Times New Roman" w:eastAsia="Times New Roman" w:hAnsi="Times New Roman"/>
          <w:sz w:val="18"/>
          <w:szCs w:val="18"/>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Total Disability, or Retirement will be vested at 100% prior to their distribution.</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CARES Act</w:t>
      </w:r>
    </w:p>
    <w:p>
      <w:pPr>
        <w:spacing w:after="0" w:line="283"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The CARES Act allows retirement plans, among other things, to provide participants who are impacted by the coronavirus (as defined in the CARES Act) with greater access to their savings.</w:t>
      </w:r>
    </w:p>
    <w:p>
      <w:pPr>
        <w:spacing w:after="0" w:line="270" w:lineRule="exact"/>
        <w:rPr>
          <w:sz w:val="20"/>
          <w:szCs w:val="20"/>
          <w:color w:val="auto"/>
        </w:rPr>
      </w:pPr>
    </w:p>
    <w:p>
      <w:pPr>
        <w:jc w:val="both"/>
        <w:ind w:left="3"/>
        <w:spacing w:after="0" w:line="297" w:lineRule="auto"/>
        <w:rPr>
          <w:sz w:val="20"/>
          <w:szCs w:val="20"/>
          <w:color w:val="auto"/>
        </w:rPr>
      </w:pPr>
      <w:r>
        <w:rPr>
          <w:rFonts w:ascii="Times New Roman" w:cs="Times New Roman" w:eastAsia="Times New Roman" w:hAnsi="Times New Roman"/>
          <w:sz w:val="18"/>
          <w:szCs w:val="18"/>
          <w:color w:val="auto"/>
        </w:rPr>
        <w:t>Effective May 5, 2020, the Plan Sponsor implemented the following provisions under Section 2202 of the CARES Act, which were effective through December 31, 2020:</w:t>
      </w:r>
    </w:p>
    <w:p>
      <w:pPr>
        <w:spacing w:after="0" w:line="1" w:lineRule="exact"/>
        <w:rPr>
          <w:sz w:val="20"/>
          <w:szCs w:val="20"/>
          <w:color w:val="auto"/>
        </w:rPr>
      </w:pPr>
    </w:p>
    <w:p>
      <w:pPr>
        <w:ind w:left="643" w:right="20" w:hanging="319"/>
        <w:spacing w:after="0" w:line="297"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individuals were able to receive coronavirus-related distributions in an aggregate amount up to $100,000 from the participant’s account in the Plan.</w:t>
      </w:r>
    </w:p>
    <w:p>
      <w:pPr>
        <w:ind w:left="643" w:hanging="319"/>
        <w:spacing w:after="0"/>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payments were allowed to be suspended at a participant’s request until December 31, 2020.</w:t>
      </w:r>
    </w:p>
    <w:p>
      <w:pPr>
        <w:spacing w:after="0" w:line="49" w:lineRule="exact"/>
        <w:rPr>
          <w:rFonts w:ascii="Times New Roman" w:cs="Times New Roman" w:eastAsia="Times New Roman" w:hAnsi="Times New Roman"/>
          <w:sz w:val="18"/>
          <w:szCs w:val="18"/>
          <w:color w:val="auto"/>
        </w:rPr>
      </w:pPr>
    </w:p>
    <w:p>
      <w:pPr>
        <w:ind w:left="643" w:right="20" w:hanging="319"/>
        <w:spacing w:after="0" w:line="297"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dollar amount for new loans taken between May 5 and September 23, 2020 for qualified Coronavirus relief was increased to the lessor of $100,000 or 50% of the participants vested account balance.</w:t>
      </w:r>
    </w:p>
    <w:p>
      <w:pPr>
        <w:ind w:left="643" w:hanging="319"/>
        <w:spacing w:after="0"/>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Minimum Distributions were postponed for Plan Year 2020 as allowed by the Act.</w:t>
      </w:r>
    </w:p>
    <w:p>
      <w:pPr>
        <w:spacing w:after="0" w:line="3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310"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212" w:lineRule="exact"/>
        <w:rPr>
          <w:sz w:val="20"/>
          <w:szCs w:val="20"/>
          <w:color w:val="auto"/>
        </w:rPr>
      </w:pPr>
    </w:p>
    <w:p>
      <w:pPr>
        <w:ind w:left="3" w:right="6560" w:hanging="3"/>
        <w:spacing w:after="0" w:line="597" w:lineRule="auto"/>
        <w:tabs>
          <w:tab w:leader="none" w:pos="48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Accounting</w:t>
      </w:r>
    </w:p>
    <w:p>
      <w:pPr>
        <w:jc w:val="both"/>
        <w:ind w:left="3" w:right="20"/>
        <w:spacing w:after="0" w:line="329" w:lineRule="auto"/>
        <w:rPr>
          <w:sz w:val="20"/>
          <w:szCs w:val="20"/>
          <w:color w:val="auto"/>
        </w:rPr>
      </w:pPr>
      <w:r>
        <w:rPr>
          <w:rFonts w:ascii="Times New Roman" w:cs="Times New Roman" w:eastAsia="Times New Roman" w:hAnsi="Times New Roman"/>
          <w:sz w:val="18"/>
          <w:szCs w:val="18"/>
          <w:color w:val="auto"/>
        </w:rPr>
        <w:t>The financial statements of the UFP Industries, Inc. Employees’ Profit Sharing and 401(k) Plan are presented on the accrual method of accounting.</w:t>
      </w:r>
    </w:p>
    <w:p>
      <w:pPr>
        <w:spacing w:after="0" w:line="2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83"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by management through June 29, 2022, the date these financial statements were available to be issued.</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0"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200" w:lineRule="exact"/>
        <w:rPr>
          <w:sz w:val="20"/>
          <w:szCs w:val="20"/>
          <w:color w:val="auto"/>
        </w:rPr>
      </w:pPr>
    </w:p>
    <w:p>
      <w:pPr>
        <w:spacing w:after="0" w:line="20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523240</wp:posOffset>
            </wp:positionV>
            <wp:extent cx="59836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3"/>
          </w:cols>
          <w:pgMar w:left="1237" w:top="295" w:right="1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24"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223"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color w:val="auto"/>
        </w:rPr>
        <w:t>In March 2020, the World Health Organization categorized Coronavirus Disease 2019 (“COVID-19”) as a pandemic, and the President of the United States declared the COVID-19 outbreak a national emergency. The COVID-19 pandemic has led to extreme volatility in financial markets and has affected, and may continue to affect, the market price of UFP Industries, Inc. common stock and other Plan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0"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Plan’s investments are stated at estimated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235"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 identical, unrestricted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w:t>
      </w:r>
    </w:p>
    <w:p>
      <w:pPr>
        <w:spacing w:after="0" w:line="199"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observable inputs such as quoted prices for similar assets or liabilities in active markets, quoted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assets or liabilities in inactive markets, inputs other than quoted prices that are observable or can be derived from or corroborated by observable market data by correlation or other means.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valuation methodologies were used to measure the fair value of the Plan’s investments: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Valued at quoted market prices in an exchange and active market in which the securities are traded.</w:t>
      </w:r>
    </w:p>
    <w:p>
      <w:pPr>
        <w:spacing w:after="0" w:line="306"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Money Market Fund: </w:t>
      </w:r>
      <w:r>
        <w:rPr>
          <w:rFonts w:ascii="Times New Roman" w:cs="Times New Roman" w:eastAsia="Times New Roman" w:hAnsi="Times New Roman"/>
          <w:sz w:val="18"/>
          <w:szCs w:val="18"/>
          <w:color w:val="auto"/>
        </w:rPr>
        <w:t>Valued at quoted market prices in an exchange and active market, which represent the net asset value (NAV)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held by the Plan. The money market fund seeks to maintain a $1.00 NAV.</w:t>
      </w:r>
    </w:p>
    <w:p>
      <w:pPr>
        <w:spacing w:after="0" w:line="199"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quoted market prices in an exchange and active market, which represent the net asset values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the Plan.</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Investment Trust (CIT): </w:t>
      </w:r>
      <w:r>
        <w:rPr>
          <w:rFonts w:ascii="Times New Roman" w:cs="Times New Roman" w:eastAsia="Times New Roman" w:hAnsi="Times New Roman"/>
          <w:sz w:val="18"/>
          <w:szCs w:val="18"/>
          <w:color w:val="auto"/>
        </w:rPr>
        <w:t>The fair value of participation units held in the Morley Stable Value Fund are based on net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is obtained from audited information reported by the issuer of the common collective trust at year-end, and is used as a practical expedient. This practical expedient is not used when it is determined to be probable that the fund will sell the investment for an amount different than the reported NAV. Investments held by a CIT are required to be reported at fair value, however, contract value is the relevant measurement characteristic for that portion of the net assets of a CIT attributable to fully benefit-responsive investment contracts. This is because contract value is the amount participants would receive if they were to initiate permitted transactions under the terms of the underlying defined-contribution plans. There are no unfunded commitments relating to these investments.</w:t>
      </w:r>
    </w:p>
    <w:p>
      <w:pPr>
        <w:spacing w:after="0" w:line="2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The investment objective of the Morley Stable Value Fund is to provide preservation of capital, relatively stable returns consistent with its comparatively low risk profile, and liquidity for benefit-responsive payments. Withdrawals from the Morley Stable Value Fund for benefit payments and participant transfers to noncompeting options are made to plan participants promptly upon request but in all cases within 30 days after written notification has been received. All plan sponsor-directed full or partial withdrawals are subject to a twelve month advance written notice requirement, though the Morley Stable Value Fund may waive this requirement at its discretion.</w:t>
      </w:r>
    </w:p>
    <w:p>
      <w:pPr>
        <w:spacing w:after="0" w:line="22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The UFP Industries Inc. Stock Fund (the Fund), formerly known as Universal Forest Products Stock Fund, is tracked on a unitized basis. At December 31, 2021, the Fund consists of common stock of UFP Industries, Inc. (Plan Sponsor) and funds that are held in the Allspring Government Money Market Fund that are sufficient to meet the Fund’s daily cash needs. Unitization of the Fund allows for daily trades. The value of a unit reflects the combined market value of the common stock and the Allspring Government Money Market Fund held by the Fund. At December 31, 2021 and 2020, 1,775,535 and 2,059,482 units, respectively, were outstanding with a value of $88.72 and $54.06 per unit, respectively.</w:t>
      </w:r>
    </w:p>
    <w:p>
      <w:pPr>
        <w:spacing w:after="0" w:line="228"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 those participating in the market, the use of different methodologies or assumptions to determine the fair value of certain financial instruments could result in a different fair value measurement at the reporting date.</w:t>
      </w:r>
    </w:p>
    <w:p>
      <w:pPr>
        <w:spacing w:after="0" w:line="19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Interest income is recorded on the accrual basis. Dividends are recorded on the ex-dividend date. Net appreciation and depreciation include the Plan’s gains and losses on investments bought or sold as well as held during the year.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receivables from participants are measured at their unpaid principal balance plus any accrued but unpaid interest.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Delinquent notes receivable from participants are deemed distributions based upon the terms of the Plan document.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Investments</w:t>
      </w:r>
    </w:p>
    <w:p>
      <w:pPr>
        <w:spacing w:after="0" w:line="310"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color w:val="auto"/>
        </w:rPr>
        <w:t>Included in investments at December 31, 2021 and 2020 are shares of the Plan Sponsor’s common stock with an aggregate fair value of $154,001,093 and $108,739,403, respectively. This investment represents 26% and 25% of total investments at December 31, 2021 and 2020, respectively. A significant decline in the market value of the Plan Sponsor’s stock would significantly affect the net assets available for benefits.</w:t>
      </w:r>
    </w:p>
    <w:p>
      <w:pPr>
        <w:sectPr>
          <w:pgSz w:w="11900" w:h="16838" w:orient="portrait"/>
          <w:cols w:equalWidth="0" w:num="1">
            <w:col w:w="9420"/>
          </w:cols>
          <w:pgMar w:left="1240" w:top="295" w:right="1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523240</wp:posOffset>
            </wp:positionV>
            <wp:extent cx="59836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295" w:right="1239" w:bottom="1440" w:gutter="0" w:footer="0" w:header="0"/>
          <w:type w:val="continuous"/>
        </w:sectPr>
      </w:pPr>
    </w:p>
    <w:bookmarkStart w:id="10" w:name="page11"/>
    <w:bookmarkEnd w:id="10"/>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324" w:lineRule="exact"/>
        <w:rPr>
          <w:sz w:val="20"/>
          <w:szCs w:val="20"/>
          <w:color w:val="auto"/>
        </w:rPr>
      </w:pPr>
    </w:p>
    <w:p>
      <w:pPr>
        <w:jc w:val="both"/>
        <w:ind w:left="3"/>
        <w:spacing w:after="0" w:line="305" w:lineRule="auto"/>
        <w:rPr>
          <w:sz w:val="20"/>
          <w:szCs w:val="20"/>
          <w:color w:val="auto"/>
        </w:rPr>
      </w:pPr>
      <w:r>
        <w:rPr>
          <w:rFonts w:ascii="Times New Roman" w:cs="Times New Roman" w:eastAsia="Times New Roman" w:hAnsi="Times New Roman"/>
          <w:sz w:val="18"/>
          <w:szCs w:val="18"/>
          <w:color w:val="auto"/>
        </w:rPr>
        <w:t>Administrative expenses incurred in connection with the operations of the Plan are paid via certain investment and transactional fees which are borne by the Plan and applied to applicable participant balances. These fees are disclosed in the annual Fee Disclosure Notice and on individual account statements sent to all Plan participants. Substantially all of these expenses are paid to parties-in-interest of the Plan and are based on reasonable and customary rates for the related services. Certain administrative expenses not reflected in this report are paid directly by the Plan Sponsor.</w:t>
      </w:r>
    </w:p>
    <w:p>
      <w:pPr>
        <w:spacing w:after="0" w:line="220" w:lineRule="exact"/>
        <w:rPr>
          <w:sz w:val="20"/>
          <w:szCs w:val="20"/>
          <w:color w:val="auto"/>
        </w:rPr>
      </w:pPr>
    </w:p>
    <w:p>
      <w:pPr>
        <w:ind w:left="483" w:hanging="483"/>
        <w:spacing w:after="0"/>
        <w:tabs>
          <w:tab w:leader="none" w:pos="48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and Mergers</w:t>
      </w:r>
    </w:p>
    <w:p>
      <w:pPr>
        <w:spacing w:after="0" w:line="310" w:lineRule="exact"/>
        <w:rPr>
          <w:sz w:val="20"/>
          <w:szCs w:val="20"/>
          <w:color w:val="auto"/>
        </w:rPr>
      </w:pPr>
    </w:p>
    <w:p>
      <w:pPr>
        <w:jc w:val="both"/>
        <w:ind w:left="3"/>
        <w:spacing w:after="0" w:line="329" w:lineRule="auto"/>
        <w:rPr>
          <w:sz w:val="20"/>
          <w:szCs w:val="20"/>
          <w:color w:val="auto"/>
        </w:rPr>
      </w:pPr>
      <w:r>
        <w:rPr>
          <w:rFonts w:ascii="Times New Roman" w:cs="Times New Roman" w:eastAsia="Times New Roman" w:hAnsi="Times New Roman"/>
          <w:sz w:val="18"/>
          <w:szCs w:val="18"/>
          <w:color w:val="auto"/>
        </w:rPr>
        <w:t>As permitted by the Plan during 2020, funds totaling $881,993 were transferred from and $565,855 were transferred to the idX Corporation 401(k) Profit Sharing Plan (an affiliated plan), due to employee transfers.</w:t>
      </w:r>
    </w:p>
    <w:p>
      <w:pPr>
        <w:spacing w:after="0" w:line="202"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Effective on December 31, 2020, the idX Corporation 401(k) Profit Sharing Plan merged with the Plan. As a result, all assets of the idX Corporation 401(k) Plan (an affiliated plan) were transferred into the Plan. The idX Corporation 401(k) Plan no longer exists as a separate plan. The Plan has recorded a receivable from another qualified plan of $30,446,257 in the Statement of Net Assets Available for Benefits as of December 31, 2020.</w:t>
      </w:r>
    </w:p>
    <w:p>
      <w:pPr>
        <w:spacing w:after="0" w:line="219" w:lineRule="exact"/>
        <w:rPr>
          <w:sz w:val="20"/>
          <w:szCs w:val="20"/>
          <w:color w:val="auto"/>
        </w:rPr>
      </w:pPr>
    </w:p>
    <w:p>
      <w:pPr>
        <w:ind w:left="483" w:hanging="483"/>
        <w:spacing w:after="0"/>
        <w:tabs>
          <w:tab w:leader="none" w:pos="48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3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tables below set forth by level within the fair value hierarchy the Plan’s investments as of December 31, 2021 and 2020.</w:t>
      </w:r>
    </w:p>
    <w:p>
      <w:pPr>
        <w:spacing w:after="0" w:line="289" w:lineRule="exact"/>
        <w:rPr>
          <w:sz w:val="20"/>
          <w:szCs w:val="20"/>
          <w:color w:val="auto"/>
        </w:rPr>
      </w:pPr>
    </w:p>
    <w:tbl>
      <w:tblPr>
        <w:tblLayout w:type="fixed"/>
        <w:tblInd w:w="3"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gridSpan w:val="10"/>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Investment Assets at Fair Value as of December 31, 2021</w:t>
            </w:r>
          </w:p>
        </w:tc>
      </w:tr>
      <w:tr>
        <w:trPr>
          <w:trHeight w:val="223"/>
        </w:trPr>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154,001,093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154,001,093</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3,520,623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3,520,623</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376,162,495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376,162,495</w:t>
            </w: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533,684,211</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533,684,211</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49,281,622</w:t>
            </w: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533,684,211</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582,965,833</w:t>
            </w: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3" w:type="dxa"/>
        <w:tblCellMar>
          <w:top w:w="0" w:type="dxa"/>
          <w:left w:w="0" w:type="dxa"/>
          <w:bottom w:w="0" w:type="dxa"/>
          <w:right w:w="0" w:type="dxa"/>
        </w:tblCellMar>
      </w:tblPr>
      <w:tr>
        <w:trPr>
          <w:trHeight w:val="245"/>
        </w:trPr>
        <w:tc>
          <w:tcPr>
            <w:tcW w:w="3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gridSpan w:val="10"/>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Investment Assets at Fair Value as of December 31, 2020</w:t>
            </w:r>
          </w:p>
        </w:tc>
      </w:tr>
      <w:tr>
        <w:trPr>
          <w:trHeight w:val="223"/>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108,739,403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108,739,403</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2,616,660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2,616,660</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276,275,321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276,275,321</w:t>
            </w: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387,631,384</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387,631,384</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44,798,989</w:t>
            </w: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387,631,384</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432,430,373</w:t>
            </w:r>
          </w:p>
        </w:tc>
      </w:tr>
      <w:tr>
        <w:trPr>
          <w:trHeight w:val="20"/>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23" w:hanging="123"/>
        <w:spacing w:after="0"/>
        <w:tabs>
          <w:tab w:leader="none" w:pos="12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investments in common/collective trusts are measured at fair value using the net asset value per share (or its equivalent) as a practical</w:t>
      </w:r>
    </w:p>
    <w:p>
      <w:pPr>
        <w:spacing w:after="0" w:line="59" w:lineRule="exact"/>
        <w:rPr>
          <w:rFonts w:ascii="Times New Roman" w:cs="Times New Roman" w:eastAsia="Times New Roman" w:hAnsi="Times New Roman"/>
          <w:sz w:val="16"/>
          <w:szCs w:val="16"/>
          <w:color w:val="auto"/>
        </w:rPr>
      </w:pPr>
    </w:p>
    <w:p>
      <w:pPr>
        <w:ind w:left="3" w:right="520"/>
        <w:spacing w:after="0" w:line="33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expedient and have not been categorized in the fair value hierarchy. The fair value amounts presented in this table are intended to permit reconciliation of the fair value hierarchy to the amounts presented in the Statements of Net Assets Available for Benefits.</w:t>
      </w:r>
    </w:p>
    <w:p>
      <w:pPr>
        <w:spacing w:after="0" w:line="214" w:lineRule="exact"/>
        <w:rPr>
          <w:sz w:val="20"/>
          <w:szCs w:val="20"/>
          <w:color w:val="auto"/>
        </w:rPr>
      </w:pPr>
    </w:p>
    <w:p>
      <w:pPr>
        <w:ind w:left="3"/>
        <w:spacing w:after="0" w:line="329" w:lineRule="auto"/>
        <w:rPr>
          <w:sz w:val="20"/>
          <w:szCs w:val="20"/>
          <w:color w:val="auto"/>
        </w:rPr>
      </w:pPr>
      <w:r>
        <w:rPr>
          <w:rFonts w:ascii="Times New Roman" w:cs="Times New Roman" w:eastAsia="Times New Roman" w:hAnsi="Times New Roman"/>
          <w:sz w:val="18"/>
          <w:szCs w:val="18"/>
          <w:color w:val="auto"/>
        </w:rPr>
        <w:t>There have been no changes in the methodologies used at December 31, 2021 and 2020, and there have been no significant transfers in or out of Levels 1, 2 or 3.</w:t>
      </w:r>
    </w:p>
    <w:p>
      <w:pPr>
        <w:spacing w:after="0" w:line="198" w:lineRule="exact"/>
        <w:rPr>
          <w:sz w:val="20"/>
          <w:szCs w:val="20"/>
          <w:color w:val="auto"/>
        </w:rPr>
      </w:pPr>
    </w:p>
    <w:p>
      <w:pPr>
        <w:ind w:left="483" w:hanging="483"/>
        <w:spacing w:after="0"/>
        <w:tabs>
          <w:tab w:leader="none" w:pos="48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310" w:lineRule="exact"/>
        <w:rPr>
          <w:sz w:val="20"/>
          <w:szCs w:val="20"/>
          <w:color w:val="auto"/>
        </w:rPr>
      </w:pPr>
    </w:p>
    <w:p>
      <w:pPr>
        <w:ind w:left="3"/>
        <w:spacing w:after="0" w:line="329" w:lineRule="auto"/>
        <w:rPr>
          <w:sz w:val="20"/>
          <w:szCs w:val="20"/>
          <w:color w:val="auto"/>
        </w:rPr>
      </w:pPr>
      <w:r>
        <w:rPr>
          <w:rFonts w:ascii="Times New Roman" w:cs="Times New Roman" w:eastAsia="Times New Roman" w:hAnsi="Times New Roman"/>
          <w:sz w:val="18"/>
          <w:szCs w:val="18"/>
          <w:color w:val="auto"/>
        </w:rPr>
        <w:t>The Plan Sponsor has received a determination letter from the Internal Revenue Service dated March 17, 2017, stating that the Plan is qualified under section 401(a) of the Internal Revenue Code (the Code), and, therefore, the related trust is exempt from</w:t>
      </w:r>
    </w:p>
    <w:p>
      <w:pPr>
        <w:sectPr>
          <w:pgSz w:w="11900" w:h="16838" w:orient="portrait"/>
          <w:cols w:equalWidth="0" w:num="1">
            <w:col w:w="9403"/>
          </w:cols>
          <w:pgMar w:left="1237" w:top="295" w:right="1259" w:bottom="1440" w:gutter="0" w:footer="0" w:header="0"/>
        </w:sectPr>
      </w:pPr>
    </w:p>
    <w:p>
      <w:pPr>
        <w:spacing w:after="0" w:line="13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537845</wp:posOffset>
            </wp:positionV>
            <wp:extent cx="598360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03"/>
          </w:cols>
          <w:pgMar w:left="1237" w:top="295" w:right="1259" w:bottom="1440" w:gutter="0" w:footer="0" w:header="0"/>
          <w:type w:val="continuous"/>
        </w:sectPr>
      </w:pPr>
    </w:p>
    <w:bookmarkStart w:id="11" w:name="page12"/>
    <w:bookmarkEnd w:id="11"/>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 w:right="20"/>
        <w:spacing w:after="0" w:line="313" w:lineRule="auto"/>
        <w:rPr>
          <w:sz w:val="20"/>
          <w:szCs w:val="20"/>
          <w:color w:val="auto"/>
        </w:rPr>
      </w:pPr>
      <w:r>
        <w:rPr>
          <w:rFonts w:ascii="Times New Roman" w:cs="Times New Roman" w:eastAsia="Times New Roman" w:hAnsi="Times New Roman"/>
          <w:sz w:val="18"/>
          <w:szCs w:val="18"/>
          <w:color w:val="auto"/>
        </w:rPr>
        <w:t>taxation. Subsequent to this determination by the Internal Revenue Service, the Plan was amended. Once qualified, the Plan is required to operate in conformity with the Code to maintain its qualification. The Plan Sponsor believes the Plan is being operated in compliance with the applicable requirements of the Code and, therefore, believes that the Plan, as amended, is qualified and the related trust is tax exempt.</w:t>
      </w:r>
    </w:p>
    <w:p>
      <w:pPr>
        <w:spacing w:after="0" w:line="216" w:lineRule="exact"/>
        <w:rPr>
          <w:sz w:val="20"/>
          <w:szCs w:val="20"/>
          <w:color w:val="auto"/>
        </w:rPr>
      </w:pPr>
    </w:p>
    <w:p>
      <w:pPr>
        <w:jc w:val="both"/>
        <w:ind w:left="3" w:right="20"/>
        <w:spacing w:after="0" w:line="307"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is subject to routine audits by taxing jurisdictions; however, there are currently no audits for any tax periods in progress.</w:t>
      </w:r>
    </w:p>
    <w:p>
      <w:pPr>
        <w:spacing w:after="0" w:line="219" w:lineRule="exact"/>
        <w:rPr>
          <w:sz w:val="20"/>
          <w:szCs w:val="20"/>
          <w:color w:val="auto"/>
        </w:rPr>
      </w:pPr>
    </w:p>
    <w:p>
      <w:pPr>
        <w:ind w:left="483" w:hanging="483"/>
        <w:spacing w:after="0"/>
        <w:tabs>
          <w:tab w:leader="none" w:pos="48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and Party-in-Interest Transactions</w:t>
      </w:r>
    </w:p>
    <w:p>
      <w:pPr>
        <w:spacing w:after="0" w:line="310" w:lineRule="exact"/>
        <w:rPr>
          <w:sz w:val="20"/>
          <w:szCs w:val="20"/>
          <w:color w:val="auto"/>
        </w:rPr>
      </w:pPr>
    </w:p>
    <w:p>
      <w:pPr>
        <w:jc w:val="both"/>
        <w:ind w:left="3" w:right="20"/>
        <w:spacing w:after="0" w:line="305" w:lineRule="auto"/>
        <w:rPr>
          <w:sz w:val="20"/>
          <w:szCs w:val="20"/>
          <w:color w:val="auto"/>
        </w:rPr>
      </w:pPr>
      <w:r>
        <w:rPr>
          <w:rFonts w:ascii="Times New Roman" w:cs="Times New Roman" w:eastAsia="Times New Roman" w:hAnsi="Times New Roman"/>
          <w:sz w:val="18"/>
          <w:szCs w:val="18"/>
          <w:color w:val="auto"/>
        </w:rPr>
        <w:t>Transactions resulting in Plan assets being transferred to or used by a related party are prohibited under ERISA unless a specific exemption is applied. Principal is a party-in-interest and qualified institution as defined by ERISA. The Plan also invests in the common stock of the Company, which it holds in the Plan. See Note 2 for additional information related to the Company’s stock. Notes receivable from participants are also considered party-in interest transactions. All of the above transactions are exempt from the “prohibited transactions” provisions of ERISA and the Code.</w:t>
      </w:r>
    </w:p>
    <w:p>
      <w:pPr>
        <w:spacing w:after="0" w:line="220" w:lineRule="exact"/>
        <w:rPr>
          <w:sz w:val="20"/>
          <w:szCs w:val="20"/>
          <w:color w:val="auto"/>
        </w:rPr>
      </w:pPr>
    </w:p>
    <w:p>
      <w:pPr>
        <w:ind w:left="483" w:hanging="483"/>
        <w:spacing w:after="0"/>
        <w:tabs>
          <w:tab w:leader="none" w:pos="48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Late Remittance</w:t>
      </w:r>
    </w:p>
    <w:p>
      <w:pPr>
        <w:spacing w:after="0" w:line="310" w:lineRule="exact"/>
        <w:rPr>
          <w:sz w:val="20"/>
          <w:szCs w:val="20"/>
          <w:color w:val="auto"/>
        </w:rPr>
      </w:pPr>
    </w:p>
    <w:p>
      <w:pPr>
        <w:jc w:val="both"/>
        <w:ind w:left="3"/>
        <w:spacing w:after="0" w:line="307" w:lineRule="auto"/>
        <w:rPr>
          <w:sz w:val="20"/>
          <w:szCs w:val="20"/>
          <w:color w:val="auto"/>
        </w:rPr>
      </w:pPr>
      <w:r>
        <w:rPr>
          <w:rFonts w:ascii="Times New Roman" w:cs="Times New Roman" w:eastAsia="Times New Roman" w:hAnsi="Times New Roman"/>
          <w:sz w:val="18"/>
          <w:szCs w:val="18"/>
          <w:color w:val="auto"/>
        </w:rPr>
        <w:t>During the Plan year ended December 31, 2021, employee withholdings in the amount of $922,216, were not remitted within the appropriate time period by the Company. These transactions constitute prohibited transactions, as defined by ERISA. The 2021 members' contributions transferred late to the Plan, listed on Schedule H, Line 4a - Schedule of Delinquent Participant Contributions, have been fully corrected to make members' accounts whole during the year ended December 31, 2021.</w:t>
      </w:r>
    </w:p>
    <w:p>
      <w:pPr>
        <w:spacing w:after="0" w:line="15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523240</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3"/>
          </w:cols>
          <w:pgMar w:left="1237" w:top="295" w:right="1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EIN #38-1465835 Plan #001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37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(b)</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120" w:type="dxa"/>
            <w:vAlign w:val="bottom"/>
          </w:tcPr>
          <w:p>
            <w:pPr>
              <w:spacing w:after="0"/>
              <w:rPr>
                <w:sz w:val="17"/>
                <w:szCs w:val="17"/>
                <w:color w:val="auto"/>
              </w:rPr>
            </w:pP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Investment Including, Maturity Date,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Identity of Issuer, Borrower, Lessor, or Similar Party</w:t>
            </w: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 of Interest, Collateral, Par, or Maturity Value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399"/>
        </w:trPr>
        <w:tc>
          <w:tcPr>
            <w:tcW w:w="2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UFP Industries, Inc.</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UFP Industries, Inc.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154,001,093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collective trust funds:</w:t>
            </w: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Principal Global Investors Trust Company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Morley Stable Value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49,281,622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Allspring</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Money Market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3,520,623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JP Morgan</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Cap Growth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51,826,436</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Midcap Index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23,877,718</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Small Cap Index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6,688,260</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Stock Index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3,793,876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Bond Index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4,531,186</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Index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36,900,712</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Invesco</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Small-Mid Company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323,357</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Dodge &amp; Cox</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Stock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11,287,017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Dodge &amp; Cox</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10,836,242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Neuberger Berman</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Genesis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18,988,061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American Mutual Fund</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Growth and Income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27,644,152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Carillon Eagle</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Midcap Growth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6,592,083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 Rowe Price</w:t>
            </w: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2060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4,900,713</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2050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37,821,312</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2040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41,602,969</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2030 Fund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46,464,989</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2020 Fund</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33,133,684</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2010 Fund</w:t>
            </w:r>
          </w:p>
        </w:tc>
        <w:tc>
          <w:tcPr>
            <w:tcW w:w="1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8,949,728</w:t>
            </w:r>
          </w:p>
        </w:tc>
        <w:tc>
          <w:tcPr>
            <w:tcW w:w="0" w:type="dxa"/>
            <w:vAlign w:val="bottom"/>
          </w:tcPr>
          <w:p>
            <w:pPr>
              <w:spacing w:after="0"/>
              <w:rPr>
                <w:sz w:val="1"/>
                <w:szCs w:val="1"/>
                <w:color w:val="auto"/>
              </w:rPr>
            </w:pPr>
          </w:p>
        </w:tc>
      </w:tr>
      <w:tr>
        <w:trPr>
          <w:trHeight w:val="196"/>
        </w:trPr>
        <w:tc>
          <w:tcPr>
            <w:tcW w:w="220" w:type="dxa"/>
            <w:vAlign w:val="bottom"/>
            <w:tcBorders>
              <w:bottom w:val="single" w:sz="8" w:color="CCEEFF"/>
            </w:tcBorders>
          </w:tcPr>
          <w:p>
            <w:pPr>
              <w:spacing w:after="0"/>
              <w:rPr>
                <w:sz w:val="17"/>
                <w:szCs w:val="17"/>
                <w:color w:val="auto"/>
              </w:rPr>
            </w:pPr>
          </w:p>
        </w:tc>
        <w:tc>
          <w:tcPr>
            <w:tcW w:w="370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376,162,495</w:t>
            </w:r>
          </w:p>
        </w:tc>
        <w:tc>
          <w:tcPr>
            <w:tcW w:w="0" w:type="dxa"/>
            <w:vAlign w:val="bottom"/>
          </w:tcPr>
          <w:p>
            <w:pPr>
              <w:spacing w:after="0"/>
              <w:rPr>
                <w:sz w:val="1"/>
                <w:szCs w:val="1"/>
                <w:color w:val="auto"/>
              </w:rPr>
            </w:pPr>
          </w:p>
        </w:tc>
      </w:tr>
      <w:tr>
        <w:trPr>
          <w:trHeight w:val="196"/>
        </w:trPr>
        <w:tc>
          <w:tcPr>
            <w:tcW w:w="22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582,965,833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Participant loans</w:t>
            </w: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by vested account balances, payable in monthly</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20" w:type="dxa"/>
            <w:vAlign w:val="bottom"/>
            <w:vMerge w:val="continue"/>
            <w:shd w:val="clear" w:color="auto" w:fill="CCEEFF"/>
          </w:tcPr>
          <w:p>
            <w:pPr>
              <w:spacing w:after="0"/>
              <w:rPr>
                <w:sz w:val="8"/>
                <w:szCs w:val="8"/>
                <w:color w:val="auto"/>
              </w:rPr>
            </w:pPr>
          </w:p>
        </w:tc>
        <w:tc>
          <w:tcPr>
            <w:tcW w:w="3700" w:type="dxa"/>
            <w:vAlign w:val="bottom"/>
            <w:vMerge w:val="continue"/>
            <w:shd w:val="clear" w:color="auto" w:fill="CCEEFF"/>
          </w:tcPr>
          <w:p>
            <w:pPr>
              <w:spacing w:after="0"/>
              <w:rPr>
                <w:sz w:val="8"/>
                <w:szCs w:val="8"/>
                <w:color w:val="auto"/>
              </w:rPr>
            </w:pPr>
          </w:p>
        </w:tc>
        <w:tc>
          <w:tcPr>
            <w:tcW w:w="4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installments with interest rates ranging from 4.2% to 11.50%</w:t>
            </w:r>
          </w:p>
        </w:tc>
        <w:tc>
          <w:tcPr>
            <w:tcW w:w="120" w:type="dxa"/>
            <w:vAlign w:val="bottom"/>
            <w:shd w:val="clear" w:color="auto" w:fill="CCEEFF"/>
          </w:tcPr>
          <w:p>
            <w:pPr>
              <w:spacing w:after="0"/>
              <w:rPr>
                <w:sz w:val="8"/>
                <w:szCs w:val="8"/>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14,280,611</w:t>
            </w:r>
          </w:p>
        </w:tc>
        <w:tc>
          <w:tcPr>
            <w:tcW w:w="0" w:type="dxa"/>
            <w:vAlign w:val="bottom"/>
          </w:tcPr>
          <w:p>
            <w:pPr>
              <w:spacing w:after="0"/>
              <w:rPr>
                <w:sz w:val="1"/>
                <w:szCs w:val="1"/>
                <w:color w:val="auto"/>
              </w:rPr>
            </w:pPr>
          </w:p>
        </w:tc>
      </w:tr>
      <w:tr>
        <w:trPr>
          <w:trHeight w:val="111"/>
        </w:trPr>
        <w:tc>
          <w:tcPr>
            <w:tcW w:w="220" w:type="dxa"/>
            <w:vAlign w:val="bottom"/>
            <w:shd w:val="clear" w:color="auto" w:fill="CCEEFF"/>
          </w:tcPr>
          <w:p>
            <w:pPr>
              <w:spacing w:after="0"/>
              <w:rPr>
                <w:sz w:val="9"/>
                <w:szCs w:val="9"/>
                <w:color w:val="auto"/>
              </w:rPr>
            </w:pPr>
          </w:p>
        </w:tc>
        <w:tc>
          <w:tcPr>
            <w:tcW w:w="3700" w:type="dxa"/>
            <w:vAlign w:val="bottom"/>
            <w:shd w:val="clear" w:color="auto" w:fill="CCEEFF"/>
          </w:tcPr>
          <w:p>
            <w:pPr>
              <w:spacing w:after="0"/>
              <w:rPr>
                <w:sz w:val="9"/>
                <w:szCs w:val="9"/>
                <w:color w:val="auto"/>
              </w:rPr>
            </w:pPr>
          </w:p>
        </w:tc>
        <w:tc>
          <w:tcPr>
            <w:tcW w:w="4100" w:type="dxa"/>
            <w:vAlign w:val="bottom"/>
            <w:vMerge w:val="continue"/>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26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597,246,444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5095875</wp:posOffset>
            </wp:positionH>
            <wp:positionV relativeFrom="paragraph">
              <wp:posOffset>-4445</wp:posOffset>
            </wp:positionV>
            <wp:extent cx="874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ind w:left="220" w:hanging="149"/>
        <w:spacing w:after="0"/>
        <w:tabs>
          <w:tab w:leader="none" w:pos="2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party-in-interest to the Plan.</w:t>
      </w:r>
    </w:p>
    <w:p>
      <w:pPr>
        <w:spacing w:after="0" w:line="234" w:lineRule="exact"/>
        <w:rPr>
          <w:rFonts w:ascii="Times New Roman" w:cs="Times New Roman" w:eastAsia="Times New Roman" w:hAnsi="Times New Roman"/>
          <w:sz w:val="16"/>
          <w:szCs w:val="16"/>
          <w:color w:val="auto"/>
        </w:rPr>
      </w:pPr>
    </w:p>
    <w:p>
      <w:pPr>
        <w:ind w:left="2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Column (d), cost, is not applicable, as all investments are participant-directed.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597471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4715" cy="1289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-381635</wp:posOffset>
            </wp:positionV>
            <wp:extent cx="597471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497205</wp:posOffset>
            </wp:positionV>
            <wp:extent cx="59836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13" w:name="page14"/>
    <w:bookmarkEnd w:id="13"/>
    <w:p>
      <w:pPr>
        <w:ind w:left="3"/>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UFP Industries, Inc. Employees’ Profit Sharing and</w:t>
      </w:r>
    </w:p>
    <w:p>
      <w:pPr>
        <w:spacing w:after="0" w:line="63"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401(k) Plan</w:t>
      </w:r>
    </w:p>
    <w:p>
      <w:pPr>
        <w:spacing w:after="0" w:line="279"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Schedule H, Line 4a – Schedule of Delinquent Participant Contributions</w:t>
      </w:r>
    </w:p>
    <w:p>
      <w:pPr>
        <w:spacing w:after="0" w:line="225"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EIN #38-1465835 Plan #001</w:t>
      </w:r>
    </w:p>
    <w:p>
      <w:pPr>
        <w:spacing w:after="0" w:line="252"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452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120" w:lineRule="exact"/>
        <w:rPr>
          <w:sz w:val="20"/>
          <w:szCs w:val="20"/>
          <w:color w:val="auto"/>
        </w:rPr>
      </w:pPr>
    </w:p>
    <w:tbl>
      <w:tblPr>
        <w:tblLayout w:type="fixed"/>
        <w:tblInd w:w="3" w:type="dxa"/>
        <w:tblCellMar>
          <w:top w:w="0" w:type="dxa"/>
          <w:left w:w="0" w:type="dxa"/>
          <w:bottom w:w="0" w:type="dxa"/>
          <w:right w:w="0" w:type="dxa"/>
        </w:tblCellMar>
      </w:tblPr>
      <w:tr>
        <w:trPr>
          <w:trHeight w:val="203"/>
        </w:trPr>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Participant Contributions</w:t>
            </w:r>
          </w:p>
        </w:tc>
        <w:tc>
          <w:tcPr>
            <w:tcW w:w="112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Total That Constitutes</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8"/>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Transferred Late to Plan</w:t>
            </w:r>
          </w:p>
        </w:tc>
        <w:tc>
          <w:tcPr>
            <w:tcW w:w="3740" w:type="dxa"/>
            <w:vAlign w:val="bottom"/>
            <w:gridSpan w:val="4"/>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Nonexempt Prohibited Transactions</w:t>
            </w:r>
          </w:p>
        </w:tc>
        <w:tc>
          <w:tcPr>
            <w:tcW w:w="420" w:type="dxa"/>
            <w:vAlign w:val="bottom"/>
          </w:tcPr>
          <w:p>
            <w:pPr>
              <w:spacing w:after="0"/>
              <w:rPr>
                <w:sz w:val="18"/>
                <w:szCs w:val="18"/>
                <w:color w:val="auto"/>
              </w:rPr>
            </w:pPr>
          </w:p>
        </w:tc>
        <w:tc>
          <w:tcPr>
            <w:tcW w:w="11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7"/>
              </w:rPr>
              <w:t>Total Fully</w:t>
            </w:r>
          </w:p>
        </w:tc>
      </w:tr>
      <w:tr>
        <w:trPr>
          <w:trHeight w:val="180"/>
        </w:trPr>
        <w:tc>
          <w:tcPr>
            <w:tcW w:w="3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15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Corrected Under</w:t>
            </w:r>
          </w:p>
        </w:tc>
      </w:tr>
      <w:tr>
        <w:trPr>
          <w:trHeight w:val="202"/>
        </w:trPr>
        <w:tc>
          <w:tcPr>
            <w:tcW w:w="3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jc w:val="center"/>
              <w:ind w:left="177"/>
              <w:spacing w:after="0"/>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3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Pending</w:t>
            </w:r>
          </w:p>
        </w:tc>
        <w:tc>
          <w:tcPr>
            <w:tcW w:w="420" w:type="dxa"/>
            <w:vAlign w:val="bottom"/>
          </w:tcPr>
          <w:p>
            <w:pPr>
              <w:spacing w:after="0"/>
              <w:rPr>
                <w:sz w:val="17"/>
                <w:szCs w:val="17"/>
                <w:color w:val="auto"/>
              </w:rPr>
            </w:pPr>
          </w:p>
        </w:tc>
        <w:tc>
          <w:tcPr>
            <w:tcW w:w="11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VFCP*</w:t>
            </w:r>
          </w:p>
        </w:tc>
      </w:tr>
      <w:tr>
        <w:trPr>
          <w:trHeight w:val="203"/>
        </w:trPr>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Check here if late participant loan</w:t>
            </w: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1300" w:type="dxa"/>
            <w:vAlign w:val="bottom"/>
          </w:tcPr>
          <w:p>
            <w:pPr>
              <w:jc w:val="center"/>
              <w:ind w:left="197"/>
              <w:spacing w:after="0"/>
              <w:rPr>
                <w:sz w:val="20"/>
                <w:szCs w:val="20"/>
                <w:color w:val="auto"/>
              </w:rPr>
            </w:pPr>
            <w:r>
              <w:rPr>
                <w:rFonts w:ascii="Times New Roman" w:cs="Times New Roman" w:eastAsia="Times New Roman" w:hAnsi="Times New Roman"/>
                <w:sz w:val="16"/>
                <w:szCs w:val="16"/>
                <w:b w:val="1"/>
                <w:bCs w:val="1"/>
                <w:color w:val="auto"/>
              </w:rPr>
              <w:t>Corrected</w:t>
            </w:r>
          </w:p>
        </w:tc>
        <w:tc>
          <w:tcPr>
            <w:tcW w:w="3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Correction in</w:t>
            </w:r>
          </w:p>
        </w:tc>
        <w:tc>
          <w:tcPr>
            <w:tcW w:w="420" w:type="dxa"/>
            <w:vAlign w:val="bottom"/>
          </w:tcPr>
          <w:p>
            <w:pPr>
              <w:spacing w:after="0"/>
              <w:rPr>
                <w:sz w:val="17"/>
                <w:szCs w:val="17"/>
                <w:color w:val="auto"/>
              </w:rPr>
            </w:pPr>
          </w:p>
        </w:tc>
        <w:tc>
          <w:tcPr>
            <w:tcW w:w="11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and PTE</w:t>
            </w:r>
          </w:p>
        </w:tc>
      </w:tr>
      <w:tr>
        <w:trPr>
          <w:trHeight w:val="215"/>
        </w:trPr>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repayments are included: </w:t>
            </w:r>
            <w:r>
              <w:rPr>
                <w:rFonts w:ascii="Times New Roman" w:cs="Times New Roman" w:eastAsia="Times New Roman" w:hAnsi="Times New Roman"/>
                <w:sz w:val="16"/>
                <w:szCs w:val="16"/>
                <w:color w:val="auto"/>
              </w:rPr>
              <w:t>x</w:t>
            </w: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Not Corrected</w:t>
            </w: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Outside VFCP*</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VFCP*</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2002-51</w:t>
            </w:r>
          </w:p>
        </w:tc>
      </w:tr>
      <w:tr>
        <w:trPr>
          <w:trHeight w:val="213"/>
        </w:trPr>
        <w:tc>
          <w:tcPr>
            <w:tcW w:w="3300" w:type="dxa"/>
            <w:vAlign w:val="bottom"/>
            <w:shd w:val="clear" w:color="auto" w:fill="CCECFF"/>
          </w:tcPr>
          <w:p>
            <w:pPr>
              <w:jc w:val="right"/>
              <w:ind w:right="2899"/>
              <w:spacing w:after="0"/>
              <w:rPr>
                <w:sz w:val="20"/>
                <w:szCs w:val="20"/>
                <w:color w:val="auto"/>
              </w:rPr>
            </w:pPr>
            <w:r>
              <w:rPr>
                <w:rFonts w:ascii="Times New Roman" w:cs="Times New Roman" w:eastAsia="Times New Roman" w:hAnsi="Times New Roman"/>
                <w:sz w:val="16"/>
                <w:szCs w:val="16"/>
                <w:color w:val="auto"/>
                <w:w w:val="93"/>
              </w:rPr>
              <w:t>2021</w:t>
            </w:r>
          </w:p>
        </w:tc>
        <w:tc>
          <w:tcPr>
            <w:tcW w:w="1120" w:type="dxa"/>
            <w:vAlign w:val="bottom"/>
            <w:shd w:val="clear" w:color="auto" w:fill="CCEC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922,216</w:t>
            </w:r>
          </w:p>
        </w:tc>
      </w:tr>
    </w:tbl>
    <w:p>
      <w:pPr>
        <w:spacing w:after="0" w:line="189" w:lineRule="exact"/>
        <w:rPr>
          <w:sz w:val="20"/>
          <w:szCs w:val="20"/>
          <w:color w:val="auto"/>
        </w:rPr>
      </w:pPr>
    </w:p>
    <w:p>
      <w:pPr>
        <w:ind w:left="643" w:hanging="643"/>
        <w:spacing w:after="0"/>
        <w:tabs>
          <w:tab w:leader="none" w:pos="64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Voluntary Fiduciary Correction Program (DOL)</w:t>
      </w:r>
    </w:p>
    <w:p>
      <w:pPr>
        <w:spacing w:after="0" w:line="200" w:lineRule="exact"/>
        <w:rPr>
          <w:sz w:val="20"/>
          <w:szCs w:val="20"/>
          <w:color w:val="auto"/>
        </w:rPr>
      </w:pPr>
    </w:p>
    <w:p>
      <w:pPr>
        <w:spacing w:after="0" w:line="246"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523240</wp:posOffset>
            </wp:positionV>
            <wp:extent cx="59836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223"/>
          </w:cols>
          <w:pgMar w:left="1237" w:top="29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10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3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23</w:t>
            </w:r>
          </w:p>
        </w:tc>
        <w:tc>
          <w:tcPr>
            <w:tcW w:w="6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Consent of BDO USA, LLP</w:t>
            </w:r>
          </w:p>
        </w:tc>
        <w:tc>
          <w:tcPr>
            <w:tcW w:w="4620" w:type="dxa"/>
            <w:vAlign w:val="bottom"/>
            <w:tcBorders>
              <w:top w:val="single" w:sz="8" w:color="CCEEFF"/>
            </w:tcBorders>
            <w:shd w:val="clear" w:color="auto" w:fill="CCEEFF"/>
          </w:tcPr>
          <w:p>
            <w:pPr>
              <w:spacing w:after="0"/>
              <w:rPr>
                <w:sz w:val="14"/>
                <w:szCs w:val="14"/>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59664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24"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UFP Industries, Inc., as Plan Administrator, has duly caused this annual report to be signed on its behalf by the undersigned hereunto duly authorized.</w:t>
      </w: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Employee's Profit</w:t>
            </w:r>
          </w:p>
        </w:tc>
      </w:tr>
      <w:tr>
        <w:trPr>
          <w:trHeight w:val="283"/>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Sharing and 401(k) Plan</w:t>
            </w:r>
          </w:p>
        </w:tc>
      </w:tr>
      <w:tr>
        <w:trPr>
          <w:trHeight w:val="358"/>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29, 2022</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57"/>
        </w:trPr>
        <w:tc>
          <w:tcPr>
            <w:tcW w:w="460" w:type="dxa"/>
            <w:vAlign w:val="bottom"/>
          </w:tcPr>
          <w:p>
            <w:pPr>
              <w:spacing w:after="0"/>
              <w:rPr>
                <w:sz w:val="22"/>
                <w:szCs w:val="22"/>
                <w:color w:val="auto"/>
              </w:rPr>
            </w:pPr>
          </w:p>
        </w:tc>
        <w:tc>
          <w:tcPr>
            <w:tcW w:w="3300" w:type="dxa"/>
            <w:vAlign w:val="bottom"/>
            <w:tcBorders>
              <w:top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3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311"/>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Plan Administrator</w:t>
            </w:r>
          </w:p>
        </w:tc>
      </w:tr>
      <w:tr>
        <w:trPr>
          <w:trHeight w:val="533"/>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June 29, 2022</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Nancy A. DeGood</w:t>
            </w:r>
          </w:p>
        </w:tc>
      </w:tr>
      <w:tr>
        <w:trPr>
          <w:trHeight w:val="257"/>
        </w:trPr>
        <w:tc>
          <w:tcPr>
            <w:tcW w:w="460" w:type="dxa"/>
            <w:vAlign w:val="bottom"/>
          </w:tcPr>
          <w:p>
            <w:pPr>
              <w:spacing w:after="0"/>
              <w:rPr>
                <w:sz w:val="22"/>
                <w:szCs w:val="22"/>
                <w:color w:val="auto"/>
              </w:rPr>
            </w:pPr>
          </w:p>
        </w:tc>
        <w:tc>
          <w:tcPr>
            <w:tcW w:w="3300" w:type="dxa"/>
            <w:vAlign w:val="bottom"/>
            <w:tcBorders>
              <w:top w:val="single" w:sz="8" w:color="auto"/>
            </w:tcBorders>
          </w:tcPr>
          <w:p>
            <w:pPr>
              <w:spacing w:after="0"/>
              <w:rPr>
                <w:sz w:val="22"/>
                <w:szCs w:val="22"/>
                <w:color w:val="auto"/>
              </w:rPr>
            </w:pPr>
          </w:p>
        </w:tc>
        <w:tc>
          <w:tcPr>
            <w:tcW w:w="1900" w:type="dxa"/>
            <w:vAlign w:val="bottom"/>
          </w:tcPr>
          <w:p>
            <w:pPr>
              <w:spacing w:after="0"/>
              <w:rPr>
                <w:sz w:val="22"/>
                <w:szCs w:val="22"/>
                <w:color w:val="auto"/>
              </w:rPr>
            </w:pPr>
          </w:p>
        </w:tc>
        <w:tc>
          <w:tcPr>
            <w:tcW w:w="3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Nancy A. DeGood,</w:t>
            </w:r>
          </w:p>
        </w:tc>
      </w:tr>
      <w:tr>
        <w:trPr>
          <w:trHeight w:val="270"/>
        </w:trPr>
        <w:tc>
          <w:tcPr>
            <w:tcW w:w="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UFP Industries, Inc., Plan Administrator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368935</wp:posOffset>
            </wp:positionV>
            <wp:extent cx="596646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40" w:top="295" w:right="1259" w:bottom="1440" w:gutter="0" w:footer="0" w:header="0"/>
        </w:sectPr>
      </w:pPr>
    </w:p>
    <w:bookmarkStart w:id="16" w:name="page17"/>
    <w:bookmarkEnd w:id="1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left="60" w:right="4359"/>
        <w:spacing w:after="0" w:line="282" w:lineRule="auto"/>
        <w:rPr>
          <w:sz w:val="20"/>
          <w:szCs w:val="20"/>
          <w:color w:val="auto"/>
        </w:rPr>
      </w:pPr>
      <w:r>
        <w:rPr>
          <w:rFonts w:ascii="Times New Roman" w:cs="Times New Roman" w:eastAsia="Times New Roman" w:hAnsi="Times New Roman"/>
          <w:sz w:val="18"/>
          <w:szCs w:val="18"/>
          <w:color w:val="auto"/>
        </w:rPr>
        <w:t>UFP Industries, Inc. Employees’ Profit Sharing and 401(k) Plan Grand Rapids, Michigan</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(33-84632) of UFP Industries, Inc. of our report dated June 29, 2022, relating to the financial statements and supplemental schedules of UFP Industries, Inc. Employees’ Profit Sharing and 401(k) Plan which appear in this Form 11-K for the year ended December 31, 2021.</w:t>
      </w: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2022-06-29T17:10:53Z</dcterms:created>
  <dcterms:modified xsi:type="dcterms:W3CDTF">2022-06-29T17:10:53Z</dcterms:modified>
</cp:coreProperties>
</file>