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-629920</wp:posOffset>
            </wp:positionV>
            <wp:extent cx="58420" cy="643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3989070</wp:posOffset>
            </wp:positionH>
            <wp:positionV relativeFrom="paragraph">
              <wp:posOffset>-629920</wp:posOffset>
            </wp:positionV>
            <wp:extent cx="58420" cy="643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748665</wp:posOffset>
            </wp:positionV>
            <wp:extent cx="7045960" cy="45383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538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WALKER BRIAN C</w:t>
        </w:r>
      </w:hyperlink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600 N. CENTENNIAL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37" w:lineRule="auto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UFP INDUSTRIES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UFPI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Foreign Trading Symbol</w:t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620" w:hanging="6"/>
        <w:spacing w:after="0" w:line="264" w:lineRule="auto"/>
        <w:tabs>
          <w:tab w:leader="none" w:pos="15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526"/>
        <w:spacing w:after="0"/>
        <w:tabs>
          <w:tab w:leader="none" w:pos="208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26"/>
        <w:spacing w:after="0"/>
        <w:tabs>
          <w:tab w:leader="none" w:pos="208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4" w:space="720"/>
            <w:col w:w="3346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9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ZEELAND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49464</w:t>
            </w: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5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11/02/2026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406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406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83.14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35,077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 for 1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Units credited as part of Director Compensation Plan.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143 shares credited to account based on dividends paid on Sept 15, 2026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issuable following termination of service as a director.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Katherine L. Karel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11/03/2026</w:t>
            </w:r>
          </w:p>
        </w:tc>
      </w:tr>
      <w:tr>
        <w:trPr>
          <w:trHeight w:val="20"/>
        </w:trPr>
        <w:tc>
          <w:tcPr>
            <w:tcW w:w="1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60" w:firstLine="3"/>
        <w:spacing w:after="0" w:line="338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202922" TargetMode="External"/><Relationship Id="rId14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2026-11-03T11:49:45Z</dcterms:created>
  <dcterms:modified xsi:type="dcterms:W3CDTF">2026-11-03T11:49:45Z</dcterms:modified>
</cp:coreProperties>
</file>