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FORM 8-K</w:t>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Pursuant to Section 13 or 15(d) of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2, 2018</w:t>
      </w:r>
    </w:p>
    <w:p>
      <w:pPr>
        <w:spacing w:after="0" w:line="200" w:lineRule="exact"/>
        <w:rPr>
          <w:sz w:val="24"/>
          <w:szCs w:val="24"/>
          <w:color w:val="auto"/>
        </w:rPr>
      </w:pPr>
    </w:p>
    <w:p>
      <w:pPr>
        <w:spacing w:after="0" w:line="27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UNIVERSAL FOREST PRODUCTS, INC.</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48" w:lineRule="exact"/>
        <w:rPr>
          <w:sz w:val="24"/>
          <w:szCs w:val="24"/>
          <w:color w:val="auto"/>
        </w:rPr>
      </w:pPr>
    </w:p>
    <w:tbl>
      <w:tblPr>
        <w:tblLayout w:type="fixed"/>
        <w:tblInd w:w="381" w:type="dxa"/>
        <w:tblCellMar>
          <w:top w:w="0" w:type="dxa"/>
          <w:left w:w="0" w:type="dxa"/>
          <w:bottom w:w="0" w:type="dxa"/>
          <w:right w:w="0" w:type="dxa"/>
        </w:tblCellMar>
      </w:tblPr>
      <w:tr>
        <w:trPr>
          <w:trHeight w:val="253"/>
        </w:trPr>
        <w:tc>
          <w:tcPr>
            <w:tcW w:w="400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Michigan</w:t>
            </w:r>
          </w:p>
        </w:tc>
        <w:tc>
          <w:tcPr>
            <w:tcW w:w="2640" w:type="dxa"/>
            <w:vAlign w:val="bottom"/>
          </w:tcPr>
          <w:p>
            <w:pPr>
              <w:jc w:val="center"/>
              <w:ind w:right="12"/>
              <w:spacing w:after="0"/>
              <w:rPr>
                <w:sz w:val="20"/>
                <w:szCs w:val="20"/>
                <w:color w:val="auto"/>
              </w:rPr>
            </w:pPr>
            <w:r>
              <w:rPr>
                <w:rFonts w:ascii="Arial" w:cs="Arial" w:eastAsia="Arial" w:hAnsi="Arial"/>
                <w:sz w:val="22"/>
                <w:szCs w:val="22"/>
                <w:b w:val="1"/>
                <w:bCs w:val="1"/>
                <w:color w:val="auto"/>
                <w:w w:val="90"/>
              </w:rPr>
              <w:t>00-22684</w:t>
            </w:r>
          </w:p>
        </w:tc>
        <w:tc>
          <w:tcPr>
            <w:tcW w:w="2400" w:type="dxa"/>
            <w:vAlign w:val="bottom"/>
          </w:tcPr>
          <w:p>
            <w:pPr>
              <w:jc w:val="right"/>
              <w:ind w:right="172"/>
              <w:spacing w:after="0"/>
              <w:rPr>
                <w:sz w:val="20"/>
                <w:szCs w:val="20"/>
                <w:color w:val="auto"/>
              </w:rPr>
            </w:pPr>
            <w:r>
              <w:rPr>
                <w:rFonts w:ascii="Arial" w:cs="Arial" w:eastAsia="Arial" w:hAnsi="Arial"/>
                <w:sz w:val="22"/>
                <w:szCs w:val="22"/>
                <w:b w:val="1"/>
                <w:bCs w:val="1"/>
                <w:color w:val="auto"/>
              </w:rPr>
              <w:t>38-1465835</w:t>
            </w:r>
          </w:p>
        </w:tc>
      </w:tr>
      <w:tr>
        <w:trPr>
          <w:trHeight w:val="243"/>
        </w:trPr>
        <w:tc>
          <w:tcPr>
            <w:tcW w:w="4000" w:type="dxa"/>
            <w:vAlign w:val="bottom"/>
          </w:tcPr>
          <w:p>
            <w:pPr>
              <w:jc w:val="center"/>
              <w:ind w:right="552"/>
              <w:spacing w:after="0" w:line="243" w:lineRule="exact"/>
              <w:rPr>
                <w:sz w:val="20"/>
                <w:szCs w:val="20"/>
                <w:color w:val="auto"/>
              </w:rPr>
            </w:pPr>
            <w:r>
              <w:rPr>
                <w:rFonts w:ascii="Arial" w:cs="Arial" w:eastAsia="Arial" w:hAnsi="Arial"/>
                <w:sz w:val="22"/>
                <w:szCs w:val="22"/>
                <w:color w:val="auto"/>
                <w:w w:val="89"/>
              </w:rPr>
              <w:t>(State or Other Jurisdiction</w:t>
            </w:r>
          </w:p>
        </w:tc>
        <w:tc>
          <w:tcPr>
            <w:tcW w:w="2640" w:type="dxa"/>
            <w:vAlign w:val="bottom"/>
          </w:tcPr>
          <w:p>
            <w:pPr>
              <w:jc w:val="center"/>
              <w:ind w:right="12"/>
              <w:spacing w:after="0" w:line="243" w:lineRule="exact"/>
              <w:rPr>
                <w:sz w:val="20"/>
                <w:szCs w:val="20"/>
                <w:color w:val="auto"/>
              </w:rPr>
            </w:pPr>
            <w:r>
              <w:rPr>
                <w:rFonts w:ascii="Arial" w:cs="Arial" w:eastAsia="Arial" w:hAnsi="Arial"/>
                <w:sz w:val="22"/>
                <w:szCs w:val="22"/>
                <w:color w:val="auto"/>
                <w:w w:val="90"/>
              </w:rPr>
              <w:t>(Commission</w:t>
            </w:r>
          </w:p>
        </w:tc>
        <w:tc>
          <w:tcPr>
            <w:tcW w:w="2400" w:type="dxa"/>
            <w:vAlign w:val="bottom"/>
          </w:tcPr>
          <w:p>
            <w:pPr>
              <w:jc w:val="center"/>
              <w:ind w:left="692"/>
              <w:spacing w:after="0" w:line="243" w:lineRule="exact"/>
              <w:rPr>
                <w:sz w:val="20"/>
                <w:szCs w:val="20"/>
                <w:color w:val="auto"/>
              </w:rPr>
            </w:pPr>
            <w:r>
              <w:rPr>
                <w:rFonts w:ascii="Arial" w:cs="Arial" w:eastAsia="Arial" w:hAnsi="Arial"/>
                <w:sz w:val="22"/>
                <w:szCs w:val="22"/>
                <w:color w:val="auto"/>
                <w:w w:val="92"/>
              </w:rPr>
              <w:t>(IRS Employer</w:t>
            </w:r>
          </w:p>
        </w:tc>
      </w:tr>
      <w:tr>
        <w:trPr>
          <w:trHeight w:val="275"/>
        </w:trPr>
        <w:tc>
          <w:tcPr>
            <w:tcW w:w="4000" w:type="dxa"/>
            <w:vAlign w:val="bottom"/>
          </w:tcPr>
          <w:p>
            <w:pPr>
              <w:jc w:val="center"/>
              <w:ind w:right="532"/>
              <w:spacing w:after="0"/>
              <w:rPr>
                <w:sz w:val="20"/>
                <w:szCs w:val="20"/>
                <w:color w:val="auto"/>
              </w:rPr>
            </w:pPr>
            <w:r>
              <w:rPr>
                <w:rFonts w:ascii="Arial" w:cs="Arial" w:eastAsia="Arial" w:hAnsi="Arial"/>
                <w:sz w:val="22"/>
                <w:szCs w:val="22"/>
                <w:color w:val="auto"/>
                <w:w w:val="92"/>
              </w:rPr>
              <w:t>of Incorporation)</w:t>
            </w:r>
          </w:p>
        </w:tc>
        <w:tc>
          <w:tcPr>
            <w:tcW w:w="2640" w:type="dxa"/>
            <w:vAlign w:val="bottom"/>
          </w:tcPr>
          <w:p>
            <w:pPr>
              <w:jc w:val="center"/>
              <w:ind w:right="12"/>
              <w:spacing w:after="0"/>
              <w:rPr>
                <w:sz w:val="20"/>
                <w:szCs w:val="20"/>
                <w:color w:val="auto"/>
              </w:rPr>
            </w:pPr>
            <w:r>
              <w:rPr>
                <w:rFonts w:ascii="Arial" w:cs="Arial" w:eastAsia="Arial" w:hAnsi="Arial"/>
                <w:sz w:val="22"/>
                <w:szCs w:val="22"/>
                <w:color w:val="auto"/>
                <w:w w:val="91"/>
              </w:rPr>
              <w:t>File Number)</w:t>
            </w:r>
          </w:p>
        </w:tc>
        <w:tc>
          <w:tcPr>
            <w:tcW w:w="2400" w:type="dxa"/>
            <w:vAlign w:val="bottom"/>
          </w:tcPr>
          <w:p>
            <w:pPr>
              <w:jc w:val="center"/>
              <w:ind w:left="692"/>
              <w:spacing w:after="0"/>
              <w:rPr>
                <w:sz w:val="20"/>
                <w:szCs w:val="20"/>
                <w:color w:val="auto"/>
              </w:rPr>
            </w:pPr>
            <w:r>
              <w:rPr>
                <w:rFonts w:ascii="Arial" w:cs="Arial" w:eastAsia="Arial" w:hAnsi="Arial"/>
                <w:sz w:val="22"/>
                <w:szCs w:val="22"/>
                <w:color w:val="auto"/>
                <w:w w:val="93"/>
              </w:rPr>
              <w:t>Identification No.)</w:t>
            </w:r>
          </w:p>
        </w:tc>
      </w:tr>
      <w:tr>
        <w:trPr>
          <w:trHeight w:val="449"/>
        </w:trPr>
        <w:tc>
          <w:tcPr>
            <w:tcW w:w="4000" w:type="dxa"/>
            <w:vAlign w:val="bottom"/>
          </w:tcPr>
          <w:p>
            <w:pPr>
              <w:jc w:val="center"/>
              <w:ind w:right="552"/>
              <w:spacing w:after="0"/>
              <w:rPr>
                <w:sz w:val="20"/>
                <w:szCs w:val="20"/>
                <w:color w:val="auto"/>
              </w:rPr>
            </w:pPr>
            <w:r>
              <w:rPr>
                <w:rFonts w:ascii="Arial" w:cs="Arial" w:eastAsia="Arial" w:hAnsi="Arial"/>
                <w:sz w:val="22"/>
                <w:szCs w:val="22"/>
                <w:b w:val="1"/>
                <w:bCs w:val="1"/>
                <w:color w:val="auto"/>
                <w:w w:val="90"/>
              </w:rPr>
              <w:t>2801 East Beltline, N.E.</w:t>
            </w:r>
          </w:p>
        </w:tc>
        <w:tc>
          <w:tcPr>
            <w:tcW w:w="26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49"/>
        </w:trPr>
        <w:tc>
          <w:tcPr>
            <w:tcW w:w="4000" w:type="dxa"/>
            <w:vAlign w:val="bottom"/>
          </w:tcPr>
          <w:p>
            <w:pPr>
              <w:jc w:val="center"/>
              <w:ind w:right="612"/>
              <w:spacing w:after="0" w:line="249" w:lineRule="exact"/>
              <w:rPr>
                <w:sz w:val="20"/>
                <w:szCs w:val="20"/>
                <w:color w:val="auto"/>
              </w:rPr>
            </w:pPr>
            <w:r>
              <w:rPr>
                <w:rFonts w:ascii="Arial" w:cs="Arial" w:eastAsia="Arial" w:hAnsi="Arial"/>
                <w:sz w:val="22"/>
                <w:szCs w:val="22"/>
                <w:b w:val="1"/>
                <w:bCs w:val="1"/>
                <w:color w:val="auto"/>
                <w:w w:val="93"/>
              </w:rPr>
              <w:t>Grand Rapids, Michigan</w:t>
            </w:r>
          </w:p>
        </w:tc>
        <w:tc>
          <w:tcPr>
            <w:tcW w:w="2640" w:type="dxa"/>
            <w:vAlign w:val="bottom"/>
          </w:tcPr>
          <w:p>
            <w:pPr>
              <w:spacing w:after="0"/>
              <w:rPr>
                <w:sz w:val="21"/>
                <w:szCs w:val="21"/>
                <w:color w:val="auto"/>
              </w:rPr>
            </w:pPr>
          </w:p>
        </w:tc>
        <w:tc>
          <w:tcPr>
            <w:tcW w:w="2400" w:type="dxa"/>
            <w:vAlign w:val="bottom"/>
          </w:tcPr>
          <w:p>
            <w:pPr>
              <w:jc w:val="right"/>
              <w:ind w:right="432"/>
              <w:spacing w:after="0" w:line="249" w:lineRule="exact"/>
              <w:rPr>
                <w:sz w:val="20"/>
                <w:szCs w:val="20"/>
                <w:color w:val="auto"/>
              </w:rPr>
            </w:pPr>
            <w:r>
              <w:rPr>
                <w:rFonts w:ascii="Arial" w:cs="Arial" w:eastAsia="Arial" w:hAnsi="Arial"/>
                <w:sz w:val="22"/>
                <w:szCs w:val="22"/>
                <w:b w:val="1"/>
                <w:bCs w:val="1"/>
                <w:color w:val="auto"/>
              </w:rPr>
              <w:t>49525</w:t>
            </w:r>
          </w:p>
        </w:tc>
      </w:tr>
      <w:tr>
        <w:trPr>
          <w:trHeight w:val="275"/>
        </w:trPr>
        <w:tc>
          <w:tcPr>
            <w:tcW w:w="4000" w:type="dxa"/>
            <w:vAlign w:val="bottom"/>
          </w:tcPr>
          <w:p>
            <w:pPr>
              <w:jc w:val="center"/>
              <w:ind w:right="552"/>
              <w:spacing w:after="0"/>
              <w:rPr>
                <w:sz w:val="20"/>
                <w:szCs w:val="20"/>
                <w:color w:val="auto"/>
              </w:rPr>
            </w:pPr>
            <w:r>
              <w:rPr>
                <w:rFonts w:ascii="Arial" w:cs="Arial" w:eastAsia="Arial" w:hAnsi="Arial"/>
                <w:sz w:val="22"/>
                <w:szCs w:val="22"/>
                <w:color w:val="auto"/>
                <w:w w:val="91"/>
              </w:rPr>
              <w:t>(Address of principal executive office)</w:t>
            </w:r>
          </w:p>
        </w:tc>
        <w:tc>
          <w:tcPr>
            <w:tcW w:w="2640" w:type="dxa"/>
            <w:vAlign w:val="bottom"/>
          </w:tcPr>
          <w:p>
            <w:pPr>
              <w:spacing w:after="0"/>
              <w:rPr>
                <w:sz w:val="23"/>
                <w:szCs w:val="23"/>
                <w:color w:val="auto"/>
              </w:rPr>
            </w:pPr>
          </w:p>
        </w:tc>
        <w:tc>
          <w:tcPr>
            <w:tcW w:w="24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(616) 364-6161</w:t>
      </w:r>
    </w:p>
    <w:p>
      <w:pPr>
        <w:spacing w:after="0" w:line="244" w:lineRule="exact"/>
        <w:rPr>
          <w:sz w:val="24"/>
          <w:szCs w:val="24"/>
          <w:color w:val="auto"/>
        </w:rPr>
      </w:pPr>
    </w:p>
    <w:p>
      <w:pPr>
        <w:ind w:left="1"/>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204" w:lineRule="exact"/>
        <w:rPr>
          <w:sz w:val="24"/>
          <w:szCs w:val="24"/>
          <w:color w:val="auto"/>
        </w:rPr>
      </w:pPr>
    </w:p>
    <w:p>
      <w:pPr>
        <w:ind w:left="841" w:hanging="841"/>
        <w:spacing w:after="0"/>
        <w:tabs>
          <w:tab w:leader="none" w:pos="84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Written communications pursuant to Rule 425 under the Securities Act (17 CFR 230.425)</w:t>
      </w:r>
    </w:p>
    <w:p>
      <w:pPr>
        <w:spacing w:after="0" w:line="29" w:lineRule="exact"/>
        <w:rPr>
          <w:rFonts w:ascii="MS PGothic" w:cs="MS PGothic" w:eastAsia="MS PGothic" w:hAnsi="MS PGothic"/>
          <w:sz w:val="20"/>
          <w:szCs w:val="20"/>
          <w:color w:val="auto"/>
        </w:rPr>
      </w:pPr>
    </w:p>
    <w:p>
      <w:pPr>
        <w:ind w:left="841" w:hanging="841"/>
        <w:spacing w:after="0"/>
        <w:tabs>
          <w:tab w:leader="none" w:pos="841"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Soliciting material pursuant to Rule 14a-12 under the Exchange Act (17 CFR 240.14a-12).</w:t>
      </w:r>
    </w:p>
    <w:p>
      <w:pPr>
        <w:spacing w:after="0" w:line="13" w:lineRule="exact"/>
        <w:rPr>
          <w:rFonts w:ascii="MS PGothic" w:cs="MS PGothic" w:eastAsia="MS PGothic" w:hAnsi="MS PGothic"/>
          <w:sz w:val="20"/>
          <w:szCs w:val="20"/>
          <w:color w:val="auto"/>
        </w:rPr>
      </w:pPr>
    </w:p>
    <w:p>
      <w:pPr>
        <w:ind w:left="841" w:hanging="841"/>
        <w:spacing w:after="0"/>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841" w:hanging="841"/>
        <w:spacing w:after="0"/>
        <w:tabs>
          <w:tab w:leader="none" w:pos="8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15" w:lineRule="exact"/>
        <w:rPr>
          <w:sz w:val="24"/>
          <w:szCs w:val="24"/>
          <w:color w:val="auto"/>
        </w:rPr>
      </w:pPr>
    </w:p>
    <w:p>
      <w:pPr>
        <w:jc w:val="both"/>
        <w:ind w:left="1"/>
        <w:spacing w:after="0" w:line="249" w:lineRule="exact"/>
        <w:rPr>
          <w:sz w:val="20"/>
          <w:szCs w:val="20"/>
          <w:color w:val="auto"/>
        </w:rPr>
      </w:pPr>
      <w:r>
        <w:rPr>
          <w:rFonts w:ascii="Arial" w:cs="Arial" w:eastAsia="Arial" w:hAnsi="Arial"/>
          <w:sz w:val="20"/>
          <w:szCs w:val="20"/>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20"/>
          <w:szCs w:val="20"/>
          <w:color w:val="auto"/>
        </w:rPr>
        <w:t>☐</w:t>
      </w:r>
    </w:p>
    <w:p>
      <w:pPr>
        <w:spacing w:after="0" w:line="187" w:lineRule="exact"/>
        <w:rPr>
          <w:sz w:val="24"/>
          <w:szCs w:val="24"/>
          <w:color w:val="auto"/>
        </w:rPr>
      </w:pPr>
    </w:p>
    <w:p>
      <w:pPr>
        <w:jc w:val="both"/>
        <w:ind w:left="1"/>
        <w:spacing w:after="0" w:line="27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1"/>
        <w:spacing w:after="0" w:line="201" w:lineRule="exact"/>
        <w:rPr>
          <w:sz w:val="20"/>
          <w:szCs w:val="20"/>
          <w:color w:val="auto"/>
        </w:rPr>
      </w:pP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316230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220" w:right="919" w:bottom="1440" w:gutter="0" w:footer="0" w:header="0"/>
        </w:sectPr>
      </w:pPr>
    </w:p>
    <w:bookmarkStart w:id="1" w:name="page2"/>
    <w:bookmarkEnd w:id="1"/>
    <w:p>
      <w:pPr>
        <w:spacing w:after="0"/>
        <w:tabs>
          <w:tab w:leader="none" w:pos="1540" w:val="left"/>
        </w:tabs>
        <w:rPr>
          <w:sz w:val="20"/>
          <w:szCs w:val="20"/>
          <w:color w:val="auto"/>
        </w:rPr>
      </w:pPr>
      <w:r>
        <w:rPr>
          <w:rFonts w:ascii="Arial" w:cs="Arial" w:eastAsia="Arial" w:hAnsi="Arial"/>
          <w:sz w:val="22"/>
          <w:szCs w:val="22"/>
          <w:b w:val="1"/>
          <w:bCs w:val="1"/>
          <w:color w:val="auto"/>
        </w:rPr>
        <w:t>Item 8.01.</w:t>
      </w:r>
      <w:r>
        <w:rPr>
          <w:sz w:val="20"/>
          <w:szCs w:val="20"/>
          <w:color w:val="auto"/>
        </w:rPr>
        <w:tab/>
      </w:r>
      <w:r>
        <w:rPr>
          <w:rFonts w:ascii="Arial" w:cs="Arial" w:eastAsia="Arial" w:hAnsi="Arial"/>
          <w:sz w:val="19"/>
          <w:szCs w:val="19"/>
          <w:b w:val="1"/>
          <w:bCs w:val="1"/>
          <w:color w:val="auto"/>
        </w:rPr>
        <w:t>Other Events</w:t>
      </w:r>
    </w:p>
    <w:p>
      <w:pPr>
        <w:spacing w:after="0" w:line="24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As of April 2, 2018, the Board of Directors of Universal Forest Products, Inc. (the "Company") adopted an amendment (the "Amendment") to the Company's Long-Term Incentive Plan (the "Plan"), a copy of which is attached to this Report. This Amendment decreases the number of shares of the Company's common stock that may be issued under the Plan to 2,000,000 shares after April 2, 2018 (the "Effective Date" of the Amendment).</w:t>
      </w:r>
    </w:p>
    <w:p>
      <w:pPr>
        <w:spacing w:after="0" w:line="170"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As of March 31, 2018, there were 1,165,228 Plan shares subject to Awards of restricted shares of Company stock that remain subject to vesting, and there are no other outstanding Awards granted under the Plan.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460" w:type="dxa"/>
            <w:vAlign w:val="bottom"/>
            <w:gridSpan w:val="2"/>
          </w:tcPr>
          <w:p>
            <w:pPr>
              <w:spacing w:after="0"/>
              <w:rPr>
                <w:sz w:val="20"/>
                <w:szCs w:val="20"/>
                <w:color w:val="auto"/>
              </w:rPr>
            </w:pPr>
            <w:r>
              <w:rPr>
                <w:rFonts w:ascii="Arial" w:cs="Arial" w:eastAsia="Arial" w:hAnsi="Arial"/>
                <w:sz w:val="22"/>
                <w:szCs w:val="22"/>
                <w:b w:val="1"/>
                <w:bCs w:val="1"/>
                <w:color w:val="auto"/>
              </w:rPr>
              <w:t>Item 9.01.</w:t>
            </w:r>
          </w:p>
        </w:tc>
        <w:tc>
          <w:tcPr>
            <w:tcW w:w="8600" w:type="dxa"/>
            <w:vAlign w:val="bottom"/>
            <w:gridSpan w:val="3"/>
          </w:tcPr>
          <w:p>
            <w:pPr>
              <w:ind w:left="100"/>
              <w:spacing w:after="0"/>
              <w:rPr>
                <w:sz w:val="20"/>
                <w:szCs w:val="20"/>
                <w:color w:val="auto"/>
              </w:rPr>
            </w:pPr>
            <w:r>
              <w:rPr>
                <w:rFonts w:ascii="Arial" w:cs="Arial" w:eastAsia="Arial" w:hAnsi="Arial"/>
                <w:sz w:val="22"/>
                <w:szCs w:val="22"/>
                <w:b w:val="1"/>
                <w:bCs w:val="1"/>
                <w:color w:val="auto"/>
              </w:rPr>
              <w:t>Financial Statements and Exhibits</w:t>
            </w:r>
          </w:p>
        </w:tc>
      </w:tr>
      <w:tr>
        <w:trPr>
          <w:trHeight w:val="490"/>
        </w:trPr>
        <w:tc>
          <w:tcPr>
            <w:tcW w:w="146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60" w:type="dxa"/>
            <w:vAlign w:val="bottom"/>
          </w:tcPr>
          <w:p>
            <w:pPr>
              <w:spacing w:after="0"/>
              <w:rPr>
                <w:sz w:val="20"/>
                <w:szCs w:val="20"/>
                <w:color w:val="auto"/>
              </w:rPr>
            </w:pPr>
            <w:r>
              <w:rPr>
                <w:rFonts w:ascii="Arial" w:cs="Arial" w:eastAsia="Arial" w:hAnsi="Arial"/>
                <w:sz w:val="22"/>
                <w:szCs w:val="22"/>
                <w:b w:val="1"/>
                <w:bCs w:val="1"/>
                <w:color w:val="auto"/>
              </w:rPr>
              <w:t>DESCRIPTION OF EXHIBIT</w:t>
            </w:r>
          </w:p>
        </w:tc>
      </w:tr>
      <w:tr>
        <w:trPr>
          <w:trHeight w:val="268"/>
        </w:trPr>
        <w:tc>
          <w:tcPr>
            <w:tcW w:w="20" w:type="dxa"/>
            <w:vAlign w:val="bottom"/>
          </w:tcPr>
          <w:p>
            <w:pPr>
              <w:spacing w:after="0"/>
              <w:rPr>
                <w:sz w:val="23"/>
                <w:szCs w:val="23"/>
                <w:color w:val="auto"/>
              </w:rPr>
            </w:pPr>
          </w:p>
        </w:tc>
        <w:tc>
          <w:tcPr>
            <w:tcW w:w="144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10.1</w:t>
            </w:r>
          </w:p>
        </w:tc>
        <w:tc>
          <w:tcPr>
            <w:tcW w:w="680" w:type="dxa"/>
            <w:vAlign w:val="bottom"/>
            <w:tcBorders>
              <w:top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5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Amendment to the Universal Forest Products, Inc. Long-Term Incentive Plan.</w:t>
            </w:r>
          </w:p>
        </w:tc>
      </w:tr>
      <w:tr>
        <w:trPr>
          <w:trHeight w:val="691"/>
        </w:trPr>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1" w:right="91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u w:val="single" w:color="auto"/>
          <w:color w:val="auto"/>
        </w:rPr>
        <w:t>SIGNATURE</w:t>
      </w:r>
    </w:p>
    <w:p>
      <w:pPr>
        <w:spacing w:after="0" w:line="234"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00" w:type="dxa"/>
            <w:vAlign w:val="bottom"/>
          </w:tcPr>
          <w:p>
            <w:pPr>
              <w:spacing w:after="0"/>
              <w:rPr>
                <w:sz w:val="20"/>
                <w:szCs w:val="20"/>
                <w:color w:val="auto"/>
              </w:rPr>
            </w:pPr>
            <w:r>
              <w:rPr>
                <w:rFonts w:ascii="Arial" w:cs="Arial" w:eastAsia="Arial" w:hAnsi="Arial"/>
                <w:sz w:val="22"/>
                <w:szCs w:val="22"/>
                <w:color w:val="auto"/>
              </w:rPr>
              <w:t>Dated: April 2, 2018</w:t>
            </w:r>
          </w:p>
        </w:tc>
        <w:tc>
          <w:tcPr>
            <w:tcW w:w="6760" w:type="dxa"/>
            <w:vAlign w:val="bottom"/>
            <w:gridSpan w:val="2"/>
          </w:tcPr>
          <w:p>
            <w:pPr>
              <w:ind w:left="1440"/>
              <w:spacing w:after="0"/>
              <w:rPr>
                <w:sz w:val="20"/>
                <w:szCs w:val="20"/>
                <w:color w:val="auto"/>
              </w:rPr>
            </w:pPr>
            <w:r>
              <w:rPr>
                <w:rFonts w:ascii="Arial" w:cs="Arial" w:eastAsia="Arial" w:hAnsi="Arial"/>
                <w:sz w:val="22"/>
                <w:szCs w:val="22"/>
                <w:color w:val="auto"/>
              </w:rPr>
              <w:t>UNIVERSAL FOREST PRODUCTS, INC.</w:t>
            </w:r>
          </w:p>
        </w:tc>
      </w:tr>
      <w:tr>
        <w:trPr>
          <w:trHeight w:val="275"/>
        </w:trPr>
        <w:tc>
          <w:tcPr>
            <w:tcW w:w="3300" w:type="dxa"/>
            <w:vAlign w:val="bottom"/>
          </w:tcPr>
          <w:p>
            <w:pPr>
              <w:spacing w:after="0"/>
              <w:rPr>
                <w:sz w:val="23"/>
                <w:szCs w:val="23"/>
                <w:color w:val="auto"/>
              </w:rPr>
            </w:pPr>
          </w:p>
        </w:tc>
        <w:tc>
          <w:tcPr>
            <w:tcW w:w="6760" w:type="dxa"/>
            <w:vAlign w:val="bottom"/>
            <w:gridSpan w:val="2"/>
          </w:tcPr>
          <w:p>
            <w:pPr>
              <w:ind w:left="1440"/>
              <w:spacing w:after="0"/>
              <w:rPr>
                <w:sz w:val="20"/>
                <w:szCs w:val="20"/>
                <w:color w:val="auto"/>
              </w:rPr>
            </w:pPr>
            <w:r>
              <w:rPr>
                <w:rFonts w:ascii="Arial" w:cs="Arial" w:eastAsia="Arial" w:hAnsi="Arial"/>
                <w:sz w:val="22"/>
                <w:szCs w:val="22"/>
                <w:color w:val="auto"/>
              </w:rPr>
              <w:t>(Registrant)</w:t>
            </w:r>
          </w:p>
        </w:tc>
      </w:tr>
      <w:tr>
        <w:trPr>
          <w:trHeight w:val="476"/>
        </w:trPr>
        <w:tc>
          <w:tcPr>
            <w:tcW w:w="3300" w:type="dxa"/>
            <w:vAlign w:val="bottom"/>
          </w:tcPr>
          <w:p>
            <w:pPr>
              <w:spacing w:after="0"/>
              <w:rPr>
                <w:sz w:val="24"/>
                <w:szCs w:val="24"/>
                <w:color w:val="auto"/>
              </w:rPr>
            </w:pPr>
          </w:p>
        </w:tc>
        <w:tc>
          <w:tcPr>
            <w:tcW w:w="6760" w:type="dxa"/>
            <w:vAlign w:val="bottom"/>
            <w:gridSpan w:val="2"/>
          </w:tcPr>
          <w:p>
            <w:pPr>
              <w:ind w:left="1440"/>
              <w:spacing w:after="0"/>
              <w:rPr>
                <w:sz w:val="20"/>
                <w:szCs w:val="20"/>
                <w:color w:val="auto"/>
              </w:rPr>
            </w:pPr>
            <w:r>
              <w:rPr>
                <w:rFonts w:ascii="Arial" w:cs="Arial" w:eastAsia="Arial" w:hAnsi="Arial"/>
                <w:sz w:val="22"/>
                <w:szCs w:val="22"/>
                <w:color w:val="auto"/>
              </w:rPr>
              <w:t>By: /s/ Michael R. Cole</w:t>
            </w:r>
          </w:p>
        </w:tc>
      </w:tr>
      <w:tr>
        <w:trPr>
          <w:trHeight w:val="215"/>
        </w:trPr>
        <w:tc>
          <w:tcPr>
            <w:tcW w:w="33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4880" w:type="dxa"/>
            <w:vAlign w:val="bottom"/>
            <w:tcBorders>
              <w:top w:val="single" w:sz="8" w:color="auto"/>
            </w:tcBorders>
          </w:tcPr>
          <w:p>
            <w:pPr>
              <w:spacing w:after="0" w:line="216" w:lineRule="exact"/>
              <w:rPr>
                <w:sz w:val="20"/>
                <w:szCs w:val="20"/>
                <w:color w:val="auto"/>
              </w:rPr>
            </w:pPr>
            <w:r>
              <w:rPr>
                <w:rFonts w:ascii="Arial" w:cs="Arial" w:eastAsia="Arial" w:hAnsi="Arial"/>
                <w:sz w:val="22"/>
                <w:szCs w:val="22"/>
                <w:color w:val="auto"/>
              </w:rPr>
              <w:t>Michael R. Cole</w:t>
            </w:r>
          </w:p>
        </w:tc>
      </w:tr>
      <w:tr>
        <w:trPr>
          <w:trHeight w:val="275"/>
        </w:trPr>
        <w:tc>
          <w:tcPr>
            <w:tcW w:w="33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4880" w:type="dxa"/>
            <w:vAlign w:val="bottom"/>
          </w:tcPr>
          <w:p>
            <w:pPr>
              <w:spacing w:after="0"/>
              <w:rPr>
                <w:sz w:val="20"/>
                <w:szCs w:val="20"/>
                <w:color w:val="auto"/>
              </w:rPr>
            </w:pPr>
            <w:r>
              <w:rPr>
                <w:rFonts w:ascii="Arial" w:cs="Arial" w:eastAsia="Arial" w:hAnsi="Arial"/>
                <w:sz w:val="22"/>
                <w:szCs w:val="22"/>
                <w:color w:val="auto"/>
              </w:rPr>
              <w:t>Principal Financial Officer and Treasurer</w:t>
            </w:r>
          </w:p>
        </w:tc>
      </w:tr>
      <w:tr>
        <w:trPr>
          <w:trHeight w:val="618"/>
        </w:trPr>
        <w:tc>
          <w:tcPr>
            <w:tcW w:w="3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118" w:right="9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22"/>
          <w:szCs w:val="22"/>
          <w:b w:val="1"/>
          <w:bCs w:val="1"/>
          <w:color w:val="auto"/>
        </w:rPr>
        <w:t>2018 AMENDMENT TO THE</w:t>
      </w:r>
    </w:p>
    <w:p>
      <w:pPr>
        <w:jc w:val="center"/>
        <w:ind w:right="-20"/>
        <w:spacing w:after="0" w:line="205" w:lineRule="auto"/>
        <w:rPr>
          <w:sz w:val="20"/>
          <w:szCs w:val="20"/>
          <w:color w:val="auto"/>
        </w:rPr>
      </w:pPr>
      <w:r>
        <w:rPr>
          <w:rFonts w:ascii="Arial" w:cs="Arial" w:eastAsia="Arial" w:hAnsi="Arial"/>
          <w:sz w:val="22"/>
          <w:szCs w:val="22"/>
          <w:b w:val="1"/>
          <w:bCs w:val="1"/>
          <w:color w:val="auto"/>
        </w:rPr>
        <w:t>UNIVERSAL FOREST PRODUCTS, INC.</w:t>
      </w:r>
    </w:p>
    <w:p>
      <w:pPr>
        <w:jc w:val="center"/>
        <w:ind w:right="-20"/>
        <w:spacing w:after="0"/>
        <w:rPr>
          <w:sz w:val="20"/>
          <w:szCs w:val="20"/>
          <w:color w:val="auto"/>
        </w:rPr>
      </w:pPr>
      <w:r>
        <w:rPr>
          <w:rFonts w:ascii="Arial" w:cs="Arial" w:eastAsia="Arial" w:hAnsi="Arial"/>
          <w:sz w:val="22"/>
          <w:szCs w:val="22"/>
          <w:b w:val="1"/>
          <w:bCs w:val="1"/>
          <w:color w:val="auto"/>
        </w:rPr>
        <w:t>LONG-TERM INCENTIVE PLAN</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AMENDMENT TO THE UNIVERSAL FOREST PRODUCTS, INC. LONG-TERM</w:t>
      </w:r>
    </w:p>
    <w:p>
      <w:pPr>
        <w:ind w:left="160" w:right="499"/>
        <w:spacing w:after="0" w:line="279" w:lineRule="auto"/>
        <w:rPr>
          <w:sz w:val="20"/>
          <w:szCs w:val="20"/>
          <w:color w:val="auto"/>
        </w:rPr>
      </w:pPr>
      <w:r>
        <w:rPr>
          <w:rFonts w:ascii="Arial" w:cs="Arial" w:eastAsia="Arial" w:hAnsi="Arial"/>
          <w:sz w:val="19"/>
          <w:szCs w:val="19"/>
          <w:color w:val="auto"/>
        </w:rPr>
        <w:t>INCENTIVE PLAN as adopted by the Board of Directors of Universal Forest Products, Inc. (the "Company") the 2nd day of April, 2018 (the "Effective Date"), with reference to the following:</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RECITALS</w:t>
      </w:r>
    </w:p>
    <w:p>
      <w:pPr>
        <w:spacing w:after="0" w:line="179" w:lineRule="exact"/>
        <w:rPr>
          <w:sz w:val="20"/>
          <w:szCs w:val="20"/>
          <w:color w:val="auto"/>
        </w:rPr>
      </w:pPr>
    </w:p>
    <w:p>
      <w:pPr>
        <w:ind w:left="160" w:right="499" w:firstLine="639"/>
        <w:spacing w:after="0" w:line="239" w:lineRule="auto"/>
        <w:tabs>
          <w:tab w:leader="none" w:pos="1666"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Universal Forest Products, Inc. Long-Term Incentive Plan (the "Plan") was approved by the Company's shareholders in 1997.</w:t>
      </w:r>
    </w:p>
    <w:p>
      <w:pPr>
        <w:spacing w:after="0" w:line="157" w:lineRule="exact"/>
        <w:rPr>
          <w:rFonts w:ascii="Arial" w:cs="Arial" w:eastAsia="Arial" w:hAnsi="Arial"/>
          <w:sz w:val="22"/>
          <w:szCs w:val="22"/>
          <w:color w:val="auto"/>
        </w:rPr>
      </w:pPr>
    </w:p>
    <w:p>
      <w:pPr>
        <w:ind w:left="160" w:right="999" w:firstLine="639"/>
        <w:spacing w:after="0" w:line="261" w:lineRule="auto"/>
        <w:tabs>
          <w:tab w:leader="none" w:pos="1655" w:val="left"/>
        </w:tabs>
        <w:numPr>
          <w:ilvl w:val="0"/>
          <w:numId w:val="2"/>
        </w:numPr>
        <w:rPr>
          <w:rFonts w:ascii="Arial" w:cs="Arial" w:eastAsia="Arial" w:hAnsi="Arial"/>
          <w:sz w:val="21"/>
          <w:szCs w:val="21"/>
          <w:color w:val="auto"/>
        </w:rPr>
      </w:pPr>
      <w:r>
        <w:rPr>
          <w:rFonts w:ascii="Arial" w:cs="Arial" w:eastAsia="Arial" w:hAnsi="Arial"/>
          <w:sz w:val="21"/>
          <w:szCs w:val="21"/>
          <w:color w:val="auto"/>
        </w:rPr>
        <w:t>Under Article 11 of the Plan, the Board of Directors (the "Board") has the authority, subject to certain conditions, to amend the Plan from time to time.</w:t>
      </w:r>
    </w:p>
    <w:p>
      <w:pPr>
        <w:spacing w:after="0" w:line="136" w:lineRule="exact"/>
        <w:rPr>
          <w:rFonts w:ascii="Arial" w:cs="Arial" w:eastAsia="Arial" w:hAnsi="Arial"/>
          <w:sz w:val="21"/>
          <w:szCs w:val="21"/>
          <w:color w:val="auto"/>
        </w:rPr>
      </w:pPr>
    </w:p>
    <w:p>
      <w:pPr>
        <w:ind w:left="160" w:right="419" w:firstLine="639"/>
        <w:spacing w:after="0" w:line="227" w:lineRule="auto"/>
        <w:tabs>
          <w:tab w:leader="none" w:pos="1655"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Board has elected to amend the Plan to decrease the number of shares of Common Stock that may be issued under the Plan subsequent to the Effective Date to two million (2,000,000) shares.</w:t>
      </w:r>
    </w:p>
    <w:p>
      <w:pPr>
        <w:spacing w:after="0" w:line="160" w:lineRule="exact"/>
        <w:rPr>
          <w:sz w:val="20"/>
          <w:szCs w:val="20"/>
          <w:color w:val="auto"/>
        </w:rPr>
      </w:pPr>
    </w:p>
    <w:p>
      <w:pPr>
        <w:ind w:left="800"/>
        <w:spacing w:after="0"/>
        <w:rPr>
          <w:sz w:val="20"/>
          <w:szCs w:val="20"/>
          <w:color w:val="auto"/>
        </w:rPr>
      </w:pPr>
      <w:r>
        <w:rPr>
          <w:rFonts w:ascii="Arial" w:cs="Arial" w:eastAsia="Arial" w:hAnsi="Arial"/>
          <w:sz w:val="22"/>
          <w:szCs w:val="22"/>
          <w:color w:val="auto"/>
        </w:rPr>
        <w:t>NOW, THEREFORE, the Plan is amended as follows:</w:t>
      </w:r>
    </w:p>
    <w:p>
      <w:pPr>
        <w:spacing w:after="0" w:line="193" w:lineRule="exact"/>
        <w:rPr>
          <w:sz w:val="20"/>
          <w:szCs w:val="20"/>
          <w:color w:val="auto"/>
        </w:rPr>
      </w:pPr>
    </w:p>
    <w:p>
      <w:pPr>
        <w:ind w:left="1600" w:hanging="801"/>
        <w:spacing w:after="0"/>
        <w:tabs>
          <w:tab w:leader="none" w:pos="1600" w:val="left"/>
        </w:tabs>
        <w:numPr>
          <w:ilvl w:val="0"/>
          <w:numId w:val="3"/>
        </w:numPr>
        <w:rPr>
          <w:rFonts w:ascii="Arial" w:cs="Arial" w:eastAsia="Arial" w:hAnsi="Arial"/>
          <w:sz w:val="22"/>
          <w:szCs w:val="22"/>
          <w:color w:val="auto"/>
        </w:rPr>
      </w:pPr>
      <w:r>
        <w:rPr>
          <w:rFonts w:ascii="Arial" w:cs="Arial" w:eastAsia="Arial" w:hAnsi="Arial"/>
          <w:sz w:val="22"/>
          <w:szCs w:val="22"/>
          <w:color w:val="auto"/>
        </w:rPr>
        <w:t>Article 4 of the Plan is hereby amended, in its entirety, to read as follows:</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4</w:t>
      </w:r>
    </w:p>
    <w:p>
      <w:pPr>
        <w:jc w:val="center"/>
        <w:ind w:right="-20"/>
        <w:spacing w:after="0"/>
        <w:rPr>
          <w:sz w:val="20"/>
          <w:szCs w:val="20"/>
          <w:color w:val="auto"/>
        </w:rPr>
      </w:pPr>
      <w:r>
        <w:rPr>
          <w:rFonts w:ascii="Arial" w:cs="Arial" w:eastAsia="Arial" w:hAnsi="Arial"/>
          <w:sz w:val="22"/>
          <w:szCs w:val="22"/>
          <w:b w:val="1"/>
          <w:bCs w:val="1"/>
          <w:color w:val="auto"/>
        </w:rPr>
        <w:t>COMMON STOCK SUBJECT TO THE PLAN</w:t>
      </w:r>
    </w:p>
    <w:p>
      <w:pPr>
        <w:spacing w:after="0" w:line="16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Subject to adjustment as provided in Section 13.1, the maximum aggregate number of shares</w:t>
      </w:r>
    </w:p>
    <w:p>
      <w:pPr>
        <w:spacing w:after="0" w:line="29" w:lineRule="exact"/>
        <w:rPr>
          <w:sz w:val="20"/>
          <w:szCs w:val="20"/>
          <w:color w:val="auto"/>
        </w:rPr>
      </w:pPr>
    </w:p>
    <w:p>
      <w:pPr>
        <w:jc w:val="both"/>
        <w:ind w:left="160" w:right="579"/>
        <w:spacing w:after="0" w:line="217" w:lineRule="auto"/>
        <w:rPr>
          <w:sz w:val="20"/>
          <w:szCs w:val="20"/>
          <w:color w:val="auto"/>
        </w:rPr>
      </w:pPr>
      <w:r>
        <w:rPr>
          <w:rFonts w:ascii="Arial" w:cs="Arial" w:eastAsia="Arial" w:hAnsi="Arial"/>
          <w:sz w:val="22"/>
          <w:szCs w:val="22"/>
          <w:color w:val="auto"/>
        </w:rPr>
        <w:t>of Common Stock which may be issued under this Plan, which may be either unauthorized and unissued Common Stock or issued Common Stock reacquired by the Company ("Plan Shares"), shall be:</w:t>
      </w:r>
    </w:p>
    <w:p>
      <w:pPr>
        <w:spacing w:after="0" w:line="160" w:lineRule="exact"/>
        <w:rPr>
          <w:sz w:val="20"/>
          <w:szCs w:val="20"/>
          <w:color w:val="auto"/>
        </w:rPr>
      </w:pPr>
    </w:p>
    <w:p>
      <w:pPr>
        <w:ind w:left="1680" w:hanging="881"/>
        <w:spacing w:after="0"/>
        <w:tabs>
          <w:tab w:leader="none" w:pos="1680" w:val="left"/>
        </w:tabs>
        <w:numPr>
          <w:ilvl w:val="0"/>
          <w:numId w:val="4"/>
        </w:numPr>
        <w:rPr>
          <w:rFonts w:ascii="Arial" w:cs="Arial" w:eastAsia="Arial" w:hAnsi="Arial"/>
          <w:sz w:val="22"/>
          <w:szCs w:val="22"/>
          <w:color w:val="auto"/>
        </w:rPr>
      </w:pPr>
      <w:r>
        <w:rPr>
          <w:rFonts w:ascii="Arial" w:cs="Arial" w:eastAsia="Arial" w:hAnsi="Arial"/>
          <w:sz w:val="22"/>
          <w:szCs w:val="22"/>
          <w:color w:val="auto"/>
        </w:rPr>
        <w:t>2,000,000 shares; plus</w:t>
      </w:r>
    </w:p>
    <w:p>
      <w:pPr>
        <w:spacing w:after="0" w:line="192" w:lineRule="exact"/>
        <w:rPr>
          <w:rFonts w:ascii="Arial" w:cs="Arial" w:eastAsia="Arial" w:hAnsi="Arial"/>
          <w:sz w:val="22"/>
          <w:szCs w:val="22"/>
          <w:color w:val="auto"/>
        </w:rPr>
      </w:pPr>
    </w:p>
    <w:p>
      <w:pPr>
        <w:ind w:left="1700" w:hanging="901"/>
        <w:spacing w:after="0"/>
        <w:tabs>
          <w:tab w:leader="none" w:pos="1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Shares subject to Awards made under this Plan prior to April 1, 2018.</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Determinations as to the number of Plan Shares that remain available for issuance under the</w:t>
      </w:r>
    </w:p>
    <w:p>
      <w:pPr>
        <w:spacing w:after="0" w:line="29" w:lineRule="exact"/>
        <w:rPr>
          <w:sz w:val="20"/>
          <w:szCs w:val="20"/>
          <w:color w:val="auto"/>
        </w:rPr>
      </w:pPr>
    </w:p>
    <w:p>
      <w:pPr>
        <w:ind w:left="160" w:right="139"/>
        <w:spacing w:after="0" w:line="251" w:lineRule="auto"/>
        <w:rPr>
          <w:sz w:val="20"/>
          <w:szCs w:val="20"/>
          <w:color w:val="auto"/>
        </w:rPr>
      </w:pPr>
      <w:r>
        <w:rPr>
          <w:rFonts w:ascii="Arial" w:cs="Arial" w:eastAsia="Arial" w:hAnsi="Arial"/>
          <w:sz w:val="19"/>
          <w:szCs w:val="19"/>
          <w:color w:val="auto"/>
        </w:rPr>
        <w:t>Plan shall be made in accordance with such rules and procedures as the Committee shall determine from time to time. If an Award expires unexercised or is forfeited, canceled, terminated, or settled in cash in lieu of Common Stock, the shares of Common Stock that were theretofore subject (or potentially subject) to such Award may again be made subject to an Award Agreement.</w:t>
      </w:r>
    </w:p>
    <w:p>
      <w:pPr>
        <w:spacing w:after="0" w:line="148" w:lineRule="exact"/>
        <w:rPr>
          <w:sz w:val="20"/>
          <w:szCs w:val="20"/>
          <w:color w:val="auto"/>
        </w:rPr>
      </w:pPr>
    </w:p>
    <w:p>
      <w:pPr>
        <w:ind w:left="960" w:hanging="809"/>
        <w:spacing w:after="0"/>
        <w:tabs>
          <w:tab w:leader="none" w:pos="96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all other respects the Plan shall continue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281940</wp:posOffset>
            </wp:positionV>
            <wp:extent cx="554863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86" w:right="1440"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22"/>
          <w:szCs w:val="22"/>
          <w:b w:val="1"/>
          <w:bCs w:val="1"/>
          <w:u w:val="single" w:color="auto"/>
          <w:color w:val="auto"/>
        </w:rPr>
        <w:t>CERTIFICATION</w:t>
      </w:r>
    </w:p>
    <w:p>
      <w:pPr>
        <w:spacing w:after="0" w:line="186" w:lineRule="exact"/>
        <w:rPr>
          <w:sz w:val="20"/>
          <w:szCs w:val="20"/>
          <w:color w:val="auto"/>
        </w:rPr>
      </w:pPr>
    </w:p>
    <w:p>
      <w:pPr>
        <w:jc w:val="center"/>
        <w:ind w:right="-300"/>
        <w:spacing w:after="0"/>
        <w:rPr>
          <w:sz w:val="20"/>
          <w:szCs w:val="20"/>
          <w:color w:val="auto"/>
        </w:rPr>
      </w:pPr>
      <w:r>
        <w:rPr>
          <w:rFonts w:ascii="Arial" w:cs="Arial" w:eastAsia="Arial" w:hAnsi="Arial"/>
          <w:sz w:val="21"/>
          <w:szCs w:val="21"/>
          <w:color w:val="auto"/>
        </w:rPr>
        <w:t>The foregoing Amendment to the Plan was adopted by the Board of Directors on April 2,</w:t>
      </w:r>
    </w:p>
    <w:p>
      <w:pPr>
        <w:spacing w:after="0" w:line="6" w:lineRule="exact"/>
        <w:rPr>
          <w:sz w:val="20"/>
          <w:szCs w:val="20"/>
          <w:color w:val="auto"/>
        </w:rPr>
      </w:pPr>
    </w:p>
    <w:p>
      <w:pPr>
        <w:ind w:left="160"/>
        <w:spacing w:after="0"/>
        <w:rPr>
          <w:sz w:val="20"/>
          <w:szCs w:val="20"/>
          <w:color w:val="auto"/>
        </w:rPr>
      </w:pPr>
      <w:r>
        <w:rPr>
          <w:rFonts w:ascii="Arial" w:cs="Arial" w:eastAsia="Arial" w:hAnsi="Arial"/>
          <w:sz w:val="22"/>
          <w:szCs w:val="22"/>
          <w:color w:val="auto"/>
        </w:rPr>
        <w:t>2018.</w:t>
      </w:r>
    </w:p>
    <w:p>
      <w:pPr>
        <w:spacing w:after="0" w:line="179" w:lineRule="exact"/>
        <w:rPr>
          <w:sz w:val="20"/>
          <w:szCs w:val="20"/>
          <w:color w:val="auto"/>
        </w:rPr>
      </w:pPr>
    </w:p>
    <w:p>
      <w:pPr>
        <w:jc w:val="right"/>
        <w:ind w:right="139"/>
        <w:spacing w:after="0"/>
        <w:rPr>
          <w:sz w:val="20"/>
          <w:szCs w:val="20"/>
          <w:color w:val="auto"/>
        </w:rPr>
      </w:pPr>
      <w:r>
        <w:rPr>
          <w:rFonts w:ascii="Arial" w:cs="Arial" w:eastAsia="Arial" w:hAnsi="Arial"/>
          <w:sz w:val="20"/>
          <w:szCs w:val="20"/>
          <w:color w:val="auto"/>
        </w:rPr>
        <w:t>UNIVERSAL FOREST PRODUCTS, INC.</w:t>
      </w:r>
    </w:p>
    <w:p>
      <w:pPr>
        <w:spacing w:after="0" w:line="360" w:lineRule="exact"/>
        <w:rPr>
          <w:sz w:val="20"/>
          <w:szCs w:val="20"/>
          <w:color w:val="auto"/>
        </w:rPr>
      </w:pPr>
    </w:p>
    <w:p>
      <w:pPr>
        <w:ind w:left="4940"/>
        <w:spacing w:after="0"/>
        <w:tabs>
          <w:tab w:leader="none" w:pos="59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David A. Tutas</w:t>
      </w:r>
    </w:p>
    <w:p>
      <w:pPr>
        <w:spacing w:after="0" w:line="193" w:lineRule="exact"/>
        <w:rPr>
          <w:sz w:val="20"/>
          <w:szCs w:val="20"/>
          <w:color w:val="auto"/>
        </w:rPr>
      </w:pPr>
    </w:p>
    <w:p>
      <w:pPr>
        <w:ind w:left="5080"/>
        <w:spacing w:after="0"/>
        <w:tabs>
          <w:tab w:leader="none" w:pos="6100" w:val="left"/>
        </w:tabs>
        <w:rPr>
          <w:sz w:val="20"/>
          <w:szCs w:val="20"/>
          <w:color w:val="auto"/>
        </w:rPr>
      </w:pPr>
      <w:r>
        <w:rPr>
          <w:rFonts w:ascii="Arial" w:cs="Arial" w:eastAsia="Arial" w:hAnsi="Arial"/>
          <w:sz w:val="22"/>
          <w:szCs w:val="22"/>
          <w:color w:val="auto"/>
        </w:rPr>
        <w:t>Its:</w:t>
      </w:r>
      <w:r>
        <w:rPr>
          <w:sz w:val="20"/>
          <w:szCs w:val="20"/>
          <w:color w:val="auto"/>
        </w:rPr>
        <w:tab/>
      </w:r>
      <w:r>
        <w:rPr>
          <w:rFonts w:ascii="Arial" w:cs="Arial" w:eastAsia="Arial" w:hAnsi="Arial"/>
          <w:sz w:val="22"/>
          <w:szCs w:val="22"/>
          <w:u w:val="single" w:color="auto"/>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419100</wp:posOffset>
            </wp:positionV>
            <wp:extent cx="554863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9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upperLetter"/>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2019-12-06T01:49:39Z</dcterms:created>
  <dcterms:modified xsi:type="dcterms:W3CDTF">2019-12-06T01:49:39Z</dcterms:modified>
</cp:coreProperties>
</file>