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5</w:t>
            </w:r>
          </w:p>
        </w:tc>
        <w:tc>
          <w:tcPr>
            <w:tcW w:w="6180" w:type="dxa"/>
            <w:vAlign w:val="bottom"/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0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180" w:type="dxa"/>
            <w:vAlign w:val="bottom"/>
            <w:gridSpan w:val="21"/>
            <w:vMerge w:val="restart"/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ANNUAL STATEMENT OF CHANGES IN BENEFICIAL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80" w:type="dxa"/>
            <w:vAlign w:val="bottom"/>
            <w:gridSpan w:val="2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restart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  <w:vMerge w:val="restart"/>
          </w:tcPr>
          <w:p>
            <w:pPr>
              <w:jc w:val="center"/>
              <w:ind w:left="8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2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22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MISSAD MATTHEW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BELTLINE, N.E.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GRAND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RAPIDS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4. Securities Acquired (A) 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Of (D) 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Owned at end of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Indirect (I)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Year (Instr. 3 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12/13/2022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2,500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82.91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315,209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79.25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602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02/28/2022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4,750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85.75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6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2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2,569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3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90,464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9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7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5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-7367905</wp:posOffset>
            </wp:positionV>
            <wp:extent cx="7045960" cy="7381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38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02/13/2023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86284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2023-02-22T10:02:44Z</dcterms:created>
  <dcterms:modified xsi:type="dcterms:W3CDTF">2023-02-22T10:02:44Z</dcterms:modified>
</cp:coreProperties>
</file>