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Benton Patrick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UFP Construction, LLC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13,161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123,046</w:t>
            </w:r>
          </w:p>
        </w:tc>
        <w:tc>
          <w:tcPr>
            <w:tcW w:w="9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39,071</w:t>
            </w:r>
          </w:p>
        </w:tc>
        <w:tc>
          <w:tcPr>
            <w:tcW w:w="9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16,040</w:t>
            </w:r>
          </w:p>
        </w:tc>
        <w:tc>
          <w:tcPr>
            <w:tcW w:w="9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6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</w:t>
        <w:tab/>
        <w:t>03/08/2023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M. 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310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2023-03-08T08:42:18Z</dcterms:created>
  <dcterms:modified xsi:type="dcterms:W3CDTF">2023-03-08T08:42:18Z</dcterms:modified>
</cp:coreProperties>
</file>