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064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648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GRANGER JOSEPH F</w:t>
        </w:r>
      </w:hyperlink>
    </w:p>
    <w:p>
      <w:pPr>
        <w:spacing w:after="0" w:line="31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0000FF"/>
              </w:rPr>
              <w:t>2801 EAST BELTLINE NE</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7"/>
                <w:szCs w:val="17"/>
                <w:color w:val="0000FF"/>
              </w:rPr>
              <w:t>MI</w:t>
            </w:r>
          </w:p>
        </w:tc>
        <w:tc>
          <w:tcPr>
            <w:tcW w:w="1560" w:type="dxa"/>
            <w:vAlign w:val="bottom"/>
            <w:vMerge w:val="restart"/>
          </w:tcPr>
          <w:p>
            <w:pPr>
              <w:ind w:left="300"/>
              <w:spacing w:after="0"/>
              <w:rPr>
                <w:sz w:val="20"/>
                <w:szCs w:val="20"/>
                <w:color w:val="auto"/>
              </w:rPr>
            </w:pPr>
            <w:r>
              <w:rPr>
                <w:rFonts w:ascii="Arial" w:cs="Arial" w:eastAsia="Arial" w:hAnsi="Arial"/>
                <w:sz w:val="17"/>
                <w:szCs w:val="17"/>
                <w:color w:val="0000FF"/>
              </w:rPr>
              <w:t>49525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7"/>
                <w:szCs w:val="17"/>
                <w:color w:val="0000FF"/>
              </w:rPr>
              <w:t>RAPIDS</w:t>
            </w:r>
          </w:p>
        </w:tc>
        <w:tc>
          <w:tcPr>
            <w:tcW w:w="130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2"/>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UFPI </w:t>
            </w:r>
            <w:r>
              <w:rPr>
                <w:rFonts w:ascii="Arial" w:cs="Arial" w:eastAsia="Arial" w:hAnsi="Arial"/>
                <w:sz w:val="20"/>
                <w:szCs w:val="20"/>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6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80"/>
              <w:spacing w:after="0" w:line="188" w:lineRule="exact"/>
              <w:rPr>
                <w:sz w:val="20"/>
                <w:szCs w:val="20"/>
                <w:color w:val="auto"/>
              </w:rPr>
            </w:pPr>
            <w:r>
              <w:rPr>
                <w:rFonts w:ascii="Arial" w:cs="Arial" w:eastAsia="Arial" w:hAnsi="Arial"/>
                <w:sz w:val="17"/>
                <w:szCs w:val="17"/>
                <w:color w:val="0000FF"/>
              </w:rPr>
              <w:t>Executive VP Sales &amp; Marketing</w:t>
            </w:r>
          </w:p>
        </w:tc>
        <w:tc>
          <w:tcPr>
            <w:tcW w:w="0" w:type="dxa"/>
            <w:vAlign w:val="bottom"/>
          </w:tcPr>
          <w:p>
            <w:pPr>
              <w:spacing w:after="0"/>
              <w:rPr>
                <w:sz w:val="1"/>
                <w:szCs w:val="1"/>
                <w:color w:val="auto"/>
              </w:rPr>
            </w:pPr>
          </w:p>
        </w:tc>
      </w:tr>
      <w:tr>
        <w:trPr>
          <w:trHeight w:val="215"/>
        </w:trPr>
        <w:tc>
          <w:tcPr>
            <w:tcW w:w="3640" w:type="dxa"/>
            <w:vAlign w:val="bottom"/>
            <w:gridSpan w:val="2"/>
          </w:tcPr>
          <w:p>
            <w:pPr>
              <w:ind w:left="60"/>
              <w:spacing w:after="0"/>
              <w:rPr>
                <w:sz w:val="20"/>
                <w:szCs w:val="20"/>
                <w:color w:val="auto"/>
              </w:rPr>
            </w:pPr>
            <w:r>
              <w:rPr>
                <w:rFonts w:ascii="Arial" w:cs="Arial" w:eastAsia="Arial" w:hAnsi="Arial"/>
                <w:sz w:val="17"/>
                <w:szCs w:val="17"/>
                <w:color w:val="0000FF"/>
              </w:rPr>
              <w:t>06/14/2011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44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06/14/2011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J/K</w:t>
            </w:r>
            <w:r>
              <w:rPr>
                <w:rFonts w:ascii="Arial" w:cs="Arial" w:eastAsia="Arial" w:hAnsi="Arial"/>
                <w:sz w:val="21"/>
                <w:szCs w:val="21"/>
                <w:color w:val="008000"/>
                <w:vertAlign w:val="superscript"/>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10,000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1"/>
                <w:szCs w:val="11"/>
                <w:color w:val="008000"/>
              </w:rPr>
              <w:t>(1)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11,918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3,586</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4"/>
              </w:rPr>
              <w:t>135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Def.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3"/>
              </w:rPr>
              <w:t>3,029</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Comp.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Interest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40" w:type="dxa"/>
            <w:vAlign w:val="bottom"/>
            <w:tcBorders>
              <w:bottom w:val="single" w:sz="8" w:color="2C2C2C"/>
            </w:tcBorders>
            <w:gridSpan w:val="10"/>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320" w:type="dxa"/>
            <w:vAlign w:val="bottom"/>
            <w:tcBorders>
              <w:top w:val="single" w:sz="8" w:color="2C2C2C"/>
            </w:tcBorders>
            <w:gridSpan w:val="11"/>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 (Instr.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3)</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0000FF"/>
              </w:rPr>
              <w:t>Forward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0000FF"/>
              </w:rPr>
              <w:t>Contract</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ind w:left="240"/>
              <w:spacing w:after="0"/>
              <w:rPr>
                <w:sz w:val="20"/>
                <w:szCs w:val="20"/>
                <w:color w:val="auto"/>
              </w:rPr>
            </w:pPr>
            <w:r>
              <w:rPr>
                <w:rFonts w:ascii="Arial" w:cs="Arial" w:eastAsia="Arial" w:hAnsi="Arial"/>
                <w:sz w:val="13"/>
                <w:szCs w:val="13"/>
                <w:color w:val="0000FF"/>
              </w:rPr>
              <w:t>06/14/2011</w:t>
            </w:r>
          </w:p>
        </w:tc>
        <w:tc>
          <w:tcPr>
            <w:tcW w:w="1100" w:type="dxa"/>
            <w:vAlign w:val="bottom"/>
          </w:tcPr>
          <w:p>
            <w:pPr>
              <w:spacing w:after="0"/>
              <w:rPr>
                <w:sz w:val="16"/>
                <w:szCs w:val="16"/>
                <w:color w:val="auto"/>
              </w:rPr>
            </w:pPr>
          </w:p>
        </w:tc>
        <w:tc>
          <w:tcPr>
            <w:tcW w:w="620" w:type="dxa"/>
            <w:vAlign w:val="bottom"/>
          </w:tcPr>
          <w:p>
            <w:pPr>
              <w:ind w:left="80"/>
              <w:spacing w:after="0" w:line="192" w:lineRule="exact"/>
              <w:rPr>
                <w:sz w:val="20"/>
                <w:szCs w:val="20"/>
                <w:color w:val="auto"/>
              </w:rPr>
            </w:pPr>
            <w:r>
              <w:rPr>
                <w:rFonts w:ascii="Arial" w:cs="Arial" w:eastAsia="Arial" w:hAnsi="Arial"/>
                <w:sz w:val="13"/>
                <w:szCs w:val="13"/>
                <w:color w:val="0000FF"/>
              </w:rPr>
              <w:t>J/K</w:t>
            </w:r>
            <w:r>
              <w:rPr>
                <w:rFonts w:ascii="Arial" w:cs="Arial" w:eastAsia="Arial" w:hAnsi="Arial"/>
                <w:sz w:val="21"/>
                <w:szCs w:val="21"/>
                <w:color w:val="008000"/>
                <w:vertAlign w:val="superscript"/>
              </w:rPr>
              <w:t>(2)</w:t>
            </w:r>
          </w:p>
        </w:tc>
        <w:tc>
          <w:tcPr>
            <w:tcW w:w="200" w:type="dxa"/>
            <w:vAlign w:val="bottom"/>
          </w:tcPr>
          <w:p>
            <w:pPr>
              <w:spacing w:after="0"/>
              <w:rPr>
                <w:sz w:val="16"/>
                <w:szCs w:val="16"/>
                <w:color w:val="auto"/>
              </w:rPr>
            </w:pPr>
          </w:p>
        </w:tc>
        <w:tc>
          <w:tcPr>
            <w:tcW w:w="840" w:type="dxa"/>
            <w:vAlign w:val="bottom"/>
          </w:tcPr>
          <w:p>
            <w:pPr>
              <w:ind w:left="400"/>
              <w:spacing w:after="0"/>
              <w:rPr>
                <w:sz w:val="20"/>
                <w:szCs w:val="20"/>
                <w:color w:val="auto"/>
              </w:rPr>
            </w:pPr>
            <w:r>
              <w:rPr>
                <w:rFonts w:ascii="Arial" w:cs="Arial" w:eastAsia="Arial" w:hAnsi="Arial"/>
                <w:sz w:val="13"/>
                <w:szCs w:val="13"/>
                <w:color w:val="0000FF"/>
              </w:rPr>
              <w:t>10,000</w:t>
            </w:r>
          </w:p>
        </w:tc>
        <w:tc>
          <w:tcPr>
            <w:tcW w:w="780" w:type="dxa"/>
            <w:vAlign w:val="bottom"/>
          </w:tcPr>
          <w:p>
            <w:pPr>
              <w:ind w:left="80"/>
              <w:spacing w:after="0"/>
              <w:rPr>
                <w:sz w:val="20"/>
                <w:szCs w:val="20"/>
                <w:color w:val="auto"/>
              </w:rPr>
            </w:pPr>
            <w:r>
              <w:rPr>
                <w:rFonts w:ascii="Arial" w:cs="Arial" w:eastAsia="Arial" w:hAnsi="Arial"/>
                <w:sz w:val="13"/>
                <w:szCs w:val="13"/>
                <w:color w:val="0000FF"/>
              </w:rPr>
              <w:t>06/14/2011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06/14/2011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92" w:lineRule="exact"/>
              <w:rPr>
                <w:sz w:val="20"/>
                <w:szCs w:val="20"/>
                <w:color w:val="auto"/>
              </w:rPr>
            </w:pPr>
            <w:r>
              <w:rPr>
                <w:rFonts w:ascii="Arial" w:cs="Arial" w:eastAsia="Arial" w:hAnsi="Arial"/>
                <w:sz w:val="17"/>
                <w:szCs w:val="17"/>
                <w:color w:val="0000FF"/>
                <w:w w:val="99"/>
              </w:rPr>
              <w:t>10,000</w:t>
            </w:r>
          </w:p>
        </w:tc>
        <w:tc>
          <w:tcPr>
            <w:tcW w:w="740" w:type="dxa"/>
            <w:vAlign w:val="bottom"/>
            <w:gridSpan w:val="2"/>
          </w:tcPr>
          <w:p>
            <w:pPr>
              <w:jc w:val="right"/>
              <w:ind w:right="26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80" w:type="dxa"/>
            <w:vAlign w:val="bottom"/>
          </w:tcPr>
          <w:p>
            <w:pPr>
              <w:ind w:left="60"/>
              <w:spacing w:after="0" w:line="106" w:lineRule="exact"/>
              <w:rPr>
                <w:sz w:val="20"/>
                <w:szCs w:val="20"/>
                <w:color w:val="auto"/>
              </w:rPr>
            </w:pPr>
            <w:r>
              <w:rPr>
                <w:rFonts w:ascii="Arial" w:cs="Arial" w:eastAsia="Arial" w:hAnsi="Arial"/>
                <w:sz w:val="12"/>
                <w:szCs w:val="12"/>
                <w:color w:val="0000FF"/>
              </w:rPr>
              <w:t>(right/obligation</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6"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settlement of the Forward Contract referenced in Table II and the release of any deemed interest in the 10,000 shares delivered in connection with the statement of that Forward Contract.</w:t>
      </w:r>
    </w:p>
    <w:p>
      <w:pPr>
        <w:spacing w:after="0" w:line="57" w:lineRule="exact"/>
        <w:rPr>
          <w:rFonts w:ascii="Arial" w:cs="Arial" w:eastAsia="Arial" w:hAnsi="Arial"/>
          <w:sz w:val="12"/>
          <w:szCs w:val="12"/>
          <w:color w:val="008000"/>
        </w:rPr>
      </w:pPr>
    </w:p>
    <w:p>
      <w:pPr>
        <w:ind w:left="40" w:right="20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June 14, 2011, Joseph F. Granger settled his obligations under a prepaid variable forward sale contract ("Forward Contract") entered into on June 13, 2006 with Dresdner, Kleinwart Wasserstein Securities ("Dresdner"). As of that date, Mr. Granger settled his obligations by delivering 10,000 shares of issuer stock, which were previously pledged to Dresdner.</w:t>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-10160</wp:posOffset>
            </wp:positionV>
            <wp:extent cx="1311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 in Fact for Joseph F.</w:t>
      </w:r>
      <w:r>
        <w:rPr>
          <w:sz w:val="20"/>
          <w:szCs w:val="20"/>
          <w:color w:val="auto"/>
        </w:rPr>
        <w:tab/>
      </w:r>
      <w:r>
        <w:rPr>
          <w:rFonts w:ascii="Arial" w:cs="Arial" w:eastAsia="Arial" w:hAnsi="Arial"/>
          <w:sz w:val="15"/>
          <w:szCs w:val="15"/>
          <w:color w:val="0000FF"/>
        </w:rPr>
        <w:t>06/16/2011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-13970</wp:posOffset>
            </wp:positionV>
            <wp:extent cx="1939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-13970</wp:posOffset>
            </wp:positionV>
            <wp:extent cx="353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3060"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2019-12-16T09:59:36Z</dcterms:created>
  <dcterms:modified xsi:type="dcterms:W3CDTF">2019-12-16T09:59:36Z</dcterms:modified>
</cp:coreProperties>
</file>