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July 13, 2011</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Universal Forest Products,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300" w:right="259" w:bottom="1440" w:gutter="0" w:footer="0" w:header="0"/>
        </w:sectPr>
      </w:pPr>
    </w:p>
    <w:p>
      <w:pPr>
        <w:spacing w:after="0" w:line="2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0-22684</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38-1465835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860" w:space="720"/>
            <w:col w:w="3100"/>
          </w:cols>
          <w:pgMar w:left="240" w:top="300" w:right="259" w:bottom="1440" w:gutter="0" w:footer="0" w:header="0"/>
          <w:type w:val="continuous"/>
        </w:sectPr>
      </w:pPr>
    </w:p>
    <w:p>
      <w:pPr>
        <w:spacing w:after="0" w:line="30"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Grand Rapids, Michigan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49525</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460" w:space="720"/>
            <w:col w:w="3220"/>
          </w:cols>
          <w:pgMar w:left="240" w:top="300"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5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On July 13, 2011, the Registrant issued a press release announcing its financial results for the quarter ended June 25, 2011. A copy of the Registrant’s press release is attached as Exhibit 99(a) to this Current Report.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Pro Forma Financial Information, and Exhibits</w:t>
      </w:r>
    </w:p>
    <w:p>
      <w:pPr>
        <w:spacing w:after="0" w:line="256" w:lineRule="exact"/>
        <w:rPr>
          <w:sz w:val="20"/>
          <w:szCs w:val="20"/>
          <w:color w:val="auto"/>
        </w:rPr>
      </w:pPr>
    </w:p>
    <w:p>
      <w:pPr>
        <w:ind w:left="1960" w:hanging="655"/>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color w:val="auto"/>
        </w:rPr>
        <w:t>Press Release dated July 13, 2011.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Dated:  July 13, 2011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 R. Cole, Chief Financial Officer and Treasurer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78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0"/>
        </w:trPr>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99(a)</w:t>
            </w:r>
          </w:p>
        </w:tc>
        <w:tc>
          <w:tcPr>
            <w:tcW w:w="78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Press Release dated July 13, 2011.</w:t>
            </w:r>
          </w:p>
        </w:tc>
      </w:tr>
      <w:tr>
        <w:trPr>
          <w:trHeight w:val="20"/>
        </w:trPr>
        <w:tc>
          <w:tcPr>
            <w:tcW w:w="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322580</wp:posOffset>
            </wp:positionV>
            <wp:extent cx="2298065" cy="883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AT THE COMPANY</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Afendoulis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(616) 365-1502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WEDNESDAY, July 13, 2011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UFPI Q2 sales, profits decline; weak market conditions impact results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—Company remains well-positioned for success as markets improve—</w:t>
      </w:r>
    </w:p>
    <w:p>
      <w:pPr>
        <w:spacing w:after="0" w:line="2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GRAND RAPIDS, Mich., July 13, 2011 – Universal Forest Products, Inc. (Nasdaq: UFPI) today reported second-quarter 2011 results, including net sales of $544.1 million, a decrease of almost 15% from net sales of $638.6 million for the same period of 2010. Sales were hampered by weak consumer spending on larger-ticket home-improvement items like fencing and decking during what historically is the busiest selling season of the year. Unit sales decreased an estimated 5% for the quarter; selling prices were down an estimated 10%, due to lower lumber prices, compared to the second quarter of 2010. Additionally, last year’s sales were boosted by the federal stimulus program, including the housing tax credit, which expired at the end of April 2010. Decreases in second-quarter 2011 unit sales to the retail building materials, residential construction and manufactured housing markets were offset by increases in unit sales to the commercial construction and concrete forming and industrial markets.</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earnings for the quarter were $4.3 million, or $0.22 per diluted share, compared to net earnings of $13.7 million, or $0.70 per diluted share, for the same period of 2010. Profits in the quarter were negatively affected by severance and early retirement charges totaling $0.11 per diluted share after deducting income tax expense.</w:t>
      </w:r>
    </w:p>
    <w:p>
      <w:pPr>
        <w:spacing w:after="0" w:line="20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“These are challenging times, but we are positioning the Company for better results. We have cut costs and implemented plans intended to maintain our strengths and capitalize on our opportunities moving forward,” said outgoing CEO Michael B. Glenn. “We’re maintaining a keen focus on costs and on prudent, conservative decision-making that will create opportunities for sustainable growth and success.”</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0" w:lineRule="exact"/>
        <w:rPr>
          <w:sz w:val="20"/>
          <w:szCs w:val="20"/>
          <w:color w:val="auto"/>
        </w:rPr>
      </w:pPr>
    </w:p>
    <w:p>
      <w:pPr>
        <w:spacing w:after="0" w:line="277"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In June 2011, the Company announced measures to align its costs with its business, including cuts that are expected to result in annualized savings of approximately $10 million. The Company also announced organizational changes intended to more strongly position it for improving sales and profitability.</w:t>
      </w:r>
    </w:p>
    <w:p>
      <w:pPr>
        <w:spacing w:after="0" w:line="16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Weak retail sales posed a major challenge for the Company in the second quarter. Additionally, a declining lumber market in 2011 until June hurt the Company’s margins. However, after 11 straight weeks of decline, the lumber market stopped its fall and remained stable through the month. The composite lumber price was down approximately 16% in the second quarter of 2011 compared to the same period of last year, but was just 1.9% lower in June 2011 from June 2010.</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June of this year, the lumber market began to stabilize and we began to see improvement in our year-over-year comparisons,” Glenn explained. “While we still have our challenges – a soft economy, rising fuel costs, uncertain markets – we are as well-positioned as ever with a solid balance sheet, efficient operations, highly skilled employees and a diversified business model.”</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market, Universal posted the following gross sales results for the second quarter (the following reflects the Company’s recent reclassification of customers into five categories, from the previous four, to more accurately depict the growing scope of its work):</w:t>
      </w:r>
    </w:p>
    <w:p>
      <w:pPr>
        <w:spacing w:after="0" w:line="1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Retail building materials: $287.5 million, a decrease of 18.6% from the same period of 2010. </w:t>
      </w:r>
      <w:r>
        <w:rPr>
          <w:rFonts w:ascii="Times New Roman" w:cs="Times New Roman" w:eastAsia="Times New Roman" w:hAnsi="Times New Roman"/>
          <w:sz w:val="18"/>
          <w:szCs w:val="18"/>
          <w:i w:val="1"/>
          <w:iCs w:val="1"/>
          <w:color w:val="auto"/>
        </w:rPr>
        <w:t>(This category includes Do-It-Yourself retailers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distributors, pro-dealers and other retail customers.) </w:t>
      </w:r>
      <w:r>
        <w:rPr>
          <w:rFonts w:ascii="Times New Roman" w:cs="Times New Roman" w:eastAsia="Times New Roman" w:hAnsi="Times New Roman"/>
          <w:sz w:val="18"/>
          <w:szCs w:val="18"/>
          <w:color w:val="auto"/>
        </w:rPr>
        <w:t>Unit sales were down approximately 8%, coupled with an 11% decrease in selling prices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lumber market. The quarter’s results were affected by weak retail sales in some of the Company’s larger product categories, such as decks and fencing. As housing prices have dipped and homeowners have struggled to maintain equity in their real estate investments, they have delayed plans to build larger-ticket items like decks and fences. The Company believes this business will rebound as the economy improves. The Company also remains dedicated to diversifying its customer base by continuing to grow sales with independent retailers and distributors.</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Industrial packaging/components: $126.5 million, a decrease of 2.0% from the same period of 2010. </w:t>
      </w:r>
      <w:r>
        <w:rPr>
          <w:rFonts w:ascii="Times New Roman" w:cs="Times New Roman" w:eastAsia="Times New Roman" w:hAnsi="Times New Roman"/>
          <w:sz w:val="18"/>
          <w:szCs w:val="18"/>
          <w:i w:val="1"/>
          <w:iCs w:val="1"/>
          <w:color w:val="auto"/>
        </w:rPr>
        <w:t>(This category still includes packaging, crating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and other products for manufacturers; however, it no longer includes concrete forming, which has been grouped with commercial construction.) </w:t>
      </w:r>
      <w:r>
        <w:rPr>
          <w:rFonts w:ascii="Times New Roman" w:cs="Times New Roman" w:eastAsia="Times New Roman" w:hAnsi="Times New Roman"/>
          <w:sz w:val="18"/>
          <w:szCs w:val="18"/>
          <w:color w:val="auto"/>
        </w:rPr>
        <w:t>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unit sales of 7% was offset by a 9% decrease in selling prices due to the lumber market. While growth in this market slowed during the quarter, it remains an area of enormous opportunity for sales and profitability for the Company, and an area of focus. The Company netted approximately 300 new customers in this category during the second quarter of 2011; however, our rate of growth of business with existing customers declined somewhat, reflecting soft manufacturing output in the United States. The Company continues to pick up market share and is focused on growing its business in this still-largely fragmented industry.</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0" w:lineRule="exact"/>
        <w:rPr>
          <w:sz w:val="20"/>
          <w:szCs w:val="20"/>
          <w:color w:val="auto"/>
        </w:rPr>
      </w:pPr>
    </w:p>
    <w:p>
      <w:pPr>
        <w:spacing w:after="0" w:line="2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Manufactured housing: $64.6 million, down 22.0% from the same period of 2010. </w:t>
      </w:r>
      <w:r>
        <w:rPr>
          <w:rFonts w:ascii="Times New Roman" w:cs="Times New Roman" w:eastAsia="Times New Roman" w:hAnsi="Times New Roman"/>
          <w:sz w:val="18"/>
          <w:szCs w:val="18"/>
          <w:i w:val="1"/>
          <w:iCs w:val="1"/>
          <w:color w:val="auto"/>
        </w:rPr>
        <w:t>(As indicated, this category includes manufactured housing and RV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An 11% decline in unit sales was coupled with an 11% decrease in selling prices. The industry saw a 14% decline in HUD-code shipments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months of April and May 2011, the latest statistics available. Second-quarter shipment statistics for modular homes were not available, although the first quarter saw a decline of 3.2% from the same period of 2010. The Company continues to expand the products it offers to customers in this category through its expanded distribution business.</w:t>
      </w:r>
    </w:p>
    <w:p>
      <w:pPr>
        <w:spacing w:after="0" w:line="20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Residential construction: $56.7 million, a decrease of 15.5% from the same period of 2010. </w:t>
      </w:r>
      <w:r>
        <w:rPr>
          <w:rFonts w:ascii="Times New Roman" w:cs="Times New Roman" w:eastAsia="Times New Roman" w:hAnsi="Times New Roman"/>
          <w:sz w:val="18"/>
          <w:szCs w:val="18"/>
          <w:i w:val="1"/>
          <w:iCs w:val="1"/>
          <w:color w:val="auto"/>
        </w:rPr>
        <w:t>(This category includes builders of single- and multifamily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homes.) </w:t>
      </w:r>
      <w:r>
        <w:rPr>
          <w:rFonts w:ascii="Times New Roman" w:cs="Times New Roman" w:eastAsia="Times New Roman" w:hAnsi="Times New Roman"/>
          <w:sz w:val="18"/>
          <w:szCs w:val="18"/>
          <w:color w:val="auto"/>
        </w:rPr>
        <w:t>Unit sales were down approximately 7% and selling prices were down approximately 8%, due to the lumber market. The most recent statistics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indicate that single family housing starts were down 20% from March through May 2011 from the same period of 2010, while multifamily starts increased 34% from March through May 2011 over 2010. The Company remains focused on multifamily and government projects, where it sees more opportunity for growth than in single-family residential construction.</w:t>
      </w:r>
    </w:p>
    <w:p>
      <w:pPr>
        <w:spacing w:after="0" w:line="20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construction and concrete forming: $20.8 million, up 23.2% over the second quarter of 2010. </w:t>
      </w:r>
      <w:r>
        <w:rPr>
          <w:rFonts w:ascii="Times New Roman" w:cs="Times New Roman" w:eastAsia="Times New Roman" w:hAnsi="Times New Roman"/>
          <w:sz w:val="18"/>
          <w:szCs w:val="18"/>
          <w:i w:val="1"/>
          <w:iCs w:val="1"/>
          <w:color w:val="auto"/>
        </w:rPr>
        <w:t>(This includes non-residential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and concrete forming.) </w:t>
      </w:r>
      <w:r>
        <w:rPr>
          <w:rFonts w:ascii="Times New Roman" w:cs="Times New Roman" w:eastAsia="Times New Roman" w:hAnsi="Times New Roman"/>
          <w:sz w:val="18"/>
          <w:szCs w:val="18"/>
          <w:color w:val="auto"/>
        </w:rPr>
        <w:t>A 39% increase in unit sales was offset by a 16% decrease in selling prices, due to the lumber market. Industry wide, nonresidential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projects were down 6.3% year-to-date in May 2011 from the same period of 2010, indicating the Company is picking up share in this market and substantiating the validity of its focus on growing business in commercial construction and concrete forming.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believes continued challenging economic conditions and uncertainties in the housing market limit its ability to provide meaningful guidance for ranges of likely financial performance; therefore, the Company will not resume the practice of providing guidance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Universal Forest Products will conduct a conference call to discuss information included in this news release and related matters at 8:30 a.m. ET on Thurs., July 14, 2011. The call will be hosted by outgoing CEO Michael B. Glenn and CFO Michael Cole, and will be available for analysts and institutional investors domestically at 866-202-0886 or internationally at 617-213-8841. Use conference pass code 11302414. The conference call will be available simultaneously and in its entirety to all interested investors and news media through a webcast at </w:t>
      </w:r>
      <w:r>
        <w:rPr>
          <w:rFonts w:ascii="Times New Roman" w:cs="Times New Roman" w:eastAsia="Times New Roman" w:hAnsi="Times New Roman"/>
          <w:sz w:val="18"/>
          <w:szCs w:val="18"/>
          <w:u w:val="single" w:color="auto"/>
          <w:color w:val="auto"/>
        </w:rPr>
        <w:t>http://www.ufpi.com</w:t>
      </w:r>
      <w:r>
        <w:rPr>
          <w:rFonts w:ascii="Times New Roman" w:cs="Times New Roman" w:eastAsia="Times New Roman" w:hAnsi="Times New Roman"/>
          <w:sz w:val="18"/>
          <w:szCs w:val="18"/>
          <w:color w:val="auto"/>
        </w:rPr>
        <w:t>. A replay of the call will be available through August 14, 2011, domestically at 888-286-8010 or internationally at 617-801-6888. Use replay pass code 57548930.</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residential and commercial construction, specialty wood packaging and components for various industries,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construction market. Founded in 1955, Universal Forest Products is headquartered in Grand Rapids, Mich., with operations throughout North America. For more about Universal Forest Products, go to www.ufpi.com.</w:t>
      </w:r>
    </w:p>
    <w:p>
      <w:pPr>
        <w:spacing w:after="0" w:line="20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Page 5</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2011/2010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 per share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2011</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2010</w:t>
            </w: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2011</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2010</w:t>
            </w: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544,139</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638,635</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$ 1,031,593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487,552</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560,749</w:t>
            </w:r>
          </w:p>
        </w:tc>
        <w:tc>
          <w:tcPr>
            <w:tcW w:w="18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902,073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56,587</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77,886</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98,001</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45,328</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54,041</w:t>
            </w: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91,816</w:t>
            </w:r>
          </w:p>
        </w:tc>
        <w:tc>
          <w:tcPr>
            <w:tcW w:w="2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102,530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ON DISPOSITION OF</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ASSETS, EARLY</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RETIREMENT, AND OTHER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IMPAIRMENT AND EXIT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7,777</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23,633</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26,606</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NET</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1,599</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BEFORE INCOME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6,980</w:t>
            </w: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22,800</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25,007</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8,332</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8,819</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4,478</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14,468</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16,188</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LESS NET EARNINGS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13,716</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14,703</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SHARE -</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19,413</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19,259</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19,360</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19,258</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 WITH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19,546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19,513</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19,524</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SUPPLEMENTAL SALES DATA</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6"/>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Market Classification</w:t>
            </w:r>
          </w:p>
        </w:tc>
        <w:tc>
          <w:tcPr>
            <w:tcW w:w="180" w:type="dxa"/>
            <w:vAlign w:val="bottom"/>
          </w:tcPr>
          <w:p>
            <w:pPr>
              <w:spacing w:after="0"/>
              <w:rPr>
                <w:sz w:val="15"/>
                <w:szCs w:val="15"/>
                <w:color w:val="auto"/>
              </w:rPr>
            </w:pPr>
          </w:p>
        </w:tc>
        <w:tc>
          <w:tcPr>
            <w:tcW w:w="68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2011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2010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2010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Building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287,528</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353,060</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540,086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Residential Construction</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56,655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67,035</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120,739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Commercial Construction 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Concrete Forming</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20,841</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16,914</w:t>
            </w: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35,270</w:t>
            </w:r>
          </w:p>
        </w:tc>
        <w:tc>
          <w:tcPr>
            <w:tcW w:w="2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126,541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129,073</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224,665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Borders>
              <w:right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Manufactured Housing 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Recreation Vehicles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82,831</w:t>
            </w: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111,633</w:t>
            </w:r>
          </w:p>
        </w:tc>
        <w:tc>
          <w:tcPr>
            <w:tcW w:w="2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131,766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Gross Sales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648,913</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Borders>
              <w:right w:val="single" w:sz="8" w:color="CCEEFF"/>
            </w:tcBorders>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Sales Allowances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(12,023)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(10,278)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(19,012)</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(16,965)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09"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8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20" w:type="dxa"/>
            <w:vAlign w:val="bottom"/>
            <w:shd w:val="clear" w:color="auto" w:fill="CCEEFF"/>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544,139</w:t>
            </w:r>
          </w:p>
        </w:tc>
        <w:tc>
          <w:tcPr>
            <w:tcW w:w="12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638,635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931,372</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$ 1,031,593</w:t>
            </w:r>
          </w:p>
        </w:tc>
        <w:tc>
          <w:tcPr>
            <w:tcW w:w="1220" w:type="dxa"/>
            <w:vAlign w:val="bottom"/>
          </w:tcPr>
          <w:p>
            <w:pPr>
              <w:spacing w:after="0"/>
              <w:rPr>
                <w:sz w:val="18"/>
                <w:szCs w:val="18"/>
                <w:color w:val="auto"/>
              </w:rPr>
            </w:pPr>
          </w:p>
        </w:tc>
      </w:tr>
      <w:tr>
        <w:trPr>
          <w:trHeight w:val="21"/>
        </w:trPr>
        <w:tc>
          <w:tcPr>
            <w:tcW w:w="2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52"/>
        </w:trPr>
        <w:tc>
          <w:tcPr>
            <w:tcW w:w="28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Page 6</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2011/2010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60" w:type="dxa"/>
            <w:vAlign w:val="bottom"/>
          </w:tcPr>
          <w:p>
            <w:pPr>
              <w:spacing w:after="0"/>
              <w:rPr>
                <w:sz w:val="20"/>
                <w:szCs w:val="20"/>
                <w:color w:val="auto"/>
              </w:rPr>
            </w:pP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overdraft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229,199</w:t>
            </w:r>
          </w:p>
        </w:tc>
        <w:tc>
          <w:tcPr>
            <w:tcW w:w="6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204,590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191,569</w:t>
            </w: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1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long-term debt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9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9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434,225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439,573</w:t>
            </w: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172,065</w:t>
            </w: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LONG-TERM DEBT AND CAPITAL</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LEASE OBLIGATIONS, less current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216,997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226,426</w:t>
            </w:r>
          </w:p>
        </w:tc>
        <w:tc>
          <w:tcPr>
            <w:tcW w:w="60" w:type="dxa"/>
            <w:vAlign w:val="bottom"/>
            <w:shd w:val="clear" w:color="auto" w:fill="CCEEFF"/>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832,853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843,364</w:t>
            </w:r>
          </w:p>
        </w:tc>
        <w:tc>
          <w:tcPr>
            <w:tcW w:w="3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832,853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843,364</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72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31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Page 7</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2011/2010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earnings attributable to controlling interest to net cash from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 associated with share-based compensation arrangements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Excess tax benefits from share-based compensation arrangements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 associated with stock grant plans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credit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earnings attributable to noncontrolling interest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on sale or impairment of assets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received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product technology</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of notes receivable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Collections of notes receivable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FROM INVESTING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under revolving credit facilities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additional noncontrolling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from share-based compensation arrangements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(OVERDRAFT) AND CASH EQUIVALENTS, END OF PERIOD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0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2019-12-14T02:14:13Z</dcterms:created>
  <dcterms:modified xsi:type="dcterms:W3CDTF">2019-12-14T02:14:13Z</dcterms:modified>
</cp:coreProperties>
</file>