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LEES ROBERT W</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00" w:type="dxa"/>
            <w:vAlign w:val="bottom"/>
          </w:tcPr>
          <w:p>
            <w:pPr>
              <w:ind w:left="320"/>
              <w:spacing w:after="0"/>
              <w:rPr>
                <w:sz w:val="20"/>
                <w:szCs w:val="20"/>
                <w:color w:val="auto"/>
              </w:rPr>
            </w:pPr>
            <w:r>
              <w:rPr>
                <w:rFonts w:ascii="Arial" w:cs="Arial" w:eastAsia="Arial" w:hAnsi="Arial"/>
                <w:sz w:val="14"/>
                <w:szCs w:val="14"/>
                <w:color w:val="auto"/>
              </w:rPr>
              <w:t>(First)</w:t>
            </w:r>
          </w:p>
        </w:tc>
        <w:tc>
          <w:tcPr>
            <w:tcW w:w="1540" w:type="dxa"/>
            <w:vAlign w:val="bottom"/>
          </w:tcPr>
          <w:p>
            <w:pPr>
              <w:ind w:left="2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0000FF"/>
              </w:rPr>
              <w:t>2801 EAST BELTLINE NE</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30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540" w:type="dxa"/>
            <w:vAlign w:val="bottom"/>
            <w:vMerge w:val="restart"/>
          </w:tcPr>
          <w:p>
            <w:pPr>
              <w:ind w:left="28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30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00" w:type="dxa"/>
            <w:vAlign w:val="bottom"/>
          </w:tcPr>
          <w:p>
            <w:pPr>
              <w:ind w:left="320"/>
              <w:spacing w:after="0"/>
              <w:rPr>
                <w:sz w:val="20"/>
                <w:szCs w:val="20"/>
                <w:color w:val="auto"/>
              </w:rPr>
            </w:pPr>
            <w:r>
              <w:rPr>
                <w:rFonts w:ascii="Arial" w:cs="Arial" w:eastAsia="Arial" w:hAnsi="Arial"/>
                <w:sz w:val="14"/>
                <w:szCs w:val="14"/>
                <w:color w:val="auto"/>
              </w:rPr>
              <w:t>(State)</w:t>
            </w:r>
          </w:p>
        </w:tc>
        <w:tc>
          <w:tcPr>
            <w:tcW w:w="1540" w:type="dxa"/>
            <w:vAlign w:val="bottom"/>
          </w:tcPr>
          <w:p>
            <w:pPr>
              <w:ind w:left="28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2"/>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UNIVERSAL FOREST PRODUCTS INC </w:t>
              </w:r>
            </w:hyperlink>
            <w:r>
              <w:rPr>
                <w:rFonts w:ascii="Arial" w:cs="Arial" w:eastAsia="Arial" w:hAnsi="Arial"/>
                <w:sz w:val="22"/>
                <w:szCs w:val="22"/>
                <w:color w:val="000000"/>
                <w:w w:val="95"/>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368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tc>
        <w:tc>
          <w:tcPr>
            <w:tcW w:w="220" w:type="dxa"/>
            <w:vAlign w:val="bottom"/>
            <w:vMerge w:val="restart"/>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368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3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40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line="149"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49"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0"/>
        </w:trPr>
        <w:tc>
          <w:tcPr>
            <w:tcW w:w="8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tcPr>
          <w:p>
            <w:pPr>
              <w:ind w:left="220"/>
              <w:spacing w:after="0" w:line="195" w:lineRule="exact"/>
              <w:rPr>
                <w:sz w:val="20"/>
                <w:szCs w:val="20"/>
                <w:color w:val="auto"/>
              </w:rPr>
            </w:pPr>
            <w:r>
              <w:rPr>
                <w:rFonts w:ascii="Arial" w:cs="Arial" w:eastAsia="Arial" w:hAnsi="Arial"/>
                <w:sz w:val="18"/>
                <w:szCs w:val="18"/>
                <w:color w:val="0000FF"/>
              </w:rPr>
              <w:t>President, UFP Eastern Div</w:t>
            </w:r>
          </w:p>
        </w:tc>
        <w:tc>
          <w:tcPr>
            <w:tcW w:w="0" w:type="dxa"/>
            <w:vAlign w:val="bottom"/>
          </w:tcPr>
          <w:p>
            <w:pPr>
              <w:spacing w:after="0"/>
              <w:rPr>
                <w:sz w:val="1"/>
                <w:szCs w:val="1"/>
                <w:color w:val="auto"/>
              </w:rPr>
            </w:pPr>
          </w:p>
        </w:tc>
      </w:tr>
      <w:tr>
        <w:trPr>
          <w:trHeight w:val="222"/>
        </w:trPr>
        <w:tc>
          <w:tcPr>
            <w:tcW w:w="3760" w:type="dxa"/>
            <w:vAlign w:val="bottom"/>
            <w:gridSpan w:val="2"/>
          </w:tcPr>
          <w:p>
            <w:pPr>
              <w:ind w:left="80"/>
              <w:spacing w:after="0"/>
              <w:rPr>
                <w:sz w:val="20"/>
                <w:szCs w:val="20"/>
                <w:color w:val="auto"/>
              </w:rPr>
            </w:pPr>
            <w:r>
              <w:rPr>
                <w:rFonts w:ascii="Arial" w:cs="Arial" w:eastAsia="Arial" w:hAnsi="Arial"/>
                <w:sz w:val="18"/>
                <w:szCs w:val="18"/>
                <w:color w:val="0000FF"/>
              </w:rPr>
              <w:t>02/27/2012</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80" w:type="dxa"/>
            <w:vAlign w:val="bottom"/>
            <w:tcBorders>
              <w:bottom w:val="single" w:sz="8" w:color="2C2C2C"/>
            </w:tcBorders>
          </w:tcPr>
          <w:p>
            <w:pPr>
              <w:spacing w:after="0"/>
              <w:rPr>
                <w:sz w:val="16"/>
                <w:szCs w:val="16"/>
                <w:color w:val="auto"/>
              </w:rPr>
            </w:pPr>
          </w:p>
        </w:tc>
        <w:tc>
          <w:tcPr>
            <w:tcW w:w="368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3420" w:type="dxa"/>
            <w:vAlign w:val="bottom"/>
            <w:tcBorders>
              <w:bottom w:val="single" w:sz="8" w:color="2C2C2C"/>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Def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780" w:type="dxa"/>
            <w:vAlign w:val="bottom"/>
            <w:gridSpan w:val="2"/>
          </w:tcPr>
          <w:p>
            <w:pPr>
              <w:ind w:left="800"/>
              <w:spacing w:after="0"/>
              <w:rPr>
                <w:sz w:val="20"/>
                <w:szCs w:val="20"/>
                <w:color w:val="auto"/>
              </w:rPr>
            </w:pPr>
            <w:r>
              <w:rPr>
                <w:rFonts w:ascii="Arial" w:cs="Arial" w:eastAsia="Arial" w:hAnsi="Arial"/>
                <w:sz w:val="18"/>
                <w:szCs w:val="18"/>
                <w:color w:val="0000FF"/>
              </w:rPr>
              <w:t>02/27/2012</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Pr>
          <w:p>
            <w:pPr>
              <w:ind w:left="200"/>
              <w:spacing w:after="0" w:line="217" w:lineRule="exact"/>
              <w:rPr>
                <w:sz w:val="20"/>
                <w:szCs w:val="20"/>
                <w:color w:val="auto"/>
              </w:rPr>
            </w:pPr>
            <w:r>
              <w:rPr>
                <w:rFonts w:ascii="Arial" w:cs="Arial" w:eastAsia="Arial" w:hAnsi="Arial"/>
                <w:sz w:val="18"/>
                <w:szCs w:val="18"/>
                <w:color w:val="0000FF"/>
                <w:w w:val="82"/>
              </w:rPr>
              <w:t>1,251</w:t>
            </w:r>
            <w:r>
              <w:rPr>
                <w:rFonts w:ascii="Arial" w:cs="Arial" w:eastAsia="Arial" w:hAnsi="Arial"/>
                <w:sz w:val="22"/>
                <w:szCs w:val="22"/>
                <w:color w:val="008000"/>
                <w:w w:val="82"/>
                <w:vertAlign w:val="superscript"/>
              </w:rPr>
              <w:t>(1)</w:t>
            </w:r>
          </w:p>
        </w:tc>
        <w:tc>
          <w:tcPr>
            <w:tcW w:w="680" w:type="dxa"/>
            <w:vAlign w:val="bottom"/>
          </w:tcPr>
          <w:p>
            <w:pPr>
              <w:ind w:left="340"/>
              <w:spacing w:after="0"/>
              <w:rPr>
                <w:sz w:val="20"/>
                <w:szCs w:val="20"/>
                <w:color w:val="auto"/>
              </w:rPr>
            </w:pPr>
            <w:r>
              <w:rPr>
                <w:rFonts w:ascii="Arial" w:cs="Arial" w:eastAsia="Arial" w:hAnsi="Arial"/>
                <w:sz w:val="18"/>
                <w:szCs w:val="18"/>
                <w:color w:val="0000FF"/>
              </w:rPr>
              <w:t>A</w:t>
            </w:r>
          </w:p>
        </w:tc>
        <w:tc>
          <w:tcPr>
            <w:tcW w:w="660" w:type="dxa"/>
            <w:vAlign w:val="bottom"/>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33.08</w:t>
            </w:r>
          </w:p>
        </w:tc>
        <w:tc>
          <w:tcPr>
            <w:tcW w:w="360" w:type="dxa"/>
            <w:vAlign w:val="bottom"/>
          </w:tcPr>
          <w:p>
            <w:pPr>
              <w:spacing w:after="0"/>
              <w:rPr>
                <w:sz w:val="18"/>
                <w:szCs w:val="18"/>
                <w:color w:val="auto"/>
              </w:rPr>
            </w:pPr>
          </w:p>
        </w:tc>
        <w:tc>
          <w:tcPr>
            <w:tcW w:w="880" w:type="dxa"/>
            <w:vAlign w:val="bottom"/>
          </w:tcPr>
          <w:p>
            <w:pPr>
              <w:jc w:val="center"/>
              <w:ind w:right="334"/>
              <w:spacing w:after="0"/>
              <w:rPr>
                <w:sz w:val="20"/>
                <w:szCs w:val="20"/>
                <w:color w:val="auto"/>
              </w:rPr>
            </w:pPr>
            <w:r>
              <w:rPr>
                <w:rFonts w:ascii="Arial" w:cs="Arial" w:eastAsia="Arial" w:hAnsi="Arial"/>
                <w:sz w:val="18"/>
                <w:szCs w:val="18"/>
                <w:color w:val="0000FF"/>
                <w:w w:val="88"/>
              </w:rPr>
              <w:t>4,066</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Comp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Interest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6"/>
              </w:rPr>
              <w:t>165,991</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vMerge w:val="restart"/>
          </w:tcPr>
          <w:p>
            <w:pPr>
              <w:jc w:val="center"/>
              <w:ind w:right="334"/>
              <w:spacing w:after="0"/>
              <w:rPr>
                <w:sz w:val="20"/>
                <w:szCs w:val="20"/>
                <w:color w:val="auto"/>
              </w:rPr>
            </w:pPr>
            <w:r>
              <w:rPr>
                <w:rFonts w:ascii="Arial" w:cs="Arial" w:eastAsia="Arial" w:hAnsi="Arial"/>
                <w:sz w:val="18"/>
                <w:szCs w:val="18"/>
                <w:color w:val="0000FF"/>
                <w:w w:val="88"/>
              </w:rPr>
              <w:t>4,474</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Plan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grant of shares of restricted stock. The shares vest on the fifth anniversary of the grant date, subject to earlier vesting upon death, disability or retirement. Half of the shares are deliverable to the reporting person upon vesting; the balance of the shares are not issuable to the reporting person until subsequent retirement, death or disability.</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Christina A. Holderman,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2357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3571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Atty-in-Fact for Robert W.</w:t>
      </w:r>
      <w:r>
        <w:rPr>
          <w:sz w:val="20"/>
          <w:szCs w:val="20"/>
          <w:color w:val="auto"/>
        </w:rPr>
        <w:tab/>
      </w:r>
      <w:r>
        <w:rPr>
          <w:rFonts w:ascii="Arial" w:cs="Arial" w:eastAsia="Arial" w:hAnsi="Arial"/>
          <w:sz w:val="15"/>
          <w:szCs w:val="15"/>
          <w:color w:val="0000FF"/>
        </w:rPr>
        <w:t>02/28/2012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Lees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101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1018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80369"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2019-12-16T08:34:53Z</dcterms:created>
  <dcterms:modified xsi:type="dcterms:W3CDTF">2019-12-16T08:34:53Z</dcterms:modified>
</cp:coreProperties>
</file>