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Section 13 or 15(d) of the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Date of Report: April 14, 2010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UNIVERSAL FOREST PRODUCTS, INC.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tbl>
      <w:tblPr>
        <w:tblLayout w:type="fixed"/>
        <w:tblInd w:w="13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Michigan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8"/>
              </w:rPr>
              <w:t>00-22684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38-1465835</w:t>
            </w:r>
          </w:p>
        </w:tc>
      </w:tr>
      <w:tr>
        <w:trPr>
          <w:trHeight w:val="243"/>
        </w:trPr>
        <w:tc>
          <w:tcPr>
            <w:tcW w:w="3840" w:type="dxa"/>
            <w:vAlign w:val="bottom"/>
          </w:tcPr>
          <w:p>
            <w:pPr>
              <w:jc w:val="center"/>
              <w:ind w:right="392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(State or Other Jurisdiction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ind w:right="52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(Commission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left="572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(IRS Employer</w:t>
            </w:r>
          </w:p>
        </w:tc>
      </w:tr>
      <w:tr>
        <w:trPr>
          <w:trHeight w:val="275"/>
        </w:trPr>
        <w:tc>
          <w:tcPr>
            <w:tcW w:w="3840" w:type="dxa"/>
            <w:vAlign w:val="bottom"/>
          </w:tcPr>
          <w:p>
            <w:pPr>
              <w:jc w:val="center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of Incorporation)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File Number)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Identification No.)</w:t>
            </w:r>
          </w:p>
        </w:tc>
      </w:tr>
      <w:tr>
        <w:trPr>
          <w:trHeight w:val="449"/>
        </w:trPr>
        <w:tc>
          <w:tcPr>
            <w:tcW w:w="384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0"/>
              </w:rPr>
              <w:t>2801 East Beltline, N.E.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9"/>
        </w:trPr>
        <w:tc>
          <w:tcPr>
            <w:tcW w:w="3840" w:type="dxa"/>
            <w:vAlign w:val="bottom"/>
          </w:tcPr>
          <w:p>
            <w:pPr>
              <w:jc w:val="center"/>
              <w:ind w:right="392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1"/>
              </w:rPr>
              <w:t>Grand Rapids, Michigan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ind w:right="412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49525</w:t>
            </w:r>
          </w:p>
        </w:tc>
      </w:tr>
      <w:tr>
        <w:trPr>
          <w:trHeight w:val="275"/>
        </w:trPr>
        <w:tc>
          <w:tcPr>
            <w:tcW w:w="3840" w:type="dxa"/>
            <w:vAlign w:val="bottom"/>
          </w:tcPr>
          <w:p>
            <w:pPr>
              <w:jc w:val="center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1"/>
              </w:rPr>
              <w:t>(Address of principal executive office)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center"/>
              <w:ind w:left="5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Registrant's telephone number, including area code: 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(616) 364-6161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600" w:hanging="592"/>
        <w:spacing w:after="0"/>
        <w:tabs>
          <w:tab w:leader="none" w:pos="6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Written communications pursuant to Rule 425 under the Securities Act (17 CFR 230.425)</w:t>
      </w:r>
    </w:p>
    <w:p>
      <w:pPr>
        <w:spacing w:after="0" w:line="8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00" w:hanging="592"/>
        <w:spacing w:after="0" w:line="230" w:lineRule="auto"/>
        <w:tabs>
          <w:tab w:leader="none" w:pos="60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Soliciting material pursuant to Rule 14a-12 under the Exchange Act (17 CFR 240.14a-12).</w:t>
      </w:r>
    </w:p>
    <w:p>
      <w:pPr>
        <w:ind w:left="600" w:hanging="592"/>
        <w:spacing w:after="0"/>
        <w:tabs>
          <w:tab w:leader="none" w:pos="60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Pre-commencement communications pursuant to Rule 14d-2(b) under the Exchange Act (17 CFR 240-14d-2(b)).</w:t>
      </w:r>
    </w:p>
    <w:p>
      <w:pPr>
        <w:spacing w:after="0" w:line="1" w:lineRule="exact"/>
        <w:rPr>
          <w:rFonts w:ascii="Arial" w:cs="Arial" w:eastAsia="Arial" w:hAnsi="Arial"/>
          <w:sz w:val="21"/>
          <w:szCs w:val="21"/>
          <w:color w:val="auto"/>
        </w:rPr>
      </w:pPr>
    </w:p>
    <w:p>
      <w:pPr>
        <w:ind w:left="600" w:hanging="592"/>
        <w:spacing w:after="0"/>
        <w:tabs>
          <w:tab w:leader="none" w:pos="600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Pre-commencement communications pursuant to Rule 13e-4(c) under the Exchange Act (17 CFR 240.13e-4(c)).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69850</wp:posOffset>
            </wp:positionV>
            <wp:extent cx="7267575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67575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00"/>
          </w:cols>
          <w:pgMar w:left="240" w:top="220" w:right="25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1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Section 5.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Corporate Governance and Management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5.07.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Submission of Matters to a Vote of Security Holders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both"/>
        <w:ind w:right="20" w:firstLine="64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On April 14, 2010, the Company held its 2010 Annual Meeting of Shareholders. The matters listed below were submitted to a vote of the shareholders through the solicitation of proxies; the proposals are described in detail in the Company’s Proxy Statement dated March 3, 2010. The voting results are as follows: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1 – Election of Directors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The following individuals were elected to serve as directors of the Company to hold office until the 2013 Annual meeting of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Shareholders, under the terms of the Company's Bylaws: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2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Nominee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For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Withheld</w:t>
            </w: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Non-Votes</w:t>
            </w:r>
          </w:p>
        </w:tc>
      </w:tr>
      <w:tr>
        <w:trPr>
          <w:trHeight w:val="215"/>
        </w:trPr>
        <w:tc>
          <w:tcPr>
            <w:tcW w:w="214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William G. Currie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16,217,379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254,409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1,230,258</w:t>
            </w:r>
          </w:p>
        </w:tc>
      </w:tr>
      <w:tr>
        <w:trPr>
          <w:trHeight w:val="243"/>
        </w:trPr>
        <w:tc>
          <w:tcPr>
            <w:tcW w:w="2900" w:type="dxa"/>
            <w:vAlign w:val="bottom"/>
            <w:gridSpan w:val="2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John M. Engler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16,298,182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173,606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1,230,258</w:t>
            </w:r>
          </w:p>
        </w:tc>
      </w:tr>
      <w:tr>
        <w:trPr>
          <w:trHeight w:val="243"/>
        </w:trPr>
        <w:tc>
          <w:tcPr>
            <w:tcW w:w="2900" w:type="dxa"/>
            <w:vAlign w:val="bottom"/>
            <w:gridSpan w:val="2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Michael B. Glenn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16,235,136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236,652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1,230,258</w:t>
            </w:r>
          </w:p>
        </w:tc>
      </w:tr>
      <w:tr>
        <w:trPr>
          <w:trHeight w:val="275"/>
        </w:trPr>
        <w:tc>
          <w:tcPr>
            <w:tcW w:w="2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Bruce A. Merino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16,285,953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185,835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1,230,258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right="4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Proposal 2 – Ratification of the Appointment of Ernst &amp; Young LLP as the Company's Independent Registered Public Accounting firm for fiscal 2010.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" w:firstLine="732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shareholders ratified the appointment of Ernst &amp; Young LLP to serve as the Company's independent registered public accounting firm for fiscal 2010.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For</w:t>
            </w:r>
          </w:p>
        </w:tc>
        <w:tc>
          <w:tcPr>
            <w:tcW w:w="2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Against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Abstain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8"/>
        </w:trPr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17,017,772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679,540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4,734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573"/>
        </w:trPr>
        <w:tc>
          <w:tcPr>
            <w:tcW w:w="1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355" w:right="219" w:bottom="1440" w:gutter="0" w:footer="0" w:header="0"/>
        </w:sectPr>
      </w:pPr>
    </w:p>
    <w:bookmarkStart w:id="2" w:name="page3"/>
    <w:bookmarkEnd w:id="2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SIGNATURE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right="20" w:firstLine="699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Dated: April 14, 2010</w:t>
            </w:r>
          </w:p>
        </w:tc>
        <w:tc>
          <w:tcPr>
            <w:tcW w:w="572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UNIVERSAL FOREST PRODUCTS, INC.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(Registrant)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71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72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By:  /s/ Michael R. Cole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top w:val="single" w:sz="8" w:color="auto"/>
            </w:tcBorders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Michael R. Cole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Principal Financial Officer and Treasurer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51"/>
        </w:trPr>
        <w:tc>
          <w:tcPr>
            <w:tcW w:w="3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7258050</wp:posOffset>
            </wp:positionH>
            <wp:positionV relativeFrom="paragraph">
              <wp:posOffset>-14605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40"/>
          </w:cols>
          <w:pgMar w:left="240" w:top="118" w:right="219" w:bottom="1440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£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2019-12-10T11:50:43Z</dcterms:created>
  <dcterms:modified xsi:type="dcterms:W3CDTF">2019-12-10T11:50:43Z</dcterms:modified>
</cp:coreProperties>
</file>