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27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  <w:vMerge w:val="restart"/>
          </w:tcPr>
          <w:p>
            <w:pPr>
              <w:jc w:val="center"/>
              <w:ind w:left="9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UHLIG-EASTIN CHAD C.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</w:p>
        </w:tc>
        <w:tc>
          <w:tcPr>
            <w:tcW w:w="16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restart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Exec Vice Pres Purchasing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Common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21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102.92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has been adjusted to reflect his current direct ownership shares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401(k) Retirement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86395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2019-12-24T05:02:03Z</dcterms:created>
  <dcterms:modified xsi:type="dcterms:W3CDTF">2019-12-24T05:02:03Z</dcterms:modified>
</cp:coreProperties>
</file>