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903605</wp:posOffset>
            </wp:positionH>
            <wp:positionV relativeFrom="page">
              <wp:posOffset>363220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397510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color w:val="auto"/>
        </w:rPr>
        <w:t>‑</w:t>
      </w:r>
      <w:r>
        <w:rPr>
          <w:rFonts w:ascii="Arial" w:cs="Arial" w:eastAsia="Arial" w:hAnsi="Arial"/>
          <w:sz w:val="32"/>
          <w:szCs w:val="32"/>
          <w:b w:val="1"/>
          <w:bCs w:val="1"/>
          <w:color w:val="auto"/>
        </w:rPr>
        <w:t>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16, 2018</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2940" w:type="dxa"/>
            <w:vAlign w:val="bottom"/>
          </w:tcPr>
          <w:p>
            <w:pPr>
              <w:jc w:val="center"/>
              <w:ind w:right="730"/>
              <w:spacing w:after="0"/>
              <w:rPr>
                <w:sz w:val="20"/>
                <w:szCs w:val="20"/>
                <w:color w:val="auto"/>
              </w:rPr>
            </w:pPr>
            <w:r>
              <w:rPr>
                <w:rFonts w:ascii="Arial" w:cs="Arial" w:eastAsia="Arial" w:hAnsi="Arial"/>
                <w:sz w:val="18"/>
                <w:szCs w:val="18"/>
                <w:b w:val="1"/>
                <w:bCs w:val="1"/>
                <w:color w:val="auto"/>
                <w:w w:val="92"/>
              </w:rPr>
              <w:t>Michigan</w:t>
            </w:r>
          </w:p>
        </w:tc>
        <w:tc>
          <w:tcPr>
            <w:tcW w:w="252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17"/>
        </w:trPr>
        <w:tc>
          <w:tcPr>
            <w:tcW w:w="294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2520" w:type="dxa"/>
            <w:vAlign w:val="bottom"/>
          </w:tcPr>
          <w:p>
            <w:pPr>
              <w:jc w:val="right"/>
              <w:ind w:right="990"/>
              <w:spacing w:after="0"/>
              <w:rPr>
                <w:sz w:val="20"/>
                <w:szCs w:val="20"/>
                <w:color w:val="auto"/>
              </w:rPr>
            </w:pPr>
            <w:r>
              <w:rPr>
                <w:rFonts w:ascii="Arial" w:cs="Arial" w:eastAsia="Arial" w:hAnsi="Arial"/>
                <w:sz w:val="18"/>
                <w:szCs w:val="18"/>
                <w:b w:val="1"/>
                <w:bCs w:val="1"/>
                <w:color w:val="auto"/>
              </w:rPr>
              <w:t>0-22684</w:t>
            </w:r>
          </w:p>
        </w:tc>
        <w:tc>
          <w:tcPr>
            <w:tcW w:w="2880" w:type="dxa"/>
            <w:vAlign w:val="bottom"/>
          </w:tcPr>
          <w:p>
            <w:pPr>
              <w:jc w:val="right"/>
              <w:ind w:right="710"/>
              <w:spacing w:after="0"/>
              <w:rPr>
                <w:sz w:val="20"/>
                <w:szCs w:val="20"/>
                <w:color w:val="auto"/>
              </w:rPr>
            </w:pPr>
            <w:r>
              <w:rPr>
                <w:rFonts w:ascii="Arial" w:cs="Arial" w:eastAsia="Arial" w:hAnsi="Arial"/>
                <w:sz w:val="18"/>
                <w:szCs w:val="18"/>
                <w:b w:val="1"/>
                <w:bCs w:val="1"/>
                <w:color w:val="auto"/>
              </w:rPr>
              <w:t>38-1465835</w:t>
            </w:r>
          </w:p>
        </w:tc>
      </w:tr>
      <w:tr>
        <w:trPr>
          <w:trHeight w:val="270"/>
        </w:trPr>
        <w:tc>
          <w:tcPr>
            <w:tcW w:w="2940" w:type="dxa"/>
            <w:vAlign w:val="bottom"/>
          </w:tcPr>
          <w:p>
            <w:pPr>
              <w:jc w:val="center"/>
              <w:ind w:right="730"/>
              <w:spacing w:after="0"/>
              <w:rPr>
                <w:sz w:val="20"/>
                <w:szCs w:val="20"/>
                <w:color w:val="auto"/>
              </w:rPr>
            </w:pPr>
            <w:r>
              <w:rPr>
                <w:rFonts w:ascii="Arial" w:cs="Arial" w:eastAsia="Arial" w:hAnsi="Arial"/>
                <w:sz w:val="18"/>
                <w:szCs w:val="18"/>
                <w:color w:val="auto"/>
                <w:w w:val="93"/>
              </w:rPr>
              <w:t>Incorporation)</w:t>
            </w:r>
          </w:p>
        </w:tc>
        <w:tc>
          <w:tcPr>
            <w:tcW w:w="2520" w:type="dxa"/>
            <w:vAlign w:val="bottom"/>
          </w:tcPr>
          <w:p>
            <w:pPr>
              <w:jc w:val="center"/>
              <w:ind w:right="170"/>
              <w:spacing w:after="0"/>
              <w:rPr>
                <w:sz w:val="20"/>
                <w:szCs w:val="20"/>
                <w:color w:val="auto"/>
              </w:rPr>
            </w:pPr>
            <w:r>
              <w:rPr>
                <w:rFonts w:ascii="Arial" w:cs="Arial" w:eastAsia="Arial" w:hAnsi="Arial"/>
                <w:sz w:val="18"/>
                <w:szCs w:val="18"/>
                <w:color w:val="auto"/>
                <w:w w:val="92"/>
              </w:rPr>
              <w:t>(Commission File Number)</w:t>
            </w:r>
          </w:p>
        </w:tc>
        <w:tc>
          <w:tcPr>
            <w:tcW w:w="2880" w:type="dxa"/>
            <w:vAlign w:val="bottom"/>
          </w:tcPr>
          <w:p>
            <w:pPr>
              <w:jc w:val="center"/>
              <w:ind w:left="310"/>
              <w:spacing w:after="0"/>
              <w:rPr>
                <w:sz w:val="20"/>
                <w:szCs w:val="20"/>
                <w:color w:val="auto"/>
              </w:rPr>
            </w:pPr>
            <w:r>
              <w:rPr>
                <w:rFonts w:ascii="Arial" w:cs="Arial" w:eastAsia="Arial" w:hAnsi="Arial"/>
                <w:sz w:val="18"/>
                <w:szCs w:val="18"/>
                <w:color w:val="auto"/>
                <w:w w:val="94"/>
              </w:rPr>
              <w:t>(IRS Employer Identification No.)</w:t>
            </w:r>
          </w:p>
        </w:tc>
      </w:tr>
      <w:tr>
        <w:trPr>
          <w:trHeight w:val="454"/>
        </w:trPr>
        <w:tc>
          <w:tcPr>
            <w:tcW w:w="294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2801 East Beltline, NE</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0"/>
        </w:trPr>
        <w:tc>
          <w:tcPr>
            <w:tcW w:w="2940" w:type="dxa"/>
            <w:vAlign w:val="bottom"/>
          </w:tcPr>
          <w:p>
            <w:pPr>
              <w:jc w:val="center"/>
              <w:ind w:left="650"/>
              <w:spacing w:after="0"/>
              <w:rPr>
                <w:sz w:val="20"/>
                <w:szCs w:val="20"/>
                <w:color w:val="auto"/>
              </w:rPr>
            </w:pPr>
            <w:r>
              <w:rPr>
                <w:rFonts w:ascii="Arial" w:cs="Arial" w:eastAsia="Arial" w:hAnsi="Arial"/>
                <w:sz w:val="18"/>
                <w:szCs w:val="18"/>
                <w:b w:val="1"/>
                <w:bCs w:val="1"/>
                <w:color w:val="auto"/>
                <w:w w:val="93"/>
              </w:rPr>
              <w:t>Grand Rapids, Michigan</w:t>
            </w:r>
          </w:p>
        </w:tc>
        <w:tc>
          <w:tcPr>
            <w:tcW w:w="2520" w:type="dxa"/>
            <w:vAlign w:val="bottom"/>
          </w:tcPr>
          <w:p>
            <w:pPr>
              <w:spacing w:after="0"/>
              <w:rPr>
                <w:sz w:val="19"/>
                <w:szCs w:val="19"/>
                <w:color w:val="auto"/>
              </w:rPr>
            </w:pPr>
          </w:p>
        </w:tc>
        <w:tc>
          <w:tcPr>
            <w:tcW w:w="2880" w:type="dxa"/>
            <w:vAlign w:val="bottom"/>
          </w:tcPr>
          <w:p>
            <w:pPr>
              <w:jc w:val="right"/>
              <w:ind w:right="1630"/>
              <w:spacing w:after="0"/>
              <w:rPr>
                <w:sz w:val="20"/>
                <w:szCs w:val="20"/>
                <w:color w:val="auto"/>
              </w:rPr>
            </w:pPr>
            <w:r>
              <w:rPr>
                <w:rFonts w:ascii="Arial" w:cs="Arial" w:eastAsia="Arial" w:hAnsi="Arial"/>
                <w:sz w:val="18"/>
                <w:szCs w:val="18"/>
                <w:b w:val="1"/>
                <w:bCs w:val="1"/>
                <w:color w:val="auto"/>
              </w:rPr>
              <w:t>49525</w:t>
            </w:r>
          </w:p>
        </w:tc>
      </w:tr>
      <w:tr>
        <w:trPr>
          <w:trHeight w:val="230"/>
        </w:trPr>
        <w:tc>
          <w:tcPr>
            <w:tcW w:w="5460" w:type="dxa"/>
            <w:vAlign w:val="bottom"/>
            <w:gridSpan w:val="2"/>
          </w:tcPr>
          <w:p>
            <w:pPr>
              <w:jc w:val="center"/>
              <w:ind w:right="169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jc w:val="center"/>
              <w:ind w:right="910"/>
              <w:spacing w:after="0"/>
              <w:rPr>
                <w:sz w:val="20"/>
                <w:szCs w:val="20"/>
                <w:color w:val="auto"/>
              </w:rPr>
            </w:pPr>
            <w:r>
              <w:rPr>
                <w:rFonts w:ascii="Arial" w:cs="Arial" w:eastAsia="Arial" w:hAnsi="Arial"/>
                <w:sz w:val="18"/>
                <w:szCs w:val="18"/>
                <w:color w:val="auto"/>
                <w:w w:val="94"/>
              </w:rPr>
              <w:t>(Zip Code)</w:t>
            </w:r>
          </w:p>
        </w:tc>
      </w:tr>
    </w:tbl>
    <w:p>
      <w:pPr>
        <w:spacing w:after="0" w:line="184"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71"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520" w:hanging="517"/>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20" w:hanging="517"/>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20" w:hanging="517"/>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69" w:lineRule="exact"/>
        <w:rPr>
          <w:rFonts w:ascii="MS PGothic" w:cs="MS PGothic" w:eastAsia="MS PGothic" w:hAnsi="MS PGothic"/>
          <w:sz w:val="17"/>
          <w:szCs w:val="17"/>
          <w:color w:val="auto"/>
        </w:rPr>
      </w:pPr>
    </w:p>
    <w:p>
      <w:pPr>
        <w:ind w:left="520" w:hanging="517"/>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69"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623570</wp:posOffset>
            </wp:positionV>
            <wp:extent cx="57543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778" w:right="141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16, 2018, the Registrant issued a press release announcing its financial results for the quarter-ended September 29, 2018. A copy of the Registrant’s press release is attached as Exhibit 99(a) to this Current Report.</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283" w:lineRule="exact"/>
        <w:rPr>
          <w:sz w:val="20"/>
          <w:szCs w:val="20"/>
          <w:color w:val="auto"/>
        </w:rPr>
      </w:pPr>
    </w:p>
    <w:p>
      <w:pPr>
        <w:ind w:left="1280" w:hanging="629"/>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October 16,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EXHIBIT INDEX</w:t>
            </w:r>
          </w:p>
        </w:tc>
        <w:tc>
          <w:tcPr>
            <w:tcW w:w="3820" w:type="dxa"/>
            <w:vAlign w:val="bottom"/>
          </w:tcPr>
          <w:p>
            <w:pPr>
              <w:spacing w:after="0"/>
              <w:rPr>
                <w:sz w:val="17"/>
                <w:szCs w:val="17"/>
                <w:color w:val="auto"/>
              </w:rPr>
            </w:pPr>
          </w:p>
        </w:tc>
      </w:tr>
      <w:tr>
        <w:trPr>
          <w:trHeight w:val="588"/>
        </w:trPr>
        <w:tc>
          <w:tcPr>
            <w:tcW w:w="188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7180" w:type="dxa"/>
            <w:vAlign w:val="bottom"/>
            <w:gridSpan w:val="4"/>
          </w:tcPr>
          <w:p>
            <w:pPr>
              <w:spacing w:after="0"/>
              <w:rPr>
                <w:sz w:val="20"/>
                <w:szCs w:val="20"/>
                <w:color w:val="auto"/>
              </w:rPr>
            </w:pPr>
            <w:r>
              <w:rPr>
                <w:rFonts w:ascii="Arial" w:cs="Arial" w:eastAsia="Arial" w:hAnsi="Arial"/>
                <w:sz w:val="18"/>
                <w:szCs w:val="18"/>
                <w:b w:val="1"/>
                <w:bCs w:val="1"/>
                <w:color w:val="auto"/>
              </w:rPr>
              <w:t>Document</w:t>
            </w:r>
          </w:p>
        </w:tc>
      </w:tr>
      <w:tr>
        <w:trPr>
          <w:trHeight w:val="169"/>
        </w:trPr>
        <w:tc>
          <w:tcPr>
            <w:tcW w:w="20" w:type="dxa"/>
            <w:vAlign w:val="bottom"/>
          </w:tcPr>
          <w:p>
            <w:pPr>
              <w:spacing w:after="0"/>
              <w:rPr>
                <w:sz w:val="14"/>
                <w:szCs w:val="14"/>
                <w:color w:val="auto"/>
              </w:rPr>
            </w:pPr>
          </w:p>
        </w:tc>
        <w:tc>
          <w:tcPr>
            <w:tcW w:w="14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80" w:type="dxa"/>
            <w:vAlign w:val="bottom"/>
            <w:tcBorders>
              <w:top w:val="single" w:sz="8" w:color="auto"/>
            </w:tcBorders>
            <w:gridSpan w:val="4"/>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October 16, 2018</w:t>
              </w:r>
            </w:hyperlink>
            <w:r>
              <w:rPr>
                <w:rFonts w:ascii="Arial" w:cs="Arial" w:eastAsia="Arial" w:hAnsi="Arial"/>
                <w:sz w:val="18"/>
                <w:szCs w:val="18"/>
                <w:color w:val="000000"/>
              </w:rPr>
              <w:t>.</w:t>
            </w:r>
          </w:p>
        </w:tc>
      </w:tr>
      <w:tr>
        <w:trPr>
          <w:trHeight w:val="885"/>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700" w:type="dxa"/>
            <w:vAlign w:val="bottom"/>
            <w:tcBorders>
              <w:top w:val="single" w:sz="8" w:color="0000EE"/>
            </w:tcBorders>
            <w:gridSpan w:val="2"/>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540"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UNIVERSAL FOREST PRODUCTS, INC.</w:t>
      </w:r>
    </w:p>
    <w:p>
      <w:pPr>
        <w:spacing w:after="0" w:line="5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60"/>
        <w:spacing w:after="0"/>
        <w:tabs>
          <w:tab w:leader="none" w:pos="4380" w:val="left"/>
          <w:tab w:leader="none" w:pos="4900" w:val="left"/>
        </w:tabs>
        <w:rPr>
          <w:sz w:val="20"/>
          <w:szCs w:val="20"/>
          <w:color w:val="auto"/>
        </w:rPr>
      </w:pPr>
      <w:r>
        <w:rPr>
          <w:rFonts w:ascii="Arial" w:cs="Arial" w:eastAsia="Arial" w:hAnsi="Arial"/>
          <w:sz w:val="18"/>
          <w:szCs w:val="18"/>
          <w:color w:val="auto"/>
        </w:rPr>
        <w:t>Dated: October 16,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-130175</wp:posOffset>
            </wp:positionV>
            <wp:extent cx="2667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61225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5143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154940</wp:posOffset>
            </wp:positionV>
            <wp:extent cx="173228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22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News release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---------------AT THE COMPANY---------------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Tuesday, October 16, 2018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UFPI posts record third-quarter earnings and sales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Sales up 15 percent, net earnings up 22 percent over previous year</w:t>
      </w:r>
      <w:r>
        <w:rPr>
          <w:rFonts w:ascii="Arial" w:cs="Arial" w:eastAsia="Arial" w:hAnsi="Arial"/>
          <w:sz w:val="20"/>
          <w:szCs w:val="20"/>
          <w:b w:val="1"/>
          <w:bCs w:val="1"/>
          <w:color w:val="auto"/>
        </w:rPr>
        <w:t xml:space="preserve">  -</w:t>
      </w:r>
    </w:p>
    <w:p>
      <w:pPr>
        <w:spacing w:after="0" w:line="200" w:lineRule="exact"/>
        <w:rPr>
          <w:sz w:val="20"/>
          <w:szCs w:val="20"/>
          <w:color w:val="auto"/>
        </w:rPr>
      </w:pPr>
    </w:p>
    <w:p>
      <w:pPr>
        <w:spacing w:after="0" w:line="259" w:lineRule="exact"/>
        <w:rPr>
          <w:sz w:val="20"/>
          <w:szCs w:val="20"/>
          <w:color w:val="auto"/>
        </w:rPr>
      </w:pPr>
    </w:p>
    <w:p>
      <w:pPr>
        <w:jc w:val="both"/>
        <w:ind w:right="160"/>
        <w:spacing w:after="0" w:line="326" w:lineRule="auto"/>
        <w:rPr>
          <w:sz w:val="20"/>
          <w:szCs w:val="20"/>
          <w:color w:val="auto"/>
        </w:rPr>
      </w:pPr>
      <w:r>
        <w:rPr>
          <w:rFonts w:ascii="Arial" w:cs="Arial" w:eastAsia="Arial" w:hAnsi="Arial"/>
          <w:sz w:val="18"/>
          <w:szCs w:val="18"/>
          <w:color w:val="auto"/>
        </w:rPr>
        <w:t>GRAND RAPIDS, Mich., Tuesday, October 16, 2018 – Universal Forest Products, Inc. (Nasdaq: UFPI) today reported record financial results for the third quarter ended September 29, 2018, the thirteenth consecutive quarter in which the company has reported records in both net sales and net earnings.</w:t>
      </w:r>
    </w:p>
    <w:p>
      <w:pPr>
        <w:spacing w:after="0" w:line="75" w:lineRule="exact"/>
        <w:rPr>
          <w:sz w:val="20"/>
          <w:szCs w:val="20"/>
          <w:color w:val="auto"/>
        </w:rPr>
      </w:pPr>
    </w:p>
    <w:p>
      <w:pPr>
        <w:ind w:right="320"/>
        <w:spacing w:after="0" w:line="382" w:lineRule="auto"/>
        <w:rPr>
          <w:sz w:val="20"/>
          <w:szCs w:val="20"/>
          <w:color w:val="auto"/>
        </w:rPr>
      </w:pPr>
      <w:r>
        <w:rPr>
          <w:rFonts w:ascii="Arial" w:cs="Arial" w:eastAsia="Arial" w:hAnsi="Arial"/>
          <w:sz w:val="16"/>
          <w:szCs w:val="16"/>
          <w:color w:val="auto"/>
        </w:rPr>
        <w:t>“I want to thank the hard-working employees of Universal for once again producing record results, driven by strong unit sales growth of 7 percent and overall sales growth of 15 percent,” stated CEO Matt Missad. “We achieved these results despite the headwinds we experienced from a quickly changing lumber market, rising labor, benefit and transportation costs, and the short-term effects of Hurricane Florence.</w:t>
      </w:r>
    </w:p>
    <w:p>
      <w:pPr>
        <w:spacing w:after="0" w:line="40" w:lineRule="exact"/>
        <w:rPr>
          <w:sz w:val="20"/>
          <w:szCs w:val="20"/>
          <w:color w:val="auto"/>
        </w:rPr>
      </w:pPr>
    </w:p>
    <w:p>
      <w:pPr>
        <w:ind w:right="100"/>
        <w:spacing w:after="0" w:line="340" w:lineRule="auto"/>
        <w:rPr>
          <w:sz w:val="20"/>
          <w:szCs w:val="20"/>
          <w:color w:val="auto"/>
        </w:rPr>
      </w:pPr>
      <w:r>
        <w:rPr>
          <w:rFonts w:ascii="Arial" w:cs="Arial" w:eastAsia="Arial" w:hAnsi="Arial"/>
          <w:sz w:val="18"/>
          <w:szCs w:val="18"/>
          <w:color w:val="auto"/>
        </w:rPr>
        <w:t>“While we are pleased to report a record quarter, we know we can do better. We are improving our mix of value-added new products, investing in automation to address rising costs and improving performance at underperforming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2018 Highlights (comparisons on a year-over-year basis):</w:t>
      </w:r>
    </w:p>
    <w:p>
      <w:pPr>
        <w:spacing w:after="0" w:line="175" w:lineRule="exact"/>
        <w:rPr>
          <w:sz w:val="20"/>
          <w:szCs w:val="20"/>
          <w:color w:val="auto"/>
        </w:rPr>
      </w:pPr>
    </w:p>
    <w:p>
      <w:pPr>
        <w:ind w:left="960" w:hanging="645"/>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were $0.66, up from $0.55</w:t>
      </w:r>
    </w:p>
    <w:p>
      <w:pPr>
        <w:spacing w:after="0" w:line="103" w:lineRule="exact"/>
        <w:rPr>
          <w:rFonts w:ascii="Arial" w:cs="Arial" w:eastAsia="Arial" w:hAnsi="Arial"/>
          <w:sz w:val="18"/>
          <w:szCs w:val="18"/>
          <w:color w:val="auto"/>
        </w:rPr>
      </w:pPr>
    </w:p>
    <w:p>
      <w:pPr>
        <w:ind w:left="960" w:hanging="645"/>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attributable to controlling interest were $41.2 million, up 22 percent</w:t>
      </w:r>
    </w:p>
    <w:p>
      <w:pPr>
        <w:spacing w:after="0" w:line="211" w:lineRule="exact"/>
        <w:rPr>
          <w:rFonts w:ascii="Arial" w:cs="Arial" w:eastAsia="Arial" w:hAnsi="Arial"/>
          <w:sz w:val="18"/>
          <w:szCs w:val="18"/>
          <w:color w:val="auto"/>
        </w:rPr>
      </w:pPr>
    </w:p>
    <w:p>
      <w:pPr>
        <w:ind w:left="960" w:hanging="645"/>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were $1.2 billion, up 15 percent</w:t>
      </w:r>
    </w:p>
    <w:p>
      <w:pPr>
        <w:spacing w:after="0" w:line="211" w:lineRule="exact"/>
        <w:rPr>
          <w:rFonts w:ascii="Arial" w:cs="Arial" w:eastAsia="Arial" w:hAnsi="Arial"/>
          <w:sz w:val="18"/>
          <w:szCs w:val="18"/>
          <w:color w:val="auto"/>
        </w:rPr>
      </w:pPr>
    </w:p>
    <w:p>
      <w:pPr>
        <w:ind w:left="960" w:hanging="645"/>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was $72.9 million, up 9 percent</w:t>
      </w:r>
    </w:p>
    <w:p>
      <w:pPr>
        <w:spacing w:after="0" w:line="211" w:lineRule="exact"/>
        <w:rPr>
          <w:rFonts w:ascii="Arial" w:cs="Arial" w:eastAsia="Arial" w:hAnsi="Arial"/>
          <w:sz w:val="18"/>
          <w:szCs w:val="18"/>
          <w:color w:val="auto"/>
        </w:rPr>
      </w:pPr>
    </w:p>
    <w:p>
      <w:pPr>
        <w:ind w:left="960" w:right="520" w:hanging="645"/>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sales increased 17 percent in the Construction market, 15 percent in the Industrial market and 13 percent in the Retail market</w:t>
      </w:r>
    </w:p>
    <w:p>
      <w:pPr>
        <w:spacing w:after="0" w:line="183" w:lineRule="exact"/>
        <w:rPr>
          <w:rFonts w:ascii="Arial" w:cs="Arial" w:eastAsia="Arial" w:hAnsi="Arial"/>
          <w:sz w:val="18"/>
          <w:szCs w:val="18"/>
          <w:color w:val="auto"/>
        </w:rPr>
      </w:pPr>
    </w:p>
    <w:p>
      <w:pPr>
        <w:ind w:left="960" w:hanging="645"/>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 sales contributed 7 percent of gross sales growth; higher prices due to the lumber market contributed 8 percent</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66122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 w:hanging="32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Organic sales contributed 5 percent to unit growth while acquisitions added 2 percent</w:t>
      </w:r>
    </w:p>
    <w:p>
      <w:pPr>
        <w:spacing w:after="0" w:line="211" w:lineRule="exact"/>
        <w:rPr>
          <w:rFonts w:ascii="Arial" w:cs="Arial" w:eastAsia="Arial" w:hAnsi="Arial"/>
          <w:sz w:val="18"/>
          <w:szCs w:val="18"/>
          <w:color w:val="auto"/>
        </w:rPr>
      </w:pPr>
    </w:p>
    <w:p>
      <w:pPr>
        <w:ind w:left="640" w:hanging="32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product sales were $138 million, up 22 percent; year-to date new product sales are $407 million, up 25 percent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market, the company reported the following third-quarter 2018 gross sales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w:t>
      </w:r>
    </w:p>
    <w:p>
      <w:pPr>
        <w:spacing w:after="0" w:line="148" w:lineRule="exact"/>
        <w:rPr>
          <w:sz w:val="20"/>
          <w:szCs w:val="20"/>
          <w:color w:val="auto"/>
        </w:rPr>
      </w:pPr>
    </w:p>
    <w:p>
      <w:pPr>
        <w:ind w:left="320" w:hanging="167"/>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$443 million, up 13 percent over the same period of 2017, as unit sales contributed 4 percent and price increases accounted for 9 percent</w:t>
      </w:r>
    </w:p>
    <w:p>
      <w:pPr>
        <w:spacing w:after="0" w:line="194" w:lineRule="exact"/>
        <w:rPr>
          <w:rFonts w:ascii="Arial" w:cs="Arial" w:eastAsia="Arial" w:hAnsi="Arial"/>
          <w:sz w:val="16"/>
          <w:szCs w:val="16"/>
          <w:color w:val="auto"/>
        </w:rPr>
      </w:pPr>
    </w:p>
    <w:p>
      <w:pPr>
        <w:ind w:left="320" w:hanging="167"/>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Organic sales accounted for all of the unit sales growth</w:t>
      </w:r>
    </w:p>
    <w:p>
      <w:pPr>
        <w:spacing w:after="0" w:line="171" w:lineRule="exact"/>
        <w:rPr>
          <w:rFonts w:ascii="Arial" w:cs="Arial" w:eastAsia="Arial" w:hAnsi="Arial"/>
          <w:sz w:val="18"/>
          <w:szCs w:val="18"/>
          <w:color w:val="auto"/>
        </w:rPr>
      </w:pPr>
    </w:p>
    <w:p>
      <w:pPr>
        <w:ind w:left="320" w:hanging="167"/>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to big box customers increased 11 percent, while sales to independent customers grew 17 percent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Construction</w:t>
      </w:r>
    </w:p>
    <w:p>
      <w:pPr>
        <w:spacing w:after="0" w:line="67" w:lineRule="exact"/>
        <w:rPr>
          <w:sz w:val="20"/>
          <w:szCs w:val="20"/>
          <w:color w:val="auto"/>
        </w:rPr>
      </w:pPr>
    </w:p>
    <w:p>
      <w:pPr>
        <w:ind w:left="320" w:hanging="167"/>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$361 million, up 17 percent over the same period of 2017, as unit sales contributed 9 percent and price increases accounted for 8 percent</w:t>
      </w:r>
    </w:p>
    <w:p>
      <w:pPr>
        <w:spacing w:after="0" w:line="194" w:lineRule="exact"/>
        <w:rPr>
          <w:rFonts w:ascii="Arial" w:cs="Arial" w:eastAsia="Arial" w:hAnsi="Arial"/>
          <w:sz w:val="16"/>
          <w:szCs w:val="16"/>
          <w:color w:val="auto"/>
        </w:rPr>
      </w:pPr>
    </w:p>
    <w:p>
      <w:pPr>
        <w:ind w:left="320" w:hanging="167"/>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Organic sales accounted for 8 percent of the unit sales growth, while acquisitions accounted for 1 percent</w:t>
      </w:r>
    </w:p>
    <w:p>
      <w:pPr>
        <w:spacing w:after="0" w:line="171" w:lineRule="exact"/>
        <w:rPr>
          <w:rFonts w:ascii="Arial" w:cs="Arial" w:eastAsia="Arial" w:hAnsi="Arial"/>
          <w:sz w:val="18"/>
          <w:szCs w:val="18"/>
          <w:color w:val="auto"/>
        </w:rPr>
      </w:pPr>
    </w:p>
    <w:p>
      <w:pPr>
        <w:ind w:left="320" w:right="160" w:hanging="167"/>
        <w:spacing w:after="0" w:line="340"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saw double-digit sales increases to customers in commercial construction (30 percent), residential construction (19 percent) and manufactured housing (10 percent)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Industrial</w:t>
      </w:r>
    </w:p>
    <w:p>
      <w:pPr>
        <w:spacing w:after="0" w:line="175" w:lineRule="exact"/>
        <w:rPr>
          <w:sz w:val="20"/>
          <w:szCs w:val="20"/>
          <w:color w:val="auto"/>
        </w:rPr>
      </w:pPr>
    </w:p>
    <w:p>
      <w:pPr>
        <w:ind w:left="320" w:hanging="167"/>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$429 million, up 15 percent over the same period of 2017, as unit sales accounted for 8 percent and price increases accounted for 7 percent</w:t>
      </w:r>
    </w:p>
    <w:p>
      <w:pPr>
        <w:spacing w:after="0" w:line="194" w:lineRule="exact"/>
        <w:rPr>
          <w:rFonts w:ascii="Arial" w:cs="Arial" w:eastAsia="Arial" w:hAnsi="Arial"/>
          <w:sz w:val="16"/>
          <w:szCs w:val="16"/>
          <w:color w:val="auto"/>
        </w:rPr>
      </w:pPr>
    </w:p>
    <w:p>
      <w:pPr>
        <w:ind w:left="320" w:hanging="167"/>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Organic sales accounted for 3 percent of the unit sales growth, while acquisitions contributed 5 percent</w:t>
      </w:r>
    </w:p>
    <w:p>
      <w:pPr>
        <w:spacing w:after="0" w:line="171" w:lineRule="exact"/>
        <w:rPr>
          <w:rFonts w:ascii="Arial" w:cs="Arial" w:eastAsia="Arial" w:hAnsi="Arial"/>
          <w:sz w:val="18"/>
          <w:szCs w:val="18"/>
          <w:color w:val="auto"/>
        </w:rPr>
      </w:pPr>
    </w:p>
    <w:p>
      <w:pPr>
        <w:ind w:left="320" w:right="320" w:hanging="167"/>
        <w:spacing w:after="0" w:line="340"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sees favorable growth opportunities in the non-wood packaging market and has been adding resources to better serve this market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40"/>
        <w:spacing w:after="0" w:line="367" w:lineRule="auto"/>
        <w:rPr>
          <w:sz w:val="20"/>
          <w:szCs w:val="20"/>
          <w:color w:val="auto"/>
        </w:rPr>
      </w:pPr>
      <w:r>
        <w:rPr>
          <w:rFonts w:ascii="Arial" w:cs="Arial" w:eastAsia="Arial" w:hAnsi="Arial"/>
          <w:sz w:val="16"/>
          <w:szCs w:val="16"/>
          <w:color w:val="auto"/>
        </w:rPr>
        <w:t>Universal Forest Products will conduct a conference call to discuss information included in this news release and related matters at 8:30 a.m. ET on Wednesday, October 17, 2018. The call will be hosted by CEO Matthew J. Missad and CFO Michael Cole, and will be available for analysts and institutional investors domestically at 866-518-4547, and internationally at 213-660-0879. Use conference pass code 1793238. The conference call will be available simultaneously and in its entirety to all interested investors and news media through a webcast at http://www.ufpi.com. A replay of the call will be available through November 17, 2018, at 855-859-2056, 404-537-3406 or 800-585-8367.</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66122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75" w:lineRule="exact"/>
        <w:rPr>
          <w:sz w:val="20"/>
          <w:szCs w:val="20"/>
          <w:color w:val="auto"/>
        </w:rPr>
      </w:pPr>
    </w:p>
    <w:p>
      <w:pPr>
        <w:ind w:right="60"/>
        <w:spacing w:after="0" w:line="353" w:lineRule="auto"/>
        <w:rPr>
          <w:sz w:val="20"/>
          <w:szCs w:val="20"/>
          <w:color w:val="auto"/>
        </w:rPr>
      </w:pPr>
      <w:r>
        <w:rPr>
          <w:rFonts w:ascii="Arial" w:cs="Arial" w:eastAsia="Arial" w:hAnsi="Arial"/>
          <w:sz w:val="17"/>
          <w:szCs w:val="17"/>
          <w:color w:val="auto"/>
        </w:rPr>
        <w:t>Universal Forest Products, Inc. is a holding company whose subsidiaries supply wood, wood composite and other products to three robust markets: retail, construction and industrial. Founded in 1955, the Company is headquartered in Grand Rapids, Mich., with affiliates throughout North America, Europe, Asia and Australia. For more about Universal Forest Products, go to www.ufpi.com.</w:t>
      </w:r>
    </w:p>
    <w:p>
      <w:pPr>
        <w:spacing w:after="0" w:line="33" w:lineRule="exact"/>
        <w:rPr>
          <w:sz w:val="20"/>
          <w:szCs w:val="20"/>
          <w:color w:val="auto"/>
        </w:rPr>
      </w:pPr>
    </w:p>
    <w:p>
      <w:pPr>
        <w:spacing w:after="0" w:line="286" w:lineRule="auto"/>
        <w:rPr>
          <w:sz w:val="20"/>
          <w:szCs w:val="20"/>
          <w:color w:val="auto"/>
        </w:rPr>
      </w:pPr>
      <w:r>
        <w:rPr>
          <w:rFonts w:ascii="Arial" w:cs="Arial" w:eastAsia="Arial" w:hAnsi="Arial"/>
          <w:sz w:val="15"/>
          <w:szCs w:val="15"/>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Non-GAAP Financial Information</w:t>
      </w:r>
    </w:p>
    <w:p>
      <w:pPr>
        <w:spacing w:after="0" w:line="127"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i w:val="1"/>
          <w:iCs w:val="1"/>
          <w:color w:val="auto"/>
        </w:rPr>
        <w:t>This release includes certain financial information not prepared in accordance with U.S. GAAP. Because not all companies calculate non-GAAP financial information identically (or at all), the presentations herein may not be comparable to other similarly titled measures used by other companies. Management considers EBITDA, a non-GAAP measure, an alternative performance measure which may provide useful information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4476750</wp:posOffset>
            </wp:positionV>
            <wp:extent cx="6612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4</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AND NINE MONTHS ENDED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2018/2017</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80" w:type="dxa"/>
            <w:vAlign w:val="bottom"/>
            <w:tcBorders>
              <w:top w:val="single" w:sz="8" w:color="auto"/>
              <w:left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right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7"/>
          </w:tcPr>
          <w:p>
            <w:pPr>
              <w:jc w:val="center"/>
              <w:ind w:right="420"/>
              <w:spacing w:after="0"/>
              <w:rPr>
                <w:sz w:val="20"/>
                <w:szCs w:val="20"/>
                <w:color w:val="auto"/>
              </w:rPr>
            </w:pPr>
            <w:r>
              <w:rPr>
                <w:rFonts w:ascii="Arial" w:cs="Arial" w:eastAsia="Arial" w:hAnsi="Arial"/>
                <w:sz w:val="16"/>
                <w:szCs w:val="16"/>
                <w:b w:val="1"/>
                <w:bCs w:val="1"/>
                <w:color w:val="auto"/>
                <w:w w:val="96"/>
              </w:rPr>
              <w:t>Quarter Period</w:t>
            </w:r>
          </w:p>
        </w:tc>
        <w:tc>
          <w:tcPr>
            <w:tcW w:w="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Year to Date</w:t>
            </w:r>
          </w:p>
        </w:tc>
        <w:tc>
          <w:tcPr>
            <w:tcW w:w="560" w:type="dxa"/>
            <w:vAlign w:val="bottom"/>
            <w:tcBorders>
              <w:top w:val="single" w:sz="8" w:color="auto"/>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1,212,702</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100</w:t>
            </w:r>
          </w:p>
        </w:tc>
        <w:tc>
          <w:tcPr>
            <w:tcW w:w="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1,056,586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3,500,999</w:t>
            </w: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100</w:t>
            </w: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2,975,091</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COST OF GOODS SOLD</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1,054,029</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911,899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3,045,748</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87.0</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2,561,424</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158,673</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144,687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455,251</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13.0</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413,667</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AND</w:t>
            </w: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ADMINISTRATIVE EXPENSES</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102,292</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92,389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8.7</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300,292</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272,956</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FOREIGN CURRENCY EXCHANGE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1,157</w:t>
            </w: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GAIN ON DISPOSITION AND IMPAIRMENT OF</w:t>
            </w: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(7,079)</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(437)</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EARNINGS FROM OPERATIONS</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56,991</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52,271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4.9</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161,825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139,991</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EXPENSE, NET</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4,862</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4,259</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INCOME TAXES</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55,257</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50,919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4.8</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156,963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135,732</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INCOME TAXES</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13,189</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16,250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1.5</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36,183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44,855</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42,068</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34,669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3.3</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120,780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90,877</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LESS NET EARNINGS ATTRIBUTABLE TO</w:t>
            </w: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NONCONTROLLING INTEREST</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(2,480)</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 ATTRIBUTABLE TO</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41,219</w:t>
            </w:r>
          </w:p>
        </w:tc>
        <w:tc>
          <w:tcPr>
            <w:tcW w:w="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33,693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118,096</w:t>
            </w: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88,397</w:t>
            </w:r>
          </w:p>
        </w:tc>
        <w:tc>
          <w:tcPr>
            <w:tcW w:w="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bottom w:val="single" w:sz="8" w:color="CCEEFF"/>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CONTROLLING INTEREST</w:t>
            </w:r>
          </w:p>
        </w:tc>
        <w:tc>
          <w:tcPr>
            <w:tcW w:w="8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 BASIC</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 DILUTED</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43,242</w:t>
            </w: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36,388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117,610</w:t>
            </w: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97,018</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LESS COMPREHENSIVE INCOME ATTRIBUTABLE</w:t>
            </w: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 NONCONTROLLING INTEREST</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(3,296)</w:t>
            </w: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(3,862)</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ATTRIBUTABLE TO</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41,659</w:t>
            </w:r>
          </w:p>
        </w:tc>
        <w:tc>
          <w:tcPr>
            <w:tcW w:w="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35,413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114,314</w:t>
            </w: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93,156</w:t>
            </w:r>
          </w:p>
        </w:tc>
        <w:tc>
          <w:tcPr>
            <w:tcW w:w="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bottom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CONTROLLING INTEREST</w:t>
            </w:r>
          </w:p>
        </w:tc>
        <w:tc>
          <w:tcPr>
            <w:tcW w:w="8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20" w:type="dxa"/>
            <w:vAlign w:val="bottom"/>
            <w:gridSpan w:val="3"/>
          </w:tcPr>
          <w:p>
            <w:pPr>
              <w:ind w:left="20"/>
              <w:spacing w:after="0" w:line="170" w:lineRule="exact"/>
              <w:rPr>
                <w:sz w:val="20"/>
                <w:szCs w:val="20"/>
                <w:color w:val="auto"/>
              </w:rPr>
            </w:pPr>
            <w:r>
              <w:rPr>
                <w:rFonts w:ascii="Arial" w:cs="Arial" w:eastAsia="Arial" w:hAnsi="Arial"/>
                <w:sz w:val="18"/>
                <w:szCs w:val="18"/>
                <w:b w:val="1"/>
                <w:bCs w:val="1"/>
                <w:color w:val="auto"/>
              </w:rPr>
              <w:t>SUPPLEMENTAL SALES DATA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8"/>
                <w:szCs w:val="18"/>
                <w:b w:val="1"/>
                <w:bCs w:val="1"/>
                <w:color w:val="auto"/>
                <w:w w:val="93"/>
              </w:rPr>
              <w:t>Quarter Period</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rPr>
              <w:t>Year to Date</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220" w:type="dxa"/>
            <w:vAlign w:val="bottom"/>
            <w:gridSpan w:val="3"/>
          </w:tcPr>
          <w:p>
            <w:pPr>
              <w:ind w:left="20"/>
              <w:spacing w:after="0" w:line="170" w:lineRule="exact"/>
              <w:rPr>
                <w:sz w:val="20"/>
                <w:szCs w:val="20"/>
                <w:color w:val="auto"/>
              </w:rPr>
            </w:pPr>
            <w:r>
              <w:rPr>
                <w:rFonts w:ascii="Arial" w:cs="Arial" w:eastAsia="Arial" w:hAnsi="Arial"/>
                <w:sz w:val="18"/>
                <w:szCs w:val="18"/>
                <w:b w:val="1"/>
                <w:bCs w:val="1"/>
                <w:color w:val="auto"/>
              </w:rPr>
              <w:t>Market Classification</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7"/>
              <w:spacing w:after="0" w:line="170" w:lineRule="exact"/>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right w:val="single" w:sz="8" w:color="auto"/>
            </w:tcBorders>
            <w:gridSpan w:val="3"/>
          </w:tcPr>
          <w:p>
            <w:pPr>
              <w:jc w:val="right"/>
              <w:ind w:right="379"/>
              <w:spacing w:after="0" w:line="170"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ind w:left="60"/>
              <w:spacing w:after="0" w:line="170"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60" w:type="dxa"/>
            <w:vAlign w:val="bottom"/>
          </w:tcPr>
          <w:p>
            <w:pPr>
              <w:jc w:val="right"/>
              <w:ind w:right="17"/>
              <w:spacing w:after="0" w:line="170"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ind w:left="200"/>
              <w:spacing w:after="0" w:line="170"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196"/>
              <w:spacing w:after="0" w:line="170" w:lineRule="exact"/>
              <w:rPr>
                <w:sz w:val="20"/>
                <w:szCs w:val="20"/>
                <w:color w:val="auto"/>
              </w:rPr>
            </w:pPr>
            <w:r>
              <w:rPr>
                <w:rFonts w:ascii="Arial" w:cs="Arial" w:eastAsia="Arial" w:hAnsi="Arial"/>
                <w:sz w:val="18"/>
                <w:szCs w:val="18"/>
                <w:b w:val="1"/>
                <w:bCs w:val="1"/>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Retail</w:t>
            </w:r>
          </w:p>
        </w:tc>
        <w:tc>
          <w:tcPr>
            <w:tcW w:w="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443,044</w:t>
            </w:r>
          </w:p>
        </w:tc>
        <w:tc>
          <w:tcPr>
            <w:tcW w:w="2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391,043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$ 1,359,498</w:t>
            </w:r>
          </w:p>
        </w:tc>
        <w:tc>
          <w:tcPr>
            <w:tcW w:w="280" w:type="dxa"/>
            <w:vAlign w:val="bottom"/>
            <w:tcBorders>
              <w:right w:val="single" w:sz="8" w:color="auto"/>
            </w:tcBorders>
            <w:shd w:val="clear" w:color="auto" w:fill="CCEEFF"/>
          </w:tcPr>
          <w:p>
            <w:pPr>
              <w:spacing w:after="0"/>
              <w:rPr>
                <w:sz w:val="18"/>
                <w:szCs w:val="18"/>
                <w:color w:val="auto"/>
              </w:rPr>
            </w:pPr>
          </w:p>
        </w:tc>
        <w:tc>
          <w:tcPr>
            <w:tcW w:w="1080" w:type="dxa"/>
            <w:vAlign w:val="bottom"/>
            <w:tcBorders>
              <w:right w:val="single" w:sz="8" w:color="auto"/>
            </w:tcBorders>
            <w:gridSpan w:val="4"/>
            <w:shd w:val="clear" w:color="auto" w:fill="CCEEFF"/>
          </w:tcPr>
          <w:p>
            <w:pPr>
              <w:jc w:val="right"/>
              <w:ind w:right="139"/>
              <w:spacing w:after="0"/>
              <w:rPr>
                <w:sz w:val="20"/>
                <w:szCs w:val="20"/>
                <w:color w:val="auto"/>
              </w:rPr>
            </w:pPr>
            <w:r>
              <w:rPr>
                <w:rFonts w:ascii="Arial" w:cs="Arial" w:eastAsia="Arial" w:hAnsi="Arial"/>
                <w:sz w:val="18"/>
                <w:szCs w:val="18"/>
                <w:color w:val="auto"/>
                <w:w w:val="88"/>
              </w:rPr>
              <w:t>$ 1,161,662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17%</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3"/>
          </w:tcPr>
          <w:p>
            <w:pPr>
              <w:ind w:left="20"/>
              <w:spacing w:after="0"/>
              <w:rPr>
                <w:sz w:val="20"/>
                <w:szCs w:val="20"/>
                <w:color w:val="auto"/>
              </w:rPr>
            </w:pPr>
            <w:r>
              <w:rPr>
                <w:rFonts w:ascii="Arial" w:cs="Arial" w:eastAsia="Arial" w:hAnsi="Arial"/>
                <w:sz w:val="18"/>
                <w:szCs w:val="18"/>
                <w:b w:val="1"/>
                <w:bCs w:val="1"/>
                <w:color w:val="auto"/>
              </w:rPr>
              <w:t>Industrial</w:t>
            </w: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429,467</w:t>
            </w: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rPr>
              <w:t>374,018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1,166,523</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rPr>
              <w:t>995,078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4"/>
              </w:rPr>
              <w:t>17%</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Construction</w:t>
            </w:r>
          </w:p>
        </w:tc>
        <w:tc>
          <w:tcPr>
            <w:tcW w:w="8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361,179</w:t>
            </w: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308,585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1,039,705</w:t>
            </w: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867,958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20%</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Gross Sales</w:t>
            </w: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1,233,690</w:t>
            </w: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w w:val="92"/>
              </w:rPr>
              <w:t>1,073,646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3,565,726</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w w:val="94"/>
              </w:rPr>
              <w:t>3,024,698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4"/>
              </w:rPr>
              <w:t>18%</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Sales Allowances</w:t>
            </w:r>
          </w:p>
        </w:tc>
        <w:tc>
          <w:tcPr>
            <w:tcW w:w="8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gridSpan w:val="3"/>
            <w:shd w:val="clear" w:color="auto" w:fill="CCEEFF"/>
          </w:tcPr>
          <w:p>
            <w:pPr>
              <w:jc w:val="right"/>
              <w:ind w:right="118"/>
              <w:spacing w:after="0"/>
              <w:rPr>
                <w:sz w:val="20"/>
                <w:szCs w:val="20"/>
                <w:color w:val="auto"/>
              </w:rPr>
            </w:pPr>
            <w:r>
              <w:rPr>
                <w:rFonts w:ascii="Arial" w:cs="Arial" w:eastAsia="Arial" w:hAnsi="Arial"/>
                <w:sz w:val="18"/>
                <w:szCs w:val="18"/>
                <w:color w:val="auto"/>
              </w:rPr>
              <w:t>(20,988)</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(17,060)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-23%</w:t>
            </w:r>
          </w:p>
        </w:tc>
        <w:tc>
          <w:tcPr>
            <w:tcW w:w="1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(64,727)</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(49,607)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0"/>
              </w:rPr>
              <w:t>-30%</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Net Sales</w:t>
            </w:r>
          </w:p>
        </w:tc>
        <w:tc>
          <w:tcPr>
            <w:tcW w:w="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1,212,702</w:t>
            </w:r>
          </w:p>
        </w:tc>
        <w:tc>
          <w:tcPr>
            <w:tcW w:w="2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gridSpan w:val="4"/>
          </w:tcPr>
          <w:p>
            <w:pPr>
              <w:jc w:val="right"/>
              <w:ind w:right="139"/>
              <w:spacing w:after="0"/>
              <w:rPr>
                <w:sz w:val="20"/>
                <w:szCs w:val="20"/>
                <w:color w:val="auto"/>
              </w:rPr>
            </w:pPr>
            <w:r>
              <w:rPr>
                <w:rFonts w:ascii="Arial" w:cs="Arial" w:eastAsia="Arial" w:hAnsi="Arial"/>
                <w:sz w:val="18"/>
                <w:szCs w:val="18"/>
                <w:color w:val="auto"/>
                <w:w w:val="90"/>
              </w:rPr>
              <w:t>$ 1,056,586</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$ 3,500,999</w:t>
            </w:r>
          </w:p>
        </w:tc>
        <w:tc>
          <w:tcPr>
            <w:tcW w:w="2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4"/>
          </w:tcPr>
          <w:p>
            <w:pPr>
              <w:jc w:val="right"/>
              <w:ind w:right="139"/>
              <w:spacing w:after="0"/>
              <w:rPr>
                <w:sz w:val="20"/>
                <w:szCs w:val="20"/>
                <w:color w:val="auto"/>
              </w:rPr>
            </w:pPr>
            <w:r>
              <w:rPr>
                <w:rFonts w:ascii="Arial" w:cs="Arial" w:eastAsia="Arial" w:hAnsi="Arial"/>
                <w:sz w:val="18"/>
                <w:szCs w:val="18"/>
                <w:color w:val="auto"/>
                <w:w w:val="88"/>
              </w:rPr>
              <w:t>$ 2,975,091</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18%</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40" w:top="121" w:right="69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5</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2018/2017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2940" w:type="dxa"/>
            <w:vAlign w:val="bottom"/>
          </w:tcPr>
          <w:p>
            <w:pPr>
              <w:ind w:left="16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99"/>
        </w:trPr>
        <w:tc>
          <w:tcPr>
            <w:tcW w:w="40" w:type="dxa"/>
            <w:vAlign w:val="bottom"/>
            <w:tcBorders>
              <w:right w:val="single" w:sz="8" w:color="auto"/>
            </w:tcBorders>
          </w:tcPr>
          <w:p>
            <w:pPr>
              <w:spacing w:after="0"/>
              <w:rPr>
                <w:sz w:val="24"/>
                <w:szCs w:val="24"/>
                <w:color w:val="auto"/>
              </w:rPr>
            </w:pPr>
          </w:p>
        </w:tc>
        <w:tc>
          <w:tcPr>
            <w:tcW w:w="27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29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26,327</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22,044</w:t>
            </w:r>
          </w:p>
        </w:tc>
        <w:tc>
          <w:tcPr>
            <w:tcW w:w="294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Cash overdraft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31,115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26,617</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7"/>
                <w:szCs w:val="17"/>
                <w:color w:val="auto"/>
              </w:rPr>
            </w:pPr>
          </w:p>
        </w:tc>
        <w:tc>
          <w:tcPr>
            <w:tcW w:w="10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1,024</w:t>
            </w:r>
          </w:p>
        </w:tc>
        <w:tc>
          <w:tcPr>
            <w:tcW w:w="20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29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7"/>
                <w:szCs w:val="17"/>
                <w:color w:val="auto"/>
              </w:rPr>
            </w:pPr>
          </w:p>
        </w:tc>
        <w:tc>
          <w:tcPr>
            <w:tcW w:w="104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175,912</w:t>
            </w:r>
          </w:p>
        </w:tc>
        <w:tc>
          <w:tcPr>
            <w:tcW w:w="180" w:type="dxa"/>
            <w:vAlign w:val="bottom"/>
          </w:tcPr>
          <w:p>
            <w:pPr>
              <w:spacing w:after="0"/>
              <w:rPr>
                <w:sz w:val="17"/>
                <w:szCs w:val="17"/>
                <w:color w:val="auto"/>
              </w:rPr>
            </w:pPr>
          </w:p>
        </w:tc>
        <w:tc>
          <w:tcPr>
            <w:tcW w:w="9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171,774</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15,809</w:t>
            </w: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10,781</w:t>
            </w:r>
          </w:p>
        </w:tc>
        <w:tc>
          <w:tcPr>
            <w:tcW w:w="294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151,102</w:t>
            </w: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138,364</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bottom w:val="single" w:sz="8" w:color="CCEEFF"/>
              <w:right w:val="single" w:sz="8" w:color="auto"/>
            </w:tcBorders>
          </w:tcPr>
          <w:p>
            <w:pPr>
              <w:ind w:left="200"/>
              <w:spacing w:after="0"/>
              <w:rPr>
                <w:sz w:val="20"/>
                <w:szCs w:val="20"/>
                <w:color w:val="auto"/>
              </w:rPr>
            </w:pPr>
            <w:r>
              <w:rPr>
                <w:rFonts w:ascii="Arial" w:cs="Arial" w:eastAsia="Arial" w:hAnsi="Arial"/>
                <w:sz w:val="16"/>
                <w:szCs w:val="16"/>
                <w:color w:val="auto"/>
              </w:rPr>
              <w:t>Accounts receivable</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right w:val="single" w:sz="8" w:color="auto"/>
            </w:tcBorders>
          </w:tcPr>
          <w:p>
            <w:pPr>
              <w:jc w:val="right"/>
              <w:ind w:right="219"/>
              <w:spacing w:after="0"/>
              <w:rPr>
                <w:sz w:val="20"/>
                <w:szCs w:val="20"/>
                <w:color w:val="auto"/>
              </w:rPr>
            </w:pPr>
            <w:r>
              <w:rPr>
                <w:rFonts w:ascii="Arial" w:cs="Arial" w:eastAsia="Arial" w:hAnsi="Arial"/>
                <w:sz w:val="16"/>
                <w:szCs w:val="16"/>
                <w:color w:val="auto"/>
              </w:rPr>
              <w:t>454,935</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rPr>
              <w:t>419,183</w:t>
            </w:r>
          </w:p>
        </w:tc>
        <w:tc>
          <w:tcPr>
            <w:tcW w:w="2940" w:type="dxa"/>
            <w:vAlign w:val="bottom"/>
            <w:tcBorders>
              <w:bottom w:val="single" w:sz="8" w:color="CCEEFF"/>
              <w:right w:val="single" w:sz="8" w:color="auto"/>
            </w:tcBorders>
          </w:tcPr>
          <w:p>
            <w:pPr>
              <w:ind w:left="380"/>
              <w:spacing w:after="0"/>
              <w:rPr>
                <w:sz w:val="20"/>
                <w:szCs w:val="20"/>
                <w:color w:val="auto"/>
              </w:rPr>
            </w:pPr>
            <w:r>
              <w:rPr>
                <w:rFonts w:ascii="Arial" w:cs="Arial" w:eastAsia="Arial" w:hAnsi="Arial"/>
                <w:sz w:val="16"/>
                <w:szCs w:val="16"/>
                <w:color w:val="auto"/>
              </w:rPr>
              <w:t>Current portion of debt</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149</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510,057</w:t>
            </w: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412,486</w:t>
            </w:r>
          </w:p>
        </w:tc>
        <w:tc>
          <w:tcPr>
            <w:tcW w:w="29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bottom w:val="single" w:sz="8" w:color="CCEEFF"/>
              <w:right w:val="single" w:sz="8" w:color="auto"/>
            </w:tcBorders>
          </w:tcPr>
          <w:p>
            <w:pPr>
              <w:ind w:left="20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38,699</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23,201</w:t>
            </w:r>
          </w:p>
        </w:tc>
        <w:tc>
          <w:tcPr>
            <w:tcW w:w="2940" w:type="dxa"/>
            <w:vAlign w:val="bottom"/>
            <w:tcBorders>
              <w:bottom w:val="single" w:sz="8" w:color="CCEEFF"/>
              <w:right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9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Pr>
          <w:p>
            <w:pPr>
              <w:spacing w:after="0"/>
              <w:rPr>
                <w:sz w:val="17"/>
                <w:szCs w:val="17"/>
                <w:color w:val="auto"/>
              </w:rPr>
            </w:pPr>
          </w:p>
        </w:tc>
        <w:tc>
          <w:tcPr>
            <w:tcW w:w="10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1,046,851</w:t>
            </w:r>
          </w:p>
        </w:tc>
        <w:tc>
          <w:tcPr>
            <w:tcW w:w="20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888,600</w:t>
            </w:r>
          </w:p>
        </w:tc>
        <w:tc>
          <w:tcPr>
            <w:tcW w:w="2940" w:type="dxa"/>
            <w:vAlign w:val="bottom"/>
            <w:tcBorders>
              <w:right w:val="single" w:sz="8" w:color="auto"/>
            </w:tcBorders>
          </w:tcPr>
          <w:p>
            <w:pPr>
              <w:ind w:left="16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Pr>
          <w:p>
            <w:pPr>
              <w:spacing w:after="0"/>
              <w:rPr>
                <w:sz w:val="17"/>
                <w:szCs w:val="17"/>
                <w:color w:val="auto"/>
              </w:rPr>
            </w:pPr>
          </w:p>
        </w:tc>
        <w:tc>
          <w:tcPr>
            <w:tcW w:w="104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358,278</w:t>
            </w:r>
          </w:p>
        </w:tc>
        <w:tc>
          <w:tcPr>
            <w:tcW w:w="180" w:type="dxa"/>
            <w:vAlign w:val="bottom"/>
          </w:tcPr>
          <w:p>
            <w:pPr>
              <w:spacing w:after="0"/>
              <w:rPr>
                <w:sz w:val="17"/>
                <w:szCs w:val="17"/>
                <w:color w:val="auto"/>
              </w:rPr>
            </w:pPr>
          </w:p>
        </w:tc>
        <w:tc>
          <w:tcPr>
            <w:tcW w:w="9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338,952</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9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7"/>
                <w:szCs w:val="17"/>
                <w:color w:val="auto"/>
              </w:rPr>
            </w:pPr>
          </w:p>
        </w:tc>
        <w:tc>
          <w:tcPr>
            <w:tcW w:w="10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22,345</w:t>
            </w:r>
          </w:p>
        </w:tc>
        <w:tc>
          <w:tcPr>
            <w:tcW w:w="20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17,515</w:t>
            </w:r>
          </w:p>
        </w:tc>
        <w:tc>
          <w:tcPr>
            <w:tcW w:w="29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29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LONG-TERM DEBT AND</w:t>
            </w:r>
          </w:p>
        </w:tc>
        <w:tc>
          <w:tcPr>
            <w:tcW w:w="2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INTANGIBLE ASSETS, NET</w:t>
            </w:r>
          </w:p>
        </w:tc>
        <w:tc>
          <w:tcPr>
            <w:tcW w:w="20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261,666</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255,330</w:t>
            </w:r>
          </w:p>
        </w:tc>
        <w:tc>
          <w:tcPr>
            <w:tcW w:w="29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CAPITAL LEASE OBLIGATIONS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186,539</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145,884</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16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7"/>
                <w:szCs w:val="17"/>
                <w:color w:val="auto"/>
              </w:rPr>
            </w:pPr>
          </w:p>
        </w:tc>
        <w:tc>
          <w:tcPr>
            <w:tcW w:w="104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40,630</w:t>
            </w:r>
          </w:p>
        </w:tc>
        <w:tc>
          <w:tcPr>
            <w:tcW w:w="180" w:type="dxa"/>
            <w:vAlign w:val="bottom"/>
          </w:tcPr>
          <w:p>
            <w:pPr>
              <w:spacing w:after="0"/>
              <w:rPr>
                <w:sz w:val="17"/>
                <w:szCs w:val="17"/>
                <w:color w:val="auto"/>
              </w:rPr>
            </w:pPr>
          </w:p>
        </w:tc>
        <w:tc>
          <w:tcPr>
            <w:tcW w:w="9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51,638</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PROPERTY, PLANT AND</w:t>
            </w:r>
          </w:p>
        </w:tc>
        <w:tc>
          <w:tcPr>
            <w:tcW w:w="20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29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EQUIPMENT, NET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346,309</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325,109</w:t>
            </w:r>
          </w:p>
        </w:tc>
        <w:tc>
          <w:tcPr>
            <w:tcW w:w="29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EQUITY</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1,091,724</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950,080</w:t>
            </w: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9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vMerge w:val="restart"/>
          </w:tcPr>
          <w:p>
            <w:pPr>
              <w:jc w:val="right"/>
              <w:ind w:right="219"/>
              <w:spacing w:after="0"/>
              <w:rPr>
                <w:sz w:val="20"/>
                <w:szCs w:val="20"/>
                <w:color w:val="auto"/>
              </w:rPr>
            </w:pPr>
            <w:r>
              <w:rPr>
                <w:rFonts w:ascii="Arial" w:cs="Arial" w:eastAsia="Arial" w:hAnsi="Arial"/>
                <w:sz w:val="16"/>
                <w:szCs w:val="16"/>
                <w:color w:val="auto"/>
              </w:rPr>
              <w:t>1,677,171</w:t>
            </w: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1,486,554</w:t>
            </w:r>
          </w:p>
        </w:tc>
        <w:tc>
          <w:tcPr>
            <w:tcW w:w="2940" w:type="dxa"/>
            <w:vAlign w:val="bottom"/>
            <w:tcBorders>
              <w:right w:val="single" w:sz="8" w:color="auto"/>
            </w:tcBorders>
          </w:tcPr>
          <w:p>
            <w:pPr>
              <w:ind w:left="160"/>
              <w:spacing w:after="0"/>
              <w:rPr>
                <w:sz w:val="20"/>
                <w:szCs w:val="20"/>
                <w:color w:val="auto"/>
              </w:rPr>
            </w:pPr>
            <w:r>
              <w:rPr>
                <w:rFonts w:ascii="Arial" w:cs="Arial" w:eastAsia="Arial" w:hAnsi="Arial"/>
                <w:sz w:val="16"/>
                <w:szCs w:val="16"/>
                <w:b w:val="1"/>
                <w:bCs w:val="1"/>
                <w:color w:val="auto"/>
              </w:rPr>
              <w:t>TOTAL LIABILITIES AND</w:t>
            </w: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vMerge w:val="restart"/>
          </w:tcPr>
          <w:p>
            <w:pPr>
              <w:jc w:val="right"/>
              <w:ind w:right="199"/>
              <w:spacing w:after="0"/>
              <w:rPr>
                <w:sz w:val="20"/>
                <w:szCs w:val="20"/>
                <w:color w:val="auto"/>
              </w:rPr>
            </w:pPr>
            <w:r>
              <w:rPr>
                <w:rFonts w:ascii="Arial" w:cs="Arial" w:eastAsia="Arial" w:hAnsi="Arial"/>
                <w:sz w:val="16"/>
                <w:szCs w:val="16"/>
                <w:color w:val="auto"/>
              </w:rPr>
              <w:t>1,677,171</w:t>
            </w: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1,486,554</w:t>
            </w: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right w:val="single" w:sz="8" w:color="auto"/>
            </w:tcBorders>
            <w:vMerge w:val="continue"/>
          </w:tcPr>
          <w:p>
            <w:pPr>
              <w:spacing w:after="0"/>
              <w:rPr>
                <w:sz w:val="18"/>
                <w:szCs w:val="18"/>
                <w:color w:val="auto"/>
              </w:rPr>
            </w:pPr>
          </w:p>
        </w:tc>
        <w:tc>
          <w:tcPr>
            <w:tcW w:w="2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EQUITY</w:t>
            </w:r>
          </w:p>
        </w:tc>
        <w:tc>
          <w:tcPr>
            <w:tcW w:w="2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740" w:top="121" w:right="71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6</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2018/2017</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r>
      <w:tr>
        <w:trPr>
          <w:trHeight w:val="196"/>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120,780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90,877</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Adjustments to reconcile net earnings to net cash from operating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40,490</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36,010</w:t>
            </w:r>
          </w:p>
        </w:tc>
      </w:tr>
      <w:tr>
        <w:trPr>
          <w:trHeight w:val="203"/>
        </w:trPr>
        <w:tc>
          <w:tcPr>
            <w:tcW w:w="78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4,274</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3,549</w:t>
            </w: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Expense associated with share-based and grant compensation arrangements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2,762</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2,122</w:t>
            </w:r>
          </w:p>
        </w:tc>
      </w:tr>
      <w:tr>
        <w:trPr>
          <w:trHeight w:val="203"/>
        </w:trPr>
        <w:tc>
          <w:tcPr>
            <w:tcW w:w="78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Deferred income taxes (credit)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(583)</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Equity in earnings of investee</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r>
      <w:tr>
        <w:trPr>
          <w:trHeight w:val="203"/>
        </w:trPr>
        <w:tc>
          <w:tcPr>
            <w:tcW w:w="78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Net gain on disposition and impairment of assets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(7,079)</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(437)</w:t>
            </w: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Changes in:</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(121,067)</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(121,688)</w:t>
            </w:r>
          </w:p>
        </w:tc>
      </w:tr>
      <w:tr>
        <w:trPr>
          <w:trHeight w:val="203"/>
        </w:trPr>
        <w:tc>
          <w:tcPr>
            <w:tcW w:w="78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(39,448)</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(820)</w:t>
            </w:r>
          </w:p>
        </w:tc>
      </w:tr>
      <w:tr>
        <w:trPr>
          <w:trHeight w:val="203"/>
        </w:trPr>
        <w:tc>
          <w:tcPr>
            <w:tcW w:w="788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Accounts payable and cash overdraft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38,611</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53,424</w:t>
            </w:r>
          </w:p>
        </w:tc>
      </w:tr>
      <w:tr>
        <w:trPr>
          <w:trHeight w:val="203"/>
        </w:trPr>
        <w:tc>
          <w:tcPr>
            <w:tcW w:w="7880" w:type="dxa"/>
            <w:vAlign w:val="bottom"/>
            <w:tcBorders>
              <w:left w:val="single" w:sz="8" w:color="auto"/>
              <w:bottom w:val="single" w:sz="8" w:color="CCEEFF"/>
              <w:right w:val="single" w:sz="8" w:color="auto"/>
            </w:tcBorders>
          </w:tcPr>
          <w:p>
            <w:pPr>
              <w:ind w:left="340"/>
              <w:spacing w:after="0"/>
              <w:rPr>
                <w:sz w:val="20"/>
                <w:szCs w:val="20"/>
                <w:color w:val="auto"/>
              </w:rPr>
            </w:pPr>
            <w:r>
              <w:rPr>
                <w:rFonts w:ascii="Arial" w:cs="Arial" w:eastAsia="Arial" w:hAnsi="Arial"/>
                <w:sz w:val="16"/>
                <w:szCs w:val="16"/>
                <w:color w:val="auto"/>
              </w:rPr>
              <w:t>Accrued liabilities and other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21,361</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34,221</w:t>
            </w:r>
          </w:p>
        </w:tc>
      </w:tr>
      <w:tr>
        <w:trPr>
          <w:trHeight w:val="196"/>
        </w:trPr>
        <w:tc>
          <w:tcPr>
            <w:tcW w:w="7880" w:type="dxa"/>
            <w:vAlign w:val="bottom"/>
            <w:tcBorders>
              <w:left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FROM OPERATING ACTIVITIES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60,101</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97,350</w:t>
            </w:r>
          </w:p>
        </w:tc>
      </w:tr>
      <w:tr>
        <w:trPr>
          <w:trHeight w:val="203"/>
        </w:trPr>
        <w:tc>
          <w:tcPr>
            <w:tcW w:w="78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(74,541)</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(57,189)</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37,612</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2,121</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Acquisitions and purchase of noncontrolling interest, net of cash received</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(38,963)</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(59,859)</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(12,401)</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(12,155)</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Proceeds from sale of investments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3,298</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4,227</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(620)</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1,480</w:t>
            </w:r>
          </w:p>
        </w:tc>
      </w:tr>
      <w:tr>
        <w:trPr>
          <w:trHeight w:val="196"/>
        </w:trPr>
        <w:tc>
          <w:tcPr>
            <w:tcW w:w="788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(85,615)</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(121,375)</w:t>
            </w: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Borrowings under revolving credit facilities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636,798</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610,038</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Repayments under revolving credit facilities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(668,941)</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(573,829)</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Borrowings of debt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927</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Repayments of debt</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(5,511)</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Issuance of long-term debt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75,000</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756</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476</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(2,239)</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(3,272)</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Dividends paid to shareholders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(11,090)</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(9,207)</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(1,843)</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(12,976)</w:t>
            </w: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(55)</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196"/>
        </w:trPr>
        <w:tc>
          <w:tcPr>
            <w:tcW w:w="7880" w:type="dxa"/>
            <w:vAlign w:val="bottom"/>
            <w:tcBorders>
              <w:left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FROM (USED IN) FINANCING ACTIVITIES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23,802</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11,230</w:t>
            </w:r>
          </w:p>
        </w:tc>
      </w:tr>
      <w:tr>
        <w:trPr>
          <w:trHeight w:val="203"/>
        </w:trPr>
        <w:tc>
          <w:tcPr>
            <w:tcW w:w="78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247</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1,255</w:t>
            </w:r>
          </w:p>
        </w:tc>
      </w:tr>
      <w:tr>
        <w:trPr>
          <w:trHeight w:val="196"/>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(1,465)</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(11,540)</w:t>
            </w: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ALL CASH AND CASH EQUIVALENTS, BEGINNING OF PERIOD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28,816</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34,489</w:t>
            </w:r>
          </w:p>
        </w:tc>
      </w:tr>
      <w:tr>
        <w:trPr>
          <w:trHeight w:val="196"/>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10"/>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ALL CASH AND CASH EQUIVALENTS, END OF PERIOD</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27,351</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22,949</w:t>
            </w: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28,339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34,091</w:t>
            </w: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Restricted cash, beginning of period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477</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398</w:t>
            </w:r>
          </w:p>
        </w:tc>
      </w:tr>
      <w:tr>
        <w:trPr>
          <w:trHeight w:val="196"/>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 cash and cash equivalents, beginning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28,816</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34,489</w:t>
            </w:r>
          </w:p>
        </w:tc>
      </w:tr>
      <w:tr>
        <w:trPr>
          <w:trHeight w:val="203"/>
        </w:trPr>
        <w:tc>
          <w:tcPr>
            <w:tcW w:w="78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26,327</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22,044</w:t>
            </w: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Restricted cash, end of period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1,024</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905</w:t>
            </w:r>
          </w:p>
        </w:tc>
      </w:tr>
      <w:tr>
        <w:trPr>
          <w:trHeight w:val="203"/>
        </w:trPr>
        <w:tc>
          <w:tcPr>
            <w:tcW w:w="78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 cash and cash equivalents, end of period</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27,351</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22,949</w:t>
            </w:r>
          </w:p>
        </w:tc>
      </w:tr>
      <w:tr>
        <w:trPr>
          <w:trHeight w:val="203"/>
        </w:trPr>
        <w:tc>
          <w:tcPr>
            <w:tcW w:w="7880" w:type="dxa"/>
            <w:vAlign w:val="bottom"/>
            <w:tcBorders>
              <w:left w:val="single" w:sz="8" w:color="auto"/>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878"/>
        </w:trPr>
        <w:tc>
          <w:tcPr>
            <w:tcW w:w="7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121" w:right="71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7</w:t>
      </w:r>
    </w:p>
    <w:p>
      <w:pPr>
        <w:spacing w:after="0" w:line="200" w:lineRule="exact"/>
        <w:rPr>
          <w:sz w:val="20"/>
          <w:szCs w:val="20"/>
          <w:color w:val="auto"/>
        </w:rPr>
      </w:pPr>
    </w:p>
    <w:p>
      <w:pPr>
        <w:spacing w:after="0" w:line="223" w:lineRule="exact"/>
        <w:rPr>
          <w:sz w:val="20"/>
          <w:szCs w:val="20"/>
          <w:color w:val="auto"/>
        </w:rPr>
      </w:pPr>
    </w:p>
    <w:p>
      <w:pPr>
        <w:jc w:val="center"/>
        <w:ind w:left="760" w:right="2540"/>
        <w:spacing w:after="0" w:line="266" w:lineRule="auto"/>
        <w:rPr>
          <w:sz w:val="20"/>
          <w:szCs w:val="20"/>
          <w:color w:val="auto"/>
        </w:rPr>
      </w:pPr>
      <w:r>
        <w:rPr>
          <w:rFonts w:ascii="Arial" w:cs="Arial" w:eastAsia="Arial" w:hAnsi="Arial"/>
          <w:sz w:val="18"/>
          <w:szCs w:val="18"/>
          <w:b w:val="1"/>
          <w:bCs w:val="1"/>
          <w:color w:val="auto"/>
        </w:rPr>
        <w:t>EBITDA RECONCILIATION TO NET EARNINGS (UNAUDITED) FOR THE THREE AND NINE MONTHS ENDED SEPTEMBER 2018/2017</w:t>
      </w: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60" w:type="dxa"/>
            <w:vAlign w:val="bottom"/>
            <w:tcBorders>
              <w:top w:val="single" w:sz="8" w:color="auto"/>
              <w:left w:val="single" w:sz="8" w:color="auto"/>
              <w:bottom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right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Quarter Period</w:t>
            </w: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to Date</w:t>
            </w: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bottom w:val="single" w:sz="8" w:color="CCEEFF"/>
              <w:right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90,877</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44,855</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Expense associated with Share-Based Compensation Arrangements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Gain on Disposition and Impairment of Assets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(1,022)</w:t>
            </w:r>
          </w:p>
        </w:tc>
        <w:tc>
          <w:tcPr>
            <w:tcW w:w="2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(7,079)</w:t>
            </w:r>
          </w:p>
        </w:tc>
        <w:tc>
          <w:tcPr>
            <w:tcW w:w="4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12,762</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40,490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36,010</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EBITDA</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72,936</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66,800</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203,381</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181,800</w:t>
            </w:r>
          </w:p>
        </w:tc>
        <w:tc>
          <w:tcPr>
            <w:tcW w:w="0" w:type="dxa"/>
            <w:vAlign w:val="bottom"/>
          </w:tcPr>
          <w:p>
            <w:pPr>
              <w:spacing w:after="0"/>
              <w:rPr>
                <w:sz w:val="1"/>
                <w:szCs w:val="1"/>
                <w:color w:val="auto"/>
              </w:rPr>
            </w:pPr>
          </w:p>
        </w:tc>
      </w:tr>
      <w:tr>
        <w:trPr>
          <w:trHeight w:val="446"/>
        </w:trPr>
        <w:tc>
          <w:tcPr>
            <w:tcW w:w="5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420"/>
      </w:cols>
      <w:pgMar w:left="740" w:top="12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2019-12-28T18:56:56Z</dcterms:created>
  <dcterms:modified xsi:type="dcterms:W3CDTF">2019-12-28T18:56:56Z</dcterms:modified>
</cp:coreProperties>
</file>