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As filed with the Securities and Exchange Commission on April 18, 2008 — Registration No. 333-__________</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S-8</w:t>
      </w:r>
    </w:p>
    <w:p>
      <w:pPr>
        <w:spacing w:after="0" w:line="29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REGISTRATION STATEMENT</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SECURITIES ACT OF 1933</w:t>
      </w:r>
    </w:p>
    <w:p>
      <w:pPr>
        <w:spacing w:after="0" w:line="199" w:lineRule="exact"/>
        <w:rPr>
          <w:sz w:val="24"/>
          <w:szCs w:val="24"/>
          <w:color w:val="auto"/>
        </w:rPr>
      </w:pPr>
    </w:p>
    <w:p>
      <w:pPr>
        <w:jc w:val="center"/>
        <w:ind w:right="60"/>
        <w:spacing w:after="0"/>
        <w:rPr>
          <w:sz w:val="20"/>
          <w:szCs w:val="20"/>
          <w:color w:val="auto"/>
        </w:rPr>
      </w:pPr>
      <w:r>
        <w:rPr>
          <w:rFonts w:ascii="Arial" w:cs="Arial" w:eastAsia="Arial" w:hAnsi="Arial"/>
          <w:sz w:val="24"/>
          <w:szCs w:val="24"/>
          <w:b w:val="1"/>
          <w:bCs w:val="1"/>
          <w:color w:val="auto"/>
        </w:rPr>
        <w:t>UNIVERSAL FOREST PRODUCTS,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42545" cy="488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545" cy="488315"/>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127635</wp:posOffset>
            </wp:positionV>
            <wp:extent cx="42545" cy="4883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545" cy="488315"/>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135890</wp:posOffset>
            </wp:positionV>
            <wp:extent cx="42545" cy="4711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545" cy="471170"/>
                    </a:xfrm>
                    <a:prstGeom prst="rect">
                      <a:avLst/>
                    </a:prstGeom>
                    <a:noFill/>
                  </pic:spPr>
                </pic:pic>
              </a:graphicData>
            </a:graphic>
          </wp:anchor>
        </w:drawing>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50"/>
        </w:trPr>
        <w:tc>
          <w:tcPr>
            <w:tcW w:w="20" w:type="dxa"/>
            <w:vAlign w:val="bottom"/>
            <w:tcBorders>
              <w:top w:val="single" w:sz="8" w:color="808080"/>
            </w:tcBorders>
          </w:tcPr>
          <w:p>
            <w:pPr>
              <w:spacing w:after="0"/>
              <w:rPr>
                <w:sz w:val="21"/>
                <w:szCs w:val="21"/>
                <w:color w:val="auto"/>
              </w:rPr>
            </w:pPr>
          </w:p>
        </w:tc>
        <w:tc>
          <w:tcPr>
            <w:tcW w:w="5840" w:type="dxa"/>
            <w:vAlign w:val="bottom"/>
            <w:tcBorders>
              <w:top w:val="single" w:sz="8" w:color="2C2C2C"/>
              <w:bottom w:val="single" w:sz="8" w:color="2C2C2C"/>
            </w:tcBorders>
          </w:tcPr>
          <w:p>
            <w:pPr>
              <w:jc w:val="center"/>
              <w:ind w:right="52"/>
              <w:spacing w:after="0"/>
              <w:rPr>
                <w:sz w:val="20"/>
                <w:szCs w:val="20"/>
                <w:color w:val="auto"/>
              </w:rPr>
            </w:pPr>
            <w:r>
              <w:rPr>
                <w:rFonts w:ascii="Arial" w:cs="Arial" w:eastAsia="Arial" w:hAnsi="Arial"/>
                <w:sz w:val="18"/>
                <w:szCs w:val="18"/>
                <w:b w:val="1"/>
                <w:bCs w:val="1"/>
                <w:color w:val="auto"/>
                <w:w w:val="89"/>
              </w:rPr>
              <w:t>Michigan</w:t>
            </w:r>
          </w:p>
        </w:tc>
        <w:tc>
          <w:tcPr>
            <w:tcW w:w="5540" w:type="dxa"/>
            <w:vAlign w:val="bottom"/>
            <w:tcBorders>
              <w:top w:val="single" w:sz="8" w:color="2C2C2C"/>
              <w:bottom w:val="single" w:sz="8" w:color="2C2C2C"/>
            </w:tcBorders>
          </w:tcPr>
          <w:p>
            <w:pPr>
              <w:jc w:val="center"/>
              <w:ind w:right="52"/>
              <w:spacing w:after="0"/>
              <w:rPr>
                <w:sz w:val="20"/>
                <w:szCs w:val="20"/>
                <w:color w:val="auto"/>
              </w:rPr>
            </w:pPr>
            <w:r>
              <w:rPr>
                <w:rFonts w:ascii="Arial" w:cs="Arial" w:eastAsia="Arial" w:hAnsi="Arial"/>
                <w:sz w:val="18"/>
                <w:szCs w:val="18"/>
                <w:b w:val="1"/>
                <w:bCs w:val="1"/>
                <w:color w:val="auto"/>
                <w:w w:val="87"/>
              </w:rPr>
              <w:t>38-1465835</w:t>
            </w:r>
          </w:p>
        </w:tc>
        <w:tc>
          <w:tcPr>
            <w:tcW w:w="20" w:type="dxa"/>
            <w:vAlign w:val="bottom"/>
            <w:tcBorders>
              <w:top w:val="single" w:sz="8" w:color="808080"/>
            </w:tcBorders>
          </w:tcPr>
          <w:p>
            <w:pPr>
              <w:spacing w:after="0"/>
              <w:rPr>
                <w:sz w:val="21"/>
                <w:szCs w:val="21"/>
                <w:color w:val="auto"/>
              </w:rPr>
            </w:pPr>
          </w:p>
        </w:tc>
      </w:tr>
      <w:tr>
        <w:trPr>
          <w:trHeight w:val="208"/>
        </w:trPr>
        <w:tc>
          <w:tcPr>
            <w:tcW w:w="20" w:type="dxa"/>
            <w:vAlign w:val="bottom"/>
          </w:tcPr>
          <w:p>
            <w:pPr>
              <w:spacing w:after="0"/>
              <w:rPr>
                <w:sz w:val="18"/>
                <w:szCs w:val="18"/>
                <w:color w:val="auto"/>
              </w:rPr>
            </w:pPr>
          </w:p>
        </w:tc>
        <w:tc>
          <w:tcPr>
            <w:tcW w:w="5840" w:type="dxa"/>
            <w:vAlign w:val="bottom"/>
          </w:tcPr>
          <w:p>
            <w:pPr>
              <w:jc w:val="center"/>
              <w:ind w:right="52"/>
              <w:spacing w:after="0"/>
              <w:rPr>
                <w:sz w:val="20"/>
                <w:szCs w:val="20"/>
                <w:color w:val="auto"/>
              </w:rPr>
            </w:pPr>
            <w:r>
              <w:rPr>
                <w:rFonts w:ascii="Arial" w:cs="Arial" w:eastAsia="Arial" w:hAnsi="Arial"/>
                <w:sz w:val="18"/>
                <w:szCs w:val="18"/>
                <w:i w:val="1"/>
                <w:iCs w:val="1"/>
                <w:color w:val="auto"/>
                <w:w w:val="91"/>
              </w:rPr>
              <w:t>(State or Other Jurisdiction of</w:t>
            </w:r>
          </w:p>
        </w:tc>
        <w:tc>
          <w:tcPr>
            <w:tcW w:w="5540" w:type="dxa"/>
            <w:vAlign w:val="bottom"/>
          </w:tcPr>
          <w:p>
            <w:pPr>
              <w:jc w:val="center"/>
              <w:ind w:right="52"/>
              <w:spacing w:after="0"/>
              <w:rPr>
                <w:sz w:val="20"/>
                <w:szCs w:val="20"/>
                <w:color w:val="auto"/>
              </w:rPr>
            </w:pPr>
            <w:r>
              <w:rPr>
                <w:rFonts w:ascii="Arial" w:cs="Arial" w:eastAsia="Arial" w:hAnsi="Arial"/>
                <w:sz w:val="18"/>
                <w:szCs w:val="18"/>
                <w:i w:val="1"/>
                <w:iCs w:val="1"/>
                <w:color w:val="auto"/>
                <w:w w:val="87"/>
              </w:rPr>
              <w:t>(I.R.S. Employer</w:t>
            </w:r>
          </w:p>
        </w:tc>
        <w:tc>
          <w:tcPr>
            <w:tcW w:w="20" w:type="dxa"/>
            <w:vAlign w:val="bottom"/>
          </w:tcPr>
          <w:p>
            <w:pPr>
              <w:spacing w:after="0"/>
              <w:rPr>
                <w:sz w:val="18"/>
                <w:szCs w:val="18"/>
                <w:color w:val="auto"/>
              </w:rPr>
            </w:pPr>
          </w:p>
        </w:tc>
      </w:tr>
      <w:tr>
        <w:trPr>
          <w:trHeight w:val="231"/>
        </w:trPr>
        <w:tc>
          <w:tcPr>
            <w:tcW w:w="20" w:type="dxa"/>
            <w:vAlign w:val="bottom"/>
            <w:tcBorders>
              <w:bottom w:val="single" w:sz="8" w:color="2C2C2C"/>
            </w:tcBorders>
          </w:tcPr>
          <w:p>
            <w:pPr>
              <w:spacing w:after="0"/>
              <w:rPr>
                <w:sz w:val="20"/>
                <w:szCs w:val="20"/>
                <w:color w:val="auto"/>
              </w:rPr>
            </w:pPr>
          </w:p>
        </w:tc>
        <w:tc>
          <w:tcPr>
            <w:tcW w:w="5840" w:type="dxa"/>
            <w:vAlign w:val="bottom"/>
            <w:tcBorders>
              <w:bottom w:val="single" w:sz="8" w:color="2C2C2C"/>
            </w:tcBorders>
          </w:tcPr>
          <w:p>
            <w:pPr>
              <w:jc w:val="center"/>
              <w:ind w:right="52"/>
              <w:spacing w:after="0"/>
              <w:rPr>
                <w:sz w:val="20"/>
                <w:szCs w:val="20"/>
                <w:color w:val="auto"/>
              </w:rPr>
            </w:pPr>
            <w:r>
              <w:rPr>
                <w:rFonts w:ascii="Arial" w:cs="Arial" w:eastAsia="Arial" w:hAnsi="Arial"/>
                <w:sz w:val="18"/>
                <w:szCs w:val="18"/>
                <w:i w:val="1"/>
                <w:iCs w:val="1"/>
                <w:color w:val="auto"/>
                <w:w w:val="92"/>
              </w:rPr>
              <w:t>Incorporation or Organization)</w:t>
            </w:r>
          </w:p>
        </w:tc>
        <w:tc>
          <w:tcPr>
            <w:tcW w:w="5560" w:type="dxa"/>
            <w:vAlign w:val="bottom"/>
            <w:tcBorders>
              <w:bottom w:val="single" w:sz="8" w:color="2C2C2C"/>
            </w:tcBorders>
            <w:gridSpan w:val="2"/>
          </w:tcPr>
          <w:p>
            <w:pPr>
              <w:jc w:val="center"/>
              <w:ind w:right="140"/>
              <w:spacing w:after="0"/>
              <w:rPr>
                <w:sz w:val="20"/>
                <w:szCs w:val="20"/>
                <w:color w:val="auto"/>
              </w:rPr>
            </w:pPr>
            <w:r>
              <w:rPr>
                <w:rFonts w:ascii="Arial" w:cs="Arial" w:eastAsia="Arial" w:hAnsi="Arial"/>
                <w:sz w:val="18"/>
                <w:szCs w:val="18"/>
                <w:i w:val="1"/>
                <w:iCs w:val="1"/>
                <w:color w:val="auto"/>
                <w:w w:val="91"/>
              </w:rPr>
              <w:t>Identification Number)</w:t>
            </w:r>
          </w:p>
        </w:tc>
      </w:tr>
    </w:tbl>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2801 East Beltline, N.E., Grand Rapids, Michigan 49525</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 2002 Employee Stock Purchase Plan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(full title of plan)</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Matthew Missad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2801 East Beltline, N.E., Grand Rapids, Michigan 49525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(616) 364-6161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(Name, address, including zip code, and telephone number,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including area code, of agent for service)</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With copy to:</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Michael G. Wooldridge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Varnum, Riddering, Schmidt &amp; Howlett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333 Bridge St., N.W., P.O. Box 352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Grand Rapids, Michigan 49501-0352</w:t>
      </w:r>
    </w:p>
    <w:p>
      <w:pPr>
        <w:spacing w:after="0" w:line="9" w:lineRule="exact"/>
        <w:rPr>
          <w:sz w:val="24"/>
          <w:szCs w:val="24"/>
          <w:color w:val="auto"/>
        </w:rPr>
      </w:pPr>
    </w:p>
    <w:p>
      <w:pPr>
        <w:ind w:left="5580" w:hanging="415"/>
        <w:spacing w:after="0"/>
        <w:tabs>
          <w:tab w:leader="none" w:pos="558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336-6000</w:t>
      </w:r>
    </w:p>
    <w:p>
      <w:pPr>
        <w:spacing w:after="0" w:line="235" w:lineRule="exact"/>
        <w:rPr>
          <w:rFonts w:ascii="Arial" w:cs="Arial" w:eastAsia="Arial" w:hAnsi="Arial"/>
          <w:sz w:val="16"/>
          <w:szCs w:val="16"/>
          <w:b w:val="1"/>
          <w:bCs w:val="1"/>
          <w:color w:val="auto"/>
        </w:rPr>
      </w:pPr>
    </w:p>
    <w:p>
      <w:pPr>
        <w:ind w:left="394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800735</wp:posOffset>
            </wp:positionH>
            <wp:positionV relativeFrom="paragraph">
              <wp:posOffset>81280</wp:posOffset>
            </wp:positionV>
            <wp:extent cx="555244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52440" cy="29845"/>
                    </a:xfrm>
                    <a:prstGeom prst="rect">
                      <a:avLst/>
                    </a:prstGeom>
                    <a:noFill/>
                  </pic:spPr>
                </pic:pic>
              </a:graphicData>
            </a:graphic>
          </wp:anchor>
        </w:drawing>
      </w:r>
    </w:p>
    <w:p>
      <w:pPr>
        <w:spacing w:after="0" w:line="246" w:lineRule="exact"/>
        <w:rPr>
          <w:sz w:val="24"/>
          <w:szCs w:val="24"/>
          <w:color w:val="auto"/>
        </w:rPr>
      </w:pPr>
    </w:p>
    <w:tbl>
      <w:tblPr>
        <w:tblLayout w:type="fixed"/>
        <w:tblInd w:w="1260" w:type="dxa"/>
        <w:tblCellMar>
          <w:top w:w="0" w:type="dxa"/>
          <w:left w:w="0" w:type="dxa"/>
          <w:bottom w:w="0" w:type="dxa"/>
          <w:right w:w="0" w:type="dxa"/>
        </w:tblCellMar>
      </w:tblPr>
      <w:tr>
        <w:trPr>
          <w:trHeight w:val="216"/>
        </w:trPr>
        <w:tc>
          <w:tcPr>
            <w:tcW w:w="1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center"/>
              <w:ind w:right="172"/>
              <w:spacing w:after="0"/>
              <w:rPr>
                <w:sz w:val="20"/>
                <w:szCs w:val="20"/>
                <w:color w:val="auto"/>
              </w:rPr>
            </w:pPr>
            <w:r>
              <w:rPr>
                <w:rFonts w:ascii="Arial" w:cs="Arial" w:eastAsia="Arial" w:hAnsi="Arial"/>
                <w:sz w:val="18"/>
                <w:szCs w:val="18"/>
                <w:b w:val="1"/>
                <w:bCs w:val="1"/>
                <w:color w:val="auto"/>
                <w:w w:val="84"/>
              </w:rPr>
              <w:t>Proposed</w:t>
            </w:r>
          </w:p>
        </w:tc>
        <w:tc>
          <w:tcPr>
            <w:tcW w:w="260" w:type="dxa"/>
            <w:vAlign w:val="bottom"/>
          </w:tcPr>
          <w:p>
            <w:pPr>
              <w:spacing w:after="0"/>
              <w:rPr>
                <w:sz w:val="18"/>
                <w:szCs w:val="18"/>
                <w:color w:val="auto"/>
              </w:rPr>
            </w:pPr>
          </w:p>
        </w:tc>
        <w:tc>
          <w:tcPr>
            <w:tcW w:w="1520" w:type="dxa"/>
            <w:vAlign w:val="bottom"/>
          </w:tcPr>
          <w:p>
            <w:pPr>
              <w:jc w:val="center"/>
              <w:ind w:right="172"/>
              <w:spacing w:after="0"/>
              <w:rPr>
                <w:sz w:val="20"/>
                <w:szCs w:val="20"/>
                <w:color w:val="auto"/>
              </w:rPr>
            </w:pPr>
            <w:r>
              <w:rPr>
                <w:rFonts w:ascii="Arial" w:cs="Arial" w:eastAsia="Arial" w:hAnsi="Arial"/>
                <w:sz w:val="18"/>
                <w:szCs w:val="18"/>
                <w:b w:val="1"/>
                <w:bCs w:val="1"/>
                <w:color w:val="auto"/>
                <w:w w:val="84"/>
              </w:rPr>
              <w:t>Proposed</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center"/>
              <w:ind w:right="172"/>
              <w:spacing w:after="0"/>
              <w:rPr>
                <w:sz w:val="20"/>
                <w:szCs w:val="20"/>
                <w:color w:val="auto"/>
              </w:rPr>
            </w:pPr>
            <w:r>
              <w:rPr>
                <w:rFonts w:ascii="Arial" w:cs="Arial" w:eastAsia="Arial" w:hAnsi="Arial"/>
                <w:sz w:val="18"/>
                <w:szCs w:val="18"/>
                <w:b w:val="1"/>
                <w:bCs w:val="1"/>
                <w:color w:val="auto"/>
                <w:w w:val="93"/>
              </w:rPr>
              <w:t>Maximum</w:t>
            </w:r>
          </w:p>
        </w:tc>
        <w:tc>
          <w:tcPr>
            <w:tcW w:w="260" w:type="dxa"/>
            <w:vAlign w:val="bottom"/>
          </w:tcPr>
          <w:p>
            <w:pPr>
              <w:spacing w:after="0"/>
              <w:rPr>
                <w:sz w:val="18"/>
                <w:szCs w:val="18"/>
                <w:color w:val="auto"/>
              </w:rPr>
            </w:pPr>
          </w:p>
        </w:tc>
        <w:tc>
          <w:tcPr>
            <w:tcW w:w="1520" w:type="dxa"/>
            <w:vAlign w:val="bottom"/>
          </w:tcPr>
          <w:p>
            <w:pPr>
              <w:jc w:val="center"/>
              <w:ind w:right="172"/>
              <w:spacing w:after="0"/>
              <w:rPr>
                <w:sz w:val="20"/>
                <w:szCs w:val="20"/>
                <w:color w:val="auto"/>
              </w:rPr>
            </w:pPr>
            <w:r>
              <w:rPr>
                <w:rFonts w:ascii="Arial" w:cs="Arial" w:eastAsia="Arial" w:hAnsi="Arial"/>
                <w:sz w:val="18"/>
                <w:szCs w:val="18"/>
                <w:b w:val="1"/>
                <w:bCs w:val="1"/>
                <w:color w:val="auto"/>
                <w:w w:val="93"/>
              </w:rPr>
              <w:t>Maximum</w:t>
            </w:r>
          </w:p>
        </w:tc>
        <w:tc>
          <w:tcPr>
            <w:tcW w:w="320" w:type="dxa"/>
            <w:vAlign w:val="bottom"/>
          </w:tcPr>
          <w:p>
            <w:pPr>
              <w:spacing w:after="0"/>
              <w:rPr>
                <w:sz w:val="18"/>
                <w:szCs w:val="18"/>
                <w:color w:val="auto"/>
              </w:rPr>
            </w:pPr>
          </w:p>
        </w:tc>
        <w:tc>
          <w:tcPr>
            <w:tcW w:w="1320" w:type="dxa"/>
            <w:vAlign w:val="bottom"/>
          </w:tcPr>
          <w:p>
            <w:pPr>
              <w:jc w:val="center"/>
              <w:ind w:right="112"/>
              <w:spacing w:after="0"/>
              <w:rPr>
                <w:sz w:val="20"/>
                <w:szCs w:val="20"/>
                <w:color w:val="auto"/>
              </w:rPr>
            </w:pPr>
            <w:r>
              <w:rPr>
                <w:rFonts w:ascii="Arial" w:cs="Arial" w:eastAsia="Arial" w:hAnsi="Arial"/>
                <w:sz w:val="18"/>
                <w:szCs w:val="18"/>
                <w:b w:val="1"/>
                <w:bCs w:val="1"/>
                <w:color w:val="auto"/>
                <w:w w:val="88"/>
              </w:rPr>
              <w:t>Amount of</w:t>
            </w:r>
          </w:p>
        </w:tc>
      </w:tr>
      <w:tr>
        <w:trPr>
          <w:trHeight w:val="216"/>
        </w:trPr>
        <w:tc>
          <w:tcPr>
            <w:tcW w:w="1860" w:type="dxa"/>
            <w:vAlign w:val="bottom"/>
          </w:tcPr>
          <w:p>
            <w:pPr>
              <w:ind w:left="240"/>
              <w:spacing w:after="0"/>
              <w:rPr>
                <w:sz w:val="20"/>
                <w:szCs w:val="20"/>
                <w:color w:val="auto"/>
              </w:rPr>
            </w:pPr>
            <w:r>
              <w:rPr>
                <w:rFonts w:ascii="Arial" w:cs="Arial" w:eastAsia="Arial" w:hAnsi="Arial"/>
                <w:sz w:val="18"/>
                <w:szCs w:val="18"/>
                <w:b w:val="1"/>
                <w:bCs w:val="1"/>
                <w:color w:val="auto"/>
              </w:rPr>
              <w:t>Title of Securities</w:t>
            </w:r>
          </w:p>
        </w:tc>
        <w:tc>
          <w:tcPr>
            <w:tcW w:w="1700" w:type="dxa"/>
            <w:vAlign w:val="bottom"/>
          </w:tcPr>
          <w:p>
            <w:pPr>
              <w:ind w:left="240"/>
              <w:spacing w:after="0"/>
              <w:rPr>
                <w:sz w:val="20"/>
                <w:szCs w:val="20"/>
                <w:color w:val="auto"/>
              </w:rPr>
            </w:pPr>
            <w:r>
              <w:rPr>
                <w:rFonts w:ascii="Arial" w:cs="Arial" w:eastAsia="Arial" w:hAnsi="Arial"/>
                <w:sz w:val="18"/>
                <w:szCs w:val="18"/>
                <w:b w:val="1"/>
                <w:bCs w:val="1"/>
                <w:color w:val="auto"/>
              </w:rPr>
              <w:t>Amount Being</w:t>
            </w:r>
          </w:p>
        </w:tc>
        <w:tc>
          <w:tcPr>
            <w:tcW w:w="280" w:type="dxa"/>
            <w:vAlign w:val="bottom"/>
          </w:tcPr>
          <w:p>
            <w:pPr>
              <w:spacing w:after="0"/>
              <w:rPr>
                <w:sz w:val="18"/>
                <w:szCs w:val="18"/>
                <w:color w:val="auto"/>
              </w:rPr>
            </w:pPr>
          </w:p>
        </w:tc>
        <w:tc>
          <w:tcPr>
            <w:tcW w:w="1480" w:type="dxa"/>
            <w:vAlign w:val="bottom"/>
          </w:tcPr>
          <w:p>
            <w:pPr>
              <w:jc w:val="center"/>
              <w:ind w:right="192"/>
              <w:spacing w:after="0"/>
              <w:rPr>
                <w:sz w:val="20"/>
                <w:szCs w:val="20"/>
                <w:color w:val="auto"/>
              </w:rPr>
            </w:pPr>
            <w:r>
              <w:rPr>
                <w:rFonts w:ascii="Arial" w:cs="Arial" w:eastAsia="Arial" w:hAnsi="Arial"/>
                <w:sz w:val="18"/>
                <w:szCs w:val="18"/>
                <w:b w:val="1"/>
                <w:bCs w:val="1"/>
                <w:color w:val="auto"/>
                <w:w w:val="90"/>
              </w:rPr>
              <w:t>Offering Price</w:t>
            </w:r>
          </w:p>
        </w:tc>
        <w:tc>
          <w:tcPr>
            <w:tcW w:w="260" w:type="dxa"/>
            <w:vAlign w:val="bottom"/>
          </w:tcPr>
          <w:p>
            <w:pPr>
              <w:spacing w:after="0"/>
              <w:rPr>
                <w:sz w:val="18"/>
                <w:szCs w:val="18"/>
                <w:color w:val="auto"/>
              </w:rPr>
            </w:pPr>
          </w:p>
        </w:tc>
        <w:tc>
          <w:tcPr>
            <w:tcW w:w="1520" w:type="dxa"/>
            <w:vAlign w:val="bottom"/>
          </w:tcPr>
          <w:p>
            <w:pPr>
              <w:jc w:val="center"/>
              <w:ind w:right="172"/>
              <w:spacing w:after="0"/>
              <w:rPr>
                <w:sz w:val="20"/>
                <w:szCs w:val="20"/>
                <w:color w:val="auto"/>
              </w:rPr>
            </w:pPr>
            <w:r>
              <w:rPr>
                <w:rFonts w:ascii="Arial" w:cs="Arial" w:eastAsia="Arial" w:hAnsi="Arial"/>
                <w:sz w:val="18"/>
                <w:szCs w:val="18"/>
                <w:b w:val="1"/>
                <w:bCs w:val="1"/>
                <w:color w:val="auto"/>
                <w:w w:val="87"/>
              </w:rPr>
              <w:t>Aggregate</w:t>
            </w:r>
          </w:p>
        </w:tc>
        <w:tc>
          <w:tcPr>
            <w:tcW w:w="320" w:type="dxa"/>
            <w:vAlign w:val="bottom"/>
          </w:tcPr>
          <w:p>
            <w:pPr>
              <w:spacing w:after="0"/>
              <w:rPr>
                <w:sz w:val="18"/>
                <w:szCs w:val="18"/>
                <w:color w:val="auto"/>
              </w:rPr>
            </w:pPr>
          </w:p>
        </w:tc>
        <w:tc>
          <w:tcPr>
            <w:tcW w:w="1320" w:type="dxa"/>
            <w:vAlign w:val="bottom"/>
          </w:tcPr>
          <w:p>
            <w:pPr>
              <w:jc w:val="center"/>
              <w:ind w:right="112"/>
              <w:spacing w:after="0"/>
              <w:rPr>
                <w:sz w:val="20"/>
                <w:szCs w:val="20"/>
                <w:color w:val="auto"/>
              </w:rPr>
            </w:pPr>
            <w:r>
              <w:rPr>
                <w:rFonts w:ascii="Arial" w:cs="Arial" w:eastAsia="Arial" w:hAnsi="Arial"/>
                <w:sz w:val="18"/>
                <w:szCs w:val="18"/>
                <w:b w:val="1"/>
                <w:bCs w:val="1"/>
                <w:color w:val="auto"/>
                <w:w w:val="87"/>
              </w:rPr>
              <w:t>Registration</w:t>
            </w:r>
          </w:p>
        </w:tc>
      </w:tr>
      <w:tr>
        <w:trPr>
          <w:trHeight w:val="305"/>
        </w:trPr>
        <w:tc>
          <w:tcPr>
            <w:tcW w:w="1860" w:type="dxa"/>
            <w:vAlign w:val="bottom"/>
          </w:tcPr>
          <w:p>
            <w:pPr>
              <w:ind w:left="260"/>
              <w:spacing w:after="0"/>
              <w:rPr>
                <w:sz w:val="20"/>
                <w:szCs w:val="20"/>
                <w:color w:val="auto"/>
              </w:rPr>
            </w:pPr>
            <w:r>
              <w:rPr>
                <w:rFonts w:ascii="Arial" w:cs="Arial" w:eastAsia="Arial" w:hAnsi="Arial"/>
                <w:sz w:val="18"/>
                <w:szCs w:val="18"/>
                <w:b w:val="1"/>
                <w:bCs w:val="1"/>
                <w:color w:val="auto"/>
              </w:rPr>
              <w:t>Being Registered</w:t>
            </w:r>
          </w:p>
        </w:tc>
        <w:tc>
          <w:tcPr>
            <w:tcW w:w="1700" w:type="dxa"/>
            <w:vAlign w:val="bottom"/>
          </w:tcPr>
          <w:p>
            <w:pPr>
              <w:ind w:left="400"/>
              <w:spacing w:after="0"/>
              <w:rPr>
                <w:sz w:val="20"/>
                <w:szCs w:val="20"/>
                <w:color w:val="auto"/>
              </w:rPr>
            </w:pPr>
            <w:r>
              <w:rPr>
                <w:rFonts w:ascii="Arial" w:cs="Arial" w:eastAsia="Arial" w:hAnsi="Arial"/>
                <w:sz w:val="18"/>
                <w:szCs w:val="18"/>
                <w:b w:val="1"/>
                <w:bCs w:val="1"/>
                <w:color w:val="auto"/>
              </w:rPr>
              <w:t>Registered</w:t>
            </w:r>
          </w:p>
        </w:tc>
        <w:tc>
          <w:tcPr>
            <w:tcW w:w="280" w:type="dxa"/>
            <w:vAlign w:val="bottom"/>
          </w:tcPr>
          <w:p>
            <w:pPr>
              <w:spacing w:after="0"/>
              <w:rPr>
                <w:sz w:val="24"/>
                <w:szCs w:val="24"/>
                <w:color w:val="auto"/>
              </w:rPr>
            </w:pPr>
          </w:p>
        </w:tc>
        <w:tc>
          <w:tcPr>
            <w:tcW w:w="1480" w:type="dxa"/>
            <w:vAlign w:val="bottom"/>
          </w:tcPr>
          <w:p>
            <w:pPr>
              <w:jc w:val="center"/>
              <w:ind w:right="192"/>
              <w:spacing w:after="0"/>
              <w:rPr>
                <w:sz w:val="20"/>
                <w:szCs w:val="20"/>
                <w:color w:val="auto"/>
              </w:rPr>
            </w:pPr>
            <w:r>
              <w:rPr>
                <w:rFonts w:ascii="Arial" w:cs="Arial" w:eastAsia="Arial" w:hAnsi="Arial"/>
                <w:sz w:val="18"/>
                <w:szCs w:val="18"/>
                <w:b w:val="1"/>
                <w:bCs w:val="1"/>
                <w:color w:val="auto"/>
                <w:w w:val="86"/>
              </w:rPr>
              <w:t>Per Share</w:t>
            </w:r>
            <w:r>
              <w:rPr>
                <w:rFonts w:ascii="Arial" w:cs="Arial" w:eastAsia="Arial" w:hAnsi="Arial"/>
                <w:sz w:val="22"/>
                <w:szCs w:val="22"/>
                <w:b w:val="1"/>
                <w:bCs w:val="1"/>
                <w:color w:val="auto"/>
                <w:w w:val="86"/>
                <w:vertAlign w:val="superscript"/>
              </w:rPr>
              <w:t>(2)</w:t>
            </w:r>
          </w:p>
        </w:tc>
        <w:tc>
          <w:tcPr>
            <w:tcW w:w="260" w:type="dxa"/>
            <w:vAlign w:val="bottom"/>
          </w:tcPr>
          <w:p>
            <w:pPr>
              <w:spacing w:after="0"/>
              <w:rPr>
                <w:sz w:val="24"/>
                <w:szCs w:val="24"/>
                <w:color w:val="auto"/>
              </w:rPr>
            </w:pPr>
          </w:p>
        </w:tc>
        <w:tc>
          <w:tcPr>
            <w:tcW w:w="1520" w:type="dxa"/>
            <w:vAlign w:val="bottom"/>
          </w:tcPr>
          <w:p>
            <w:pPr>
              <w:jc w:val="center"/>
              <w:ind w:right="172"/>
              <w:spacing w:after="0"/>
              <w:rPr>
                <w:sz w:val="20"/>
                <w:szCs w:val="20"/>
                <w:color w:val="auto"/>
              </w:rPr>
            </w:pPr>
            <w:r>
              <w:rPr>
                <w:rFonts w:ascii="Arial" w:cs="Arial" w:eastAsia="Arial" w:hAnsi="Arial"/>
                <w:sz w:val="18"/>
                <w:szCs w:val="18"/>
                <w:b w:val="1"/>
                <w:bCs w:val="1"/>
                <w:color w:val="auto"/>
                <w:w w:val="89"/>
              </w:rPr>
              <w:t>Offering Price</w:t>
            </w:r>
            <w:r>
              <w:rPr>
                <w:rFonts w:ascii="Arial" w:cs="Arial" w:eastAsia="Arial" w:hAnsi="Arial"/>
                <w:sz w:val="22"/>
                <w:szCs w:val="22"/>
                <w:b w:val="1"/>
                <w:bCs w:val="1"/>
                <w:color w:val="auto"/>
                <w:w w:val="89"/>
                <w:vertAlign w:val="superscript"/>
              </w:rPr>
              <w:t>(2)</w:t>
            </w:r>
          </w:p>
        </w:tc>
        <w:tc>
          <w:tcPr>
            <w:tcW w:w="320" w:type="dxa"/>
            <w:vAlign w:val="bottom"/>
          </w:tcPr>
          <w:p>
            <w:pPr>
              <w:spacing w:after="0"/>
              <w:rPr>
                <w:sz w:val="24"/>
                <w:szCs w:val="24"/>
                <w:color w:val="auto"/>
              </w:rPr>
            </w:pPr>
          </w:p>
        </w:tc>
        <w:tc>
          <w:tcPr>
            <w:tcW w:w="1320" w:type="dxa"/>
            <w:vAlign w:val="bottom"/>
          </w:tcPr>
          <w:p>
            <w:pPr>
              <w:jc w:val="center"/>
              <w:ind w:right="112"/>
              <w:spacing w:after="0"/>
              <w:rPr>
                <w:sz w:val="20"/>
                <w:szCs w:val="20"/>
                <w:color w:val="auto"/>
              </w:rPr>
            </w:pPr>
            <w:r>
              <w:rPr>
                <w:rFonts w:ascii="Arial" w:cs="Arial" w:eastAsia="Arial" w:hAnsi="Arial"/>
                <w:sz w:val="18"/>
                <w:szCs w:val="18"/>
                <w:b w:val="1"/>
                <w:bCs w:val="1"/>
                <w:color w:val="auto"/>
                <w:w w:val="90"/>
              </w:rPr>
              <w:t>Fee</w:t>
            </w:r>
          </w:p>
        </w:tc>
      </w:tr>
      <w:tr>
        <w:trPr>
          <w:trHeight w:val="57"/>
        </w:trPr>
        <w:tc>
          <w:tcPr>
            <w:tcW w:w="186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529"/>
        </w:trPr>
        <w:tc>
          <w:tcPr>
            <w:tcW w:w="1860" w:type="dxa"/>
            <w:vAlign w:val="bottom"/>
          </w:tcPr>
          <w:p>
            <w:pPr>
              <w:spacing w:after="0"/>
              <w:rPr>
                <w:sz w:val="20"/>
                <w:szCs w:val="20"/>
                <w:color w:val="auto"/>
              </w:rPr>
            </w:pPr>
            <w:r>
              <w:rPr>
                <w:rFonts w:ascii="Arial" w:cs="Arial" w:eastAsia="Arial" w:hAnsi="Arial"/>
                <w:sz w:val="18"/>
                <w:szCs w:val="18"/>
                <w:color w:val="auto"/>
                <w:w w:val="99"/>
              </w:rPr>
              <w:t>Common Stock, no par</w:t>
            </w:r>
          </w:p>
        </w:tc>
        <w:tc>
          <w:tcPr>
            <w:tcW w:w="1700" w:type="dxa"/>
            <w:vAlign w:val="bottom"/>
          </w:tcPr>
          <w:p>
            <w:pPr>
              <w:ind w:left="360"/>
              <w:spacing w:after="0"/>
              <w:rPr>
                <w:sz w:val="20"/>
                <w:szCs w:val="20"/>
                <w:color w:val="auto"/>
              </w:rPr>
            </w:pPr>
            <w:r>
              <w:rPr>
                <w:rFonts w:ascii="Arial" w:cs="Arial" w:eastAsia="Arial" w:hAnsi="Arial"/>
                <w:sz w:val="18"/>
                <w:szCs w:val="18"/>
                <w:color w:val="auto"/>
                <w:w w:val="92"/>
              </w:rPr>
              <w:t>200,000 shares</w:t>
            </w:r>
            <w:r>
              <w:rPr>
                <w:rFonts w:ascii="Arial" w:cs="Arial" w:eastAsia="Arial" w:hAnsi="Arial"/>
                <w:sz w:val="22"/>
                <w:szCs w:val="22"/>
                <w:color w:val="auto"/>
                <w:w w:val="92"/>
                <w:vertAlign w:val="superscript"/>
              </w:rPr>
              <w:t>(1)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30.68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6,136,000</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241.14</w:t>
            </w:r>
          </w:p>
        </w:tc>
      </w:tr>
      <w:tr>
        <w:trPr>
          <w:trHeight w:val="222"/>
        </w:trPr>
        <w:tc>
          <w:tcPr>
            <w:tcW w:w="1860" w:type="dxa"/>
            <w:vAlign w:val="bottom"/>
          </w:tcPr>
          <w:p>
            <w:pPr>
              <w:spacing w:after="0"/>
              <w:rPr>
                <w:sz w:val="20"/>
                <w:szCs w:val="20"/>
                <w:color w:val="auto"/>
              </w:rPr>
            </w:pPr>
            <w:r>
              <w:rPr>
                <w:rFonts w:ascii="Arial" w:cs="Arial" w:eastAsia="Arial" w:hAnsi="Arial"/>
                <w:sz w:val="18"/>
                <w:szCs w:val="18"/>
                <w:color w:val="auto"/>
              </w:rPr>
              <w:t>value</w:t>
            </w: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34"/>
        </w:trPr>
        <w:tc>
          <w:tcPr>
            <w:tcW w:w="186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6340475</wp:posOffset>
            </wp:positionH>
            <wp:positionV relativeFrom="paragraph">
              <wp:posOffset>-603885</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-603885</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ind w:left="580" w:hanging="572"/>
        <w:spacing w:after="0" w:line="256"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an additional 200,000 shares of Common Stock authorized for issuance under the Universal Forest Products, Inc. 2002 Employee Stock Purchase Plan pursuant to the amendment to the Plan approved by the Registrant’s shareholders on April 16, 2008. This Registration Statement also covers such indeterminable additional number of shares as may be issuable under the Universal Forest Products, Inc. 2002 Employee Stock Purchase Plan by reason of adjustments to the number of shares covered thereby.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213995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9" w:right="239" w:bottom="1440" w:gutter="0" w:footer="0" w:header="0"/>
        </w:sectPr>
      </w:pPr>
    </w:p>
    <w:bookmarkStart w:id="1" w:name="page2"/>
    <w:bookmarkEnd w:id="1"/>
    <w:p>
      <w:pPr>
        <w:ind w:left="580" w:hanging="572"/>
        <w:spacing w:after="0" w:line="305" w:lineRule="auto"/>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For the purpose of computing the registration fee only, the price shown is based upon the price of $30.68 per share, the average of the high and low sales prices for the Common Stock of the Registrant as reported in the NASDAQ National Market on April 17, 2008, in accordance with Rule 457(c) and (h)</w:t>
      </w:r>
    </w:p>
    <w:p>
      <w:pPr>
        <w:ind w:left="580"/>
        <w:spacing w:after="0"/>
        <w:rPr>
          <w:rFonts w:ascii="Arial" w:cs="Arial" w:eastAsia="Arial" w:hAnsi="Arial"/>
          <w:sz w:val="15"/>
          <w:szCs w:val="15"/>
          <w:color w:val="auto"/>
        </w:rPr>
      </w:pPr>
      <w:r>
        <w:rPr>
          <w:rFonts w:ascii="Arial" w:cs="Arial" w:eastAsia="Arial" w:hAnsi="Arial"/>
          <w:sz w:val="18"/>
          <w:szCs w:val="18"/>
          <w:color w:val="auto"/>
        </w:rPr>
        <w:t>(1).</w:t>
      </w:r>
    </w:p>
    <w:p>
      <w:pPr>
        <w:spacing w:after="0" w:line="200" w:lineRule="exact"/>
        <w:rPr>
          <w:sz w:val="20"/>
          <w:szCs w:val="20"/>
          <w:color w:val="auto"/>
        </w:rPr>
      </w:pPr>
    </w:p>
    <w:p>
      <w:pPr>
        <w:spacing w:after="0" w:line="26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Pursuant to Rule 416(a) of the General Rules and Regulations under the Securities Act of 1933, this Registration Statement shall cover such additional securities as may be offered or issued to prevent dilution resulting from stock splits, stock dividends or similar transactions.</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20"/>
          </w:cols>
          <w:pgMar w:left="240" w:top="34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31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Information required by Part I to be contained in the Section 10(a) Prospectus is omitted from this Registration Statement in accordance with Rule 428 under the Securities Act of 1933 and the Note to Part I of Form S-8.</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9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Incorporation of Documents by Reference</w:t>
      </w:r>
    </w:p>
    <w:p>
      <w:pPr>
        <w:spacing w:after="0" w:line="31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Universal Forest Products, Inc. (the “Company”) hereby incorporates by reference in this Registration Statement the following documents filed by the Company with the Securities and Exchange Commission:</w:t>
      </w:r>
    </w:p>
    <w:p>
      <w:pPr>
        <w:spacing w:after="0" w:line="186"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latest Annual Report on Form 10-K filed pursuant to Section 13(a) of the Securities Exchange Act of 1934;</w:t>
      </w:r>
    </w:p>
    <w:p>
      <w:pPr>
        <w:spacing w:after="0" w:line="252" w:lineRule="exact"/>
        <w:rPr>
          <w:rFonts w:ascii="Arial" w:cs="Arial" w:eastAsia="Arial" w:hAnsi="Arial"/>
          <w:sz w:val="18"/>
          <w:szCs w:val="18"/>
          <w:color w:val="auto"/>
        </w:rPr>
      </w:pPr>
    </w:p>
    <w:p>
      <w:pPr>
        <w:ind w:left="580" w:right="20" w:hanging="572"/>
        <w:spacing w:after="0" w:line="268"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other reports or documents filed by the Company pursuant to Section 13(a) or 15(d) of the Securities Exchange Act of 1934 since the end of the fiscal year covered by the Annual Report on Form 10-K referenced to in (a) above; and</w:t>
      </w:r>
    </w:p>
    <w:p>
      <w:pPr>
        <w:spacing w:after="0" w:line="212" w:lineRule="exact"/>
        <w:rPr>
          <w:rFonts w:ascii="Arial" w:cs="Arial" w:eastAsia="Arial" w:hAnsi="Arial"/>
          <w:sz w:val="18"/>
          <w:szCs w:val="18"/>
          <w:color w:val="auto"/>
        </w:rPr>
      </w:pPr>
    </w:p>
    <w:p>
      <w:pPr>
        <w:ind w:left="580" w:hanging="572"/>
        <w:spacing w:after="0" w:line="259"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description of the Company’s Common Stock is contained in the Company’s Registration Statement filed pursuant to Section 12 of the Exchange Act and is incorporated in this Registration Statement by reference, including any subsequent amendments or reports filed for the purpose of updating such description.</w:t>
      </w:r>
    </w:p>
    <w:p>
      <w:pPr>
        <w:spacing w:after="0" w:line="200" w:lineRule="exact"/>
        <w:rPr>
          <w:sz w:val="20"/>
          <w:szCs w:val="20"/>
          <w:color w:val="auto"/>
        </w:rPr>
      </w:pPr>
    </w:p>
    <w:p>
      <w:pPr>
        <w:spacing w:after="0" w:line="23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All other documents subsequently filed by the Company pursuant to Sections 13(a), 13(c), 14 and 15(d) of the Exchange Act, prior to the filing of a post-effective amendment which indicates that all securities offered have been sold or which deregisters all securities then remaining unsold, shall be deemed to be incorporated by reference in this Registration Statement and to be part of this Registration Statement from the date of filing of such documents. Any statement contained in a document incorporated or deemed to be incorporated by reference in this Registration Statement shall be deemed to be modified or superseded for purposes of this Registration Statement to the extent that a statement contained in this Registration Statement or in any other subsequently filed document which also is incorporated or deemed to be incorporated by reference in this Registration Statement modifies or supersedes such statement. Any such statement so modified or superseded shall not be deemed, except as modified or superseded, to constitute a part of this Registration Statement.</w:t>
      </w:r>
    </w:p>
    <w:p>
      <w:pPr>
        <w:spacing w:after="0" w:line="23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The class of securities to be offered is registered under Section 12 of the Exchange Act.</w:t>
      </w:r>
    </w:p>
    <w:p>
      <w:pPr>
        <w:spacing w:after="0" w:line="28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Interests of Named Experts and Counsel</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 w:name="page4"/>
    <w:bookmarkEnd w:id="3"/>
    <w:p>
      <w:pPr>
        <w:spacing w:after="0"/>
        <w:tabs>
          <w:tab w:leader="none" w:pos="7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Indemnification of Directors and Officers</w:t>
      </w:r>
    </w:p>
    <w:p>
      <w:pPr>
        <w:spacing w:after="0" w:line="29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Restated and Amended Articles of Incorporation of the Company provide that its directors and officers are required to be indemnified as of right to the fullest extent permitted under the Michigan Business Corporation Act (“MBCA”) in connection with any actual or threatened civil, criminal, administrative or investigative action, suit or proceeding (whether brought by or in the name of the Company, a subsidiary or otherwise) in which a director or officer is a witness or which is brought against a director or officer in his or her capacity as a director, officer, employee, agent or fiduciary of the Company or of any corporation, partnership, joint venture, trust, employee benefit plan or other enterprise which the director or officer was serving at the request of the Company. Persons who are not directors or officers of the Company may be similarly indemnified in respect of said service to the extent authorized by the Board of Directors of the Company. Under the MBCA, directors, officers, employees or agents are entitled to indemnification against expenses (including attorney fees) whenever they successfully defend legal proceedings brought against them by reason of the fact that they hold such a position with the Company. In addition, with respect to actions not brought by or in the right of the Company, indemnification is permitted under the MBCA for expenses (including attorney fees), judgments, fines, penalties and reasonable settlements if it is determined that the person seeking indemnification acted in a good faith and in a manner he or she reasonably believed to be in and not opposed to the best interest of the Company or its shareholders and, with respect to criminal proceedings, he or she had no reasonable cause to believe that his or her conduct was unlawful. With respect to actions brought by or in the right of the Company, indemnification is permitted under the MBCA for expenses (including attorney fees) and reasonable settlement, if it is determined that the person seeking indemnification acted in good faith and in a manner he or she reasonably believed to be in and not opposed to the best interest of the Company or its shareholders; provided, indemnification is not permitted if the person is found liable to the Company, unless the court in which the action or suit was brought has determined that indemnification is fair and reasonable in view of all the circumstances of the case.</w:t>
      </w:r>
    </w:p>
    <w:p>
      <w:pPr>
        <w:spacing w:after="0" w:line="17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MBCA and the Company’s Restated and Amended Articles of Incorporation also authorize the Company to provide indemnification broader than that set forth in the MBCA and the Restated and Amended Articles of Incorporation. Pursuant to this authority, the Company has entered into indemnification agreements with each of its directors, which provide for the prompt indemnification to the fullest extent permitted by applicable law and for the prompt advancement of expenses, including reasonable attorney fees, incurred in connection with any proceeding in which a director is a witness or which is brought against a director in his or her capacity as a director, officer, employee, agent or fiduciary of the Company or of any corporation, partnership, joint venture, trust, employee benefit plan or other enterprise which the director is serving at the request of the Company. Indemnification is permitted for expenses and reasonable settlement amounts incurred in connection with a proceeding by or in the right of the Company and for expenses, judgments, penalties, fines and reasonable settlement amounts incurred in connection with the proceeding other than by or in the right of the Company. Indemnification under the indemnity agreements is conditioned on the director having acted in good faith and in a manner he or she reasonably believes to be in or not opposed to the best interest of the Company and, with respect to any criminal proceeding, he or she had no reasonable cause to believe his or her conduct was unlawful. The Restated and Amended Articles of Incorporation of the Company also limit the personal liability of members of its Board of Directors for monetary damages with respect to claims by the Company or its shareholders resulting from certain negligent acts or omissions.</w:t>
      </w:r>
    </w:p>
    <w:p>
      <w:pPr>
        <w:spacing w:after="0" w:line="25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0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Exhibits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the Exhibit Index which appears on page 7.</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 w:name="page5"/>
    <w:bookmarkEnd w:id="4"/>
    <w:p>
      <w:pPr>
        <w:spacing w:after="0"/>
        <w:tabs>
          <w:tab w:leader="none" w:pos="7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Undertakings</w:t>
      </w:r>
    </w:p>
    <w:p>
      <w:pPr>
        <w:spacing w:after="0" w:line="299"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920" w:hanging="561"/>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460" w:hanging="520"/>
        <w:spacing w:after="0"/>
        <w:tabs>
          <w:tab w:leader="none" w:pos="146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52" w:lineRule="exact"/>
        <w:rPr>
          <w:rFonts w:ascii="Arial" w:cs="Arial" w:eastAsia="Arial" w:hAnsi="Arial"/>
          <w:sz w:val="18"/>
          <w:szCs w:val="18"/>
          <w:color w:val="auto"/>
        </w:rPr>
      </w:pPr>
    </w:p>
    <w:p>
      <w:pPr>
        <w:ind w:left="580" w:right="20" w:firstLine="360"/>
        <w:spacing w:after="0" w:line="259" w:lineRule="auto"/>
        <w:tabs>
          <w:tab w:leader="none" w:pos="1497"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represents a fundamental change in the information set forth in the Registration Statement; and</w:t>
      </w:r>
    </w:p>
    <w:p>
      <w:pPr>
        <w:spacing w:after="0" w:line="221" w:lineRule="exact"/>
        <w:rPr>
          <w:rFonts w:ascii="Arial" w:cs="Arial" w:eastAsia="Arial" w:hAnsi="Arial"/>
          <w:sz w:val="18"/>
          <w:szCs w:val="18"/>
          <w:color w:val="auto"/>
        </w:rPr>
      </w:pPr>
    </w:p>
    <w:p>
      <w:pPr>
        <w:ind w:left="580" w:right="260" w:firstLine="360"/>
        <w:spacing w:after="0" w:line="268" w:lineRule="auto"/>
        <w:tabs>
          <w:tab w:leader="none" w:pos="1545"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0" w:lineRule="exact"/>
        <w:rPr>
          <w:sz w:val="20"/>
          <w:szCs w:val="20"/>
          <w:color w:val="auto"/>
        </w:rPr>
      </w:pP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do not apply if information required to be included in a post-effective amendment by those paragraphs</w:t>
      </w:r>
      <w:r>
        <w:rPr>
          <w:rFonts w:ascii="Arial" w:cs="Arial" w:eastAsia="Arial" w:hAnsi="Arial"/>
          <w:sz w:val="18"/>
          <w:szCs w:val="18"/>
          <w:i w:val="1"/>
          <w:iCs w:val="1"/>
          <w:color w:val="auto"/>
        </w:rPr>
        <w:t xml:space="preserve"> </w:t>
      </w:r>
      <w:r>
        <w:rPr>
          <w:rFonts w:ascii="Arial" w:cs="Arial" w:eastAsia="Arial" w:hAnsi="Arial"/>
          <w:sz w:val="18"/>
          <w:szCs w:val="18"/>
          <w:color w:val="auto"/>
        </w:rPr>
        <w:t>is contained in periodic reports filed by the registrant pursuant to Section 13 or Section 15(d) of the Securities Exchange Act of 1934 that are incorporated by reference in the Registration Statement.</w:t>
      </w:r>
    </w:p>
    <w:p>
      <w:pPr>
        <w:spacing w:after="0" w:line="194" w:lineRule="exact"/>
        <w:rPr>
          <w:sz w:val="20"/>
          <w:szCs w:val="20"/>
          <w:color w:val="auto"/>
        </w:rPr>
      </w:pPr>
    </w:p>
    <w:p>
      <w:pPr>
        <w:ind w:right="60" w:firstLine="359"/>
        <w:spacing w:after="0" w:line="259" w:lineRule="auto"/>
        <w:tabs>
          <w:tab w:leader="none" w:pos="907"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94" w:lineRule="exact"/>
        <w:rPr>
          <w:rFonts w:ascii="Arial" w:cs="Arial" w:eastAsia="Arial" w:hAnsi="Arial"/>
          <w:sz w:val="18"/>
          <w:szCs w:val="18"/>
          <w:color w:val="auto"/>
        </w:rPr>
      </w:pPr>
    </w:p>
    <w:p>
      <w:pPr>
        <w:ind w:left="920" w:hanging="561"/>
        <w:spacing w:after="0"/>
        <w:tabs>
          <w:tab w:leader="none" w:pos="920" w:val="left"/>
        </w:tabs>
        <w:numPr>
          <w:ilvl w:val="1"/>
          <w:numId w:val="6"/>
        </w:numPr>
        <w:rPr>
          <w:rFonts w:ascii="Arial" w:cs="Arial" w:eastAsia="Arial" w:hAnsi="Arial"/>
          <w:sz w:val="15"/>
          <w:szCs w:val="15"/>
          <w:color w:val="auto"/>
        </w:rPr>
      </w:pPr>
      <w:r>
        <w:rPr>
          <w:rFonts w:ascii="Arial" w:cs="Arial" w:eastAsia="Arial" w:hAnsi="Arial"/>
          <w:sz w:val="15"/>
          <w:szCs w:val="15"/>
          <w:color w:val="auto"/>
        </w:rPr>
        <w:t>To remove from registration by means of a post-effective amendment any of the securities being registered which remain unsold at the termination of</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the offering.</w:t>
      </w:r>
    </w:p>
    <w:p>
      <w:pPr>
        <w:spacing w:after="0" w:line="218" w:lineRule="exact"/>
        <w:rPr>
          <w:rFonts w:ascii="Arial" w:cs="Arial" w:eastAsia="Arial" w:hAnsi="Arial"/>
          <w:sz w:val="15"/>
          <w:szCs w:val="15"/>
          <w:color w:val="auto"/>
        </w:rPr>
      </w:pPr>
    </w:p>
    <w:p>
      <w:pPr>
        <w:ind w:right="20" w:firstLine="8"/>
        <w:spacing w:after="0" w:line="255"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96" w:lineRule="exact"/>
        <w:rPr>
          <w:rFonts w:ascii="Arial" w:cs="Arial" w:eastAsia="Arial" w:hAnsi="Arial"/>
          <w:sz w:val="18"/>
          <w:szCs w:val="18"/>
          <w:color w:val="auto"/>
        </w:rPr>
      </w:pPr>
    </w:p>
    <w:p>
      <w:pPr>
        <w:ind w:right="100" w:firstLine="8"/>
        <w:spacing w:after="0" w:line="290" w:lineRule="auto"/>
        <w:tabs>
          <w:tab w:leader="none" w:pos="414" w:val="left"/>
        </w:tabs>
        <w:numPr>
          <w:ilvl w:val="0"/>
          <w:numId w:val="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99"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Grand Rapids, State of Michigan, on the 18th day of April, 2008.</w:t>
      </w:r>
    </w:p>
    <w:p>
      <w:pPr>
        <w:spacing w:after="0" w:line="18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UNIVERSAL FOREST PRODUCTS, INC.</w:t>
      </w:r>
    </w:p>
    <w:p>
      <w:pPr>
        <w:spacing w:after="0" w:line="200" w:lineRule="exact"/>
        <w:rPr>
          <w:sz w:val="20"/>
          <w:szCs w:val="20"/>
          <w:color w:val="auto"/>
        </w:rPr>
      </w:pPr>
    </w:p>
    <w:p>
      <w:pPr>
        <w:spacing w:after="0" w:line="2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Michael B. Glenn</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Michael B. Glenn</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Michael R. Cole</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Michael R. Cole</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 and</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99"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Michael B. Glenn and Michael R. Cole, and each of them, his true and lawful attorney-in-fact and agent, with full power of substitution and resubstitution, for him and in his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and any other regulatory authority, granting unto said attorney-in-fact and agent, full power and authority to do and perform each and every act and thing required and necessary to be done in and about the premises, as fully to all intents and purposes as he might or could do in person, hereby ratifying and confirming all that said attorney-in-fact and agent, or his substitute, may lawfully do or cause to be done by virtue hereof.</w:t>
      </w:r>
    </w:p>
    <w:p>
      <w:pPr>
        <w:spacing w:after="0" w:line="172"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on April 18, 2008, by the following persons in the capacities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By: /s/ Peter F. Secchia</w:t>
            </w:r>
          </w:p>
        </w:tc>
        <w:tc>
          <w:tcPr>
            <w:tcW w:w="7220" w:type="dxa"/>
            <w:vAlign w:val="bottom"/>
          </w:tcPr>
          <w:p>
            <w:pPr>
              <w:ind w:left="2080"/>
              <w:spacing w:after="0"/>
              <w:rPr>
                <w:sz w:val="20"/>
                <w:szCs w:val="20"/>
                <w:color w:val="auto"/>
              </w:rPr>
            </w:pPr>
            <w:r>
              <w:rPr>
                <w:rFonts w:ascii="Arial" w:cs="Arial" w:eastAsia="Arial" w:hAnsi="Arial"/>
                <w:sz w:val="18"/>
                <w:szCs w:val="18"/>
                <w:color w:val="auto"/>
              </w:rPr>
              <w:t>By: /s/ Gary F. Goode</w:t>
            </w:r>
          </w:p>
        </w:tc>
      </w:tr>
      <w:tr>
        <w:trPr>
          <w:trHeight w:val="216"/>
        </w:trPr>
        <w:tc>
          <w:tcPr>
            <w:tcW w:w="4200" w:type="dxa"/>
            <w:vAlign w:val="bottom"/>
          </w:tcPr>
          <w:p>
            <w:pPr>
              <w:ind w:left="280"/>
              <w:spacing w:after="0"/>
              <w:rPr>
                <w:sz w:val="20"/>
                <w:szCs w:val="20"/>
                <w:color w:val="auto"/>
              </w:rPr>
            </w:pPr>
            <w:r>
              <w:rPr>
                <w:rFonts w:ascii="Arial" w:cs="Arial" w:eastAsia="Arial" w:hAnsi="Arial"/>
                <w:sz w:val="18"/>
                <w:szCs w:val="18"/>
                <w:color w:val="auto"/>
              </w:rPr>
              <w:t>——————————————</w:t>
            </w:r>
          </w:p>
        </w:tc>
        <w:tc>
          <w:tcPr>
            <w:tcW w:w="7220" w:type="dxa"/>
            <w:vAlign w:val="bottom"/>
          </w:tcPr>
          <w:p>
            <w:pPr>
              <w:ind w:left="2360"/>
              <w:spacing w:after="0"/>
              <w:rPr>
                <w:sz w:val="20"/>
                <w:szCs w:val="20"/>
                <w:color w:val="auto"/>
              </w:rPr>
            </w:pPr>
            <w:r>
              <w:rPr>
                <w:rFonts w:ascii="Arial" w:cs="Arial" w:eastAsia="Arial" w:hAnsi="Arial"/>
                <w:sz w:val="18"/>
                <w:szCs w:val="18"/>
                <w:color w:val="auto"/>
              </w:rPr>
              <w:t>——————————————</w:t>
            </w:r>
          </w:p>
        </w:tc>
      </w:tr>
      <w:tr>
        <w:trPr>
          <w:trHeight w:val="222"/>
        </w:trPr>
        <w:tc>
          <w:tcPr>
            <w:tcW w:w="4200" w:type="dxa"/>
            <w:vAlign w:val="bottom"/>
          </w:tcPr>
          <w:p>
            <w:pPr>
              <w:ind w:left="280"/>
              <w:spacing w:after="0"/>
              <w:rPr>
                <w:sz w:val="20"/>
                <w:szCs w:val="20"/>
                <w:color w:val="auto"/>
              </w:rPr>
            </w:pPr>
            <w:r>
              <w:rPr>
                <w:rFonts w:ascii="Arial" w:cs="Arial" w:eastAsia="Arial" w:hAnsi="Arial"/>
                <w:sz w:val="18"/>
                <w:szCs w:val="18"/>
                <w:color w:val="auto"/>
              </w:rPr>
              <w:t>Peter F. Secchia, Director</w:t>
            </w:r>
          </w:p>
        </w:tc>
        <w:tc>
          <w:tcPr>
            <w:tcW w:w="7220" w:type="dxa"/>
            <w:vAlign w:val="bottom"/>
          </w:tcPr>
          <w:p>
            <w:pPr>
              <w:ind w:left="2360"/>
              <w:spacing w:after="0"/>
              <w:rPr>
                <w:sz w:val="20"/>
                <w:szCs w:val="20"/>
                <w:color w:val="auto"/>
              </w:rPr>
            </w:pPr>
            <w:r>
              <w:rPr>
                <w:rFonts w:ascii="Arial" w:cs="Arial" w:eastAsia="Arial" w:hAnsi="Arial"/>
                <w:sz w:val="18"/>
                <w:szCs w:val="18"/>
                <w:color w:val="auto"/>
              </w:rPr>
              <w:t>Gary F. Goode, Director</w:t>
            </w:r>
          </w:p>
        </w:tc>
      </w:tr>
      <w:tr>
        <w:trPr>
          <w:trHeight w:val="426"/>
        </w:trPr>
        <w:tc>
          <w:tcPr>
            <w:tcW w:w="4200" w:type="dxa"/>
            <w:vAlign w:val="bottom"/>
          </w:tcPr>
          <w:p>
            <w:pPr>
              <w:spacing w:after="0"/>
              <w:rPr>
                <w:sz w:val="20"/>
                <w:szCs w:val="20"/>
                <w:color w:val="auto"/>
              </w:rPr>
            </w:pPr>
            <w:r>
              <w:rPr>
                <w:rFonts w:ascii="Arial" w:cs="Arial" w:eastAsia="Arial" w:hAnsi="Arial"/>
                <w:sz w:val="18"/>
                <w:szCs w:val="18"/>
                <w:color w:val="auto"/>
              </w:rPr>
              <w:t>By: /s/ William G. Currie</w:t>
            </w:r>
          </w:p>
        </w:tc>
        <w:tc>
          <w:tcPr>
            <w:tcW w:w="7220" w:type="dxa"/>
            <w:vAlign w:val="bottom"/>
          </w:tcPr>
          <w:p>
            <w:pPr>
              <w:ind w:left="2080"/>
              <w:spacing w:after="0"/>
              <w:rPr>
                <w:sz w:val="20"/>
                <w:szCs w:val="20"/>
                <w:color w:val="auto"/>
              </w:rPr>
            </w:pPr>
            <w:r>
              <w:rPr>
                <w:rFonts w:ascii="Arial" w:cs="Arial" w:eastAsia="Arial" w:hAnsi="Arial"/>
                <w:sz w:val="18"/>
                <w:szCs w:val="18"/>
                <w:color w:val="auto"/>
              </w:rPr>
              <w:t>By: /s/ Mark A. Murray</w:t>
            </w:r>
          </w:p>
        </w:tc>
      </w:tr>
      <w:tr>
        <w:trPr>
          <w:trHeight w:val="216"/>
        </w:trPr>
        <w:tc>
          <w:tcPr>
            <w:tcW w:w="4200" w:type="dxa"/>
            <w:vAlign w:val="bottom"/>
          </w:tcPr>
          <w:p>
            <w:pPr>
              <w:ind w:left="280"/>
              <w:spacing w:after="0"/>
              <w:rPr>
                <w:sz w:val="20"/>
                <w:szCs w:val="20"/>
                <w:color w:val="auto"/>
              </w:rPr>
            </w:pPr>
            <w:r>
              <w:rPr>
                <w:rFonts w:ascii="Arial" w:cs="Arial" w:eastAsia="Arial" w:hAnsi="Arial"/>
                <w:sz w:val="18"/>
                <w:szCs w:val="18"/>
                <w:color w:val="auto"/>
              </w:rPr>
              <w:t>——————————————</w:t>
            </w:r>
          </w:p>
        </w:tc>
        <w:tc>
          <w:tcPr>
            <w:tcW w:w="7220" w:type="dxa"/>
            <w:vAlign w:val="bottom"/>
          </w:tcPr>
          <w:p>
            <w:pPr>
              <w:ind w:left="2360"/>
              <w:spacing w:after="0"/>
              <w:rPr>
                <w:sz w:val="20"/>
                <w:szCs w:val="20"/>
                <w:color w:val="auto"/>
              </w:rPr>
            </w:pPr>
            <w:r>
              <w:rPr>
                <w:rFonts w:ascii="Arial" w:cs="Arial" w:eastAsia="Arial" w:hAnsi="Arial"/>
                <w:sz w:val="18"/>
                <w:szCs w:val="18"/>
                <w:color w:val="auto"/>
              </w:rPr>
              <w:t>——————————————</w:t>
            </w:r>
          </w:p>
        </w:tc>
      </w:tr>
      <w:tr>
        <w:trPr>
          <w:trHeight w:val="222"/>
        </w:trPr>
        <w:tc>
          <w:tcPr>
            <w:tcW w:w="4200" w:type="dxa"/>
            <w:vAlign w:val="bottom"/>
          </w:tcPr>
          <w:p>
            <w:pPr>
              <w:ind w:left="260"/>
              <w:spacing w:after="0"/>
              <w:rPr>
                <w:sz w:val="20"/>
                <w:szCs w:val="20"/>
                <w:color w:val="auto"/>
              </w:rPr>
            </w:pPr>
            <w:r>
              <w:rPr>
                <w:rFonts w:ascii="Arial" w:cs="Arial" w:eastAsia="Arial" w:hAnsi="Arial"/>
                <w:sz w:val="18"/>
                <w:szCs w:val="18"/>
                <w:color w:val="auto"/>
              </w:rPr>
              <w:t>William G. Currie, Director</w:t>
            </w:r>
          </w:p>
        </w:tc>
        <w:tc>
          <w:tcPr>
            <w:tcW w:w="7220" w:type="dxa"/>
            <w:vAlign w:val="bottom"/>
          </w:tcPr>
          <w:p>
            <w:pPr>
              <w:ind w:left="2360"/>
              <w:spacing w:after="0"/>
              <w:rPr>
                <w:sz w:val="20"/>
                <w:szCs w:val="20"/>
                <w:color w:val="auto"/>
              </w:rPr>
            </w:pPr>
            <w:r>
              <w:rPr>
                <w:rFonts w:ascii="Arial" w:cs="Arial" w:eastAsia="Arial" w:hAnsi="Arial"/>
                <w:sz w:val="18"/>
                <w:szCs w:val="18"/>
                <w:color w:val="auto"/>
              </w:rPr>
              <w:t>Mary A. Murray, Director</w:t>
            </w:r>
          </w:p>
        </w:tc>
      </w:tr>
      <w:tr>
        <w:trPr>
          <w:trHeight w:val="426"/>
        </w:trPr>
        <w:tc>
          <w:tcPr>
            <w:tcW w:w="4200" w:type="dxa"/>
            <w:vAlign w:val="bottom"/>
          </w:tcPr>
          <w:p>
            <w:pPr>
              <w:spacing w:after="0"/>
              <w:rPr>
                <w:sz w:val="20"/>
                <w:szCs w:val="20"/>
                <w:color w:val="auto"/>
              </w:rPr>
            </w:pPr>
            <w:r>
              <w:rPr>
                <w:rFonts w:ascii="Arial" w:cs="Arial" w:eastAsia="Arial" w:hAnsi="Arial"/>
                <w:sz w:val="18"/>
                <w:szCs w:val="18"/>
                <w:color w:val="auto"/>
              </w:rPr>
              <w:t>By: /s/ John C. Engler</w:t>
            </w:r>
          </w:p>
        </w:tc>
        <w:tc>
          <w:tcPr>
            <w:tcW w:w="7220" w:type="dxa"/>
            <w:vAlign w:val="bottom"/>
          </w:tcPr>
          <w:p>
            <w:pPr>
              <w:ind w:left="2080"/>
              <w:spacing w:after="0"/>
              <w:rPr>
                <w:sz w:val="20"/>
                <w:szCs w:val="20"/>
                <w:color w:val="auto"/>
              </w:rPr>
            </w:pPr>
            <w:r>
              <w:rPr>
                <w:rFonts w:ascii="Arial" w:cs="Arial" w:eastAsia="Arial" w:hAnsi="Arial"/>
                <w:sz w:val="18"/>
                <w:szCs w:val="18"/>
                <w:color w:val="auto"/>
              </w:rPr>
              <w:t>By: /s/ Dan M. Dutton</w:t>
            </w:r>
          </w:p>
        </w:tc>
      </w:tr>
      <w:tr>
        <w:trPr>
          <w:trHeight w:val="216"/>
        </w:trPr>
        <w:tc>
          <w:tcPr>
            <w:tcW w:w="4200" w:type="dxa"/>
            <w:vAlign w:val="bottom"/>
          </w:tcPr>
          <w:p>
            <w:pPr>
              <w:ind w:left="280"/>
              <w:spacing w:after="0"/>
              <w:rPr>
                <w:sz w:val="20"/>
                <w:szCs w:val="20"/>
                <w:color w:val="auto"/>
              </w:rPr>
            </w:pPr>
            <w:r>
              <w:rPr>
                <w:rFonts w:ascii="Arial" w:cs="Arial" w:eastAsia="Arial" w:hAnsi="Arial"/>
                <w:sz w:val="18"/>
                <w:szCs w:val="18"/>
                <w:color w:val="auto"/>
              </w:rPr>
              <w:t>——————————————</w:t>
            </w:r>
          </w:p>
        </w:tc>
        <w:tc>
          <w:tcPr>
            <w:tcW w:w="7220" w:type="dxa"/>
            <w:vAlign w:val="bottom"/>
          </w:tcPr>
          <w:p>
            <w:pPr>
              <w:ind w:left="2360"/>
              <w:spacing w:after="0"/>
              <w:rPr>
                <w:sz w:val="20"/>
                <w:szCs w:val="20"/>
                <w:color w:val="auto"/>
              </w:rPr>
            </w:pPr>
            <w:r>
              <w:rPr>
                <w:rFonts w:ascii="Arial" w:cs="Arial" w:eastAsia="Arial" w:hAnsi="Arial"/>
                <w:sz w:val="18"/>
                <w:szCs w:val="18"/>
                <w:color w:val="auto"/>
              </w:rPr>
              <w:t>——————————————</w:t>
            </w:r>
          </w:p>
        </w:tc>
      </w:tr>
      <w:tr>
        <w:trPr>
          <w:trHeight w:val="222"/>
        </w:trPr>
        <w:tc>
          <w:tcPr>
            <w:tcW w:w="4200" w:type="dxa"/>
            <w:vAlign w:val="bottom"/>
          </w:tcPr>
          <w:p>
            <w:pPr>
              <w:ind w:left="280"/>
              <w:spacing w:after="0"/>
              <w:rPr>
                <w:sz w:val="20"/>
                <w:szCs w:val="20"/>
                <w:color w:val="auto"/>
              </w:rPr>
            </w:pPr>
            <w:r>
              <w:rPr>
                <w:rFonts w:ascii="Arial" w:cs="Arial" w:eastAsia="Arial" w:hAnsi="Arial"/>
                <w:sz w:val="18"/>
                <w:szCs w:val="18"/>
                <w:color w:val="auto"/>
              </w:rPr>
              <w:t>John C. Engler, Director</w:t>
            </w:r>
          </w:p>
        </w:tc>
        <w:tc>
          <w:tcPr>
            <w:tcW w:w="7220" w:type="dxa"/>
            <w:vAlign w:val="bottom"/>
          </w:tcPr>
          <w:p>
            <w:pPr>
              <w:ind w:left="2360"/>
              <w:spacing w:after="0"/>
              <w:rPr>
                <w:sz w:val="20"/>
                <w:szCs w:val="20"/>
                <w:color w:val="auto"/>
              </w:rPr>
            </w:pPr>
            <w:r>
              <w:rPr>
                <w:rFonts w:ascii="Arial" w:cs="Arial" w:eastAsia="Arial" w:hAnsi="Arial"/>
                <w:sz w:val="18"/>
                <w:szCs w:val="18"/>
                <w:color w:val="auto"/>
              </w:rPr>
              <w:t>Dan M. Dutton, Director</w:t>
            </w:r>
          </w:p>
        </w:tc>
      </w:tr>
      <w:tr>
        <w:trPr>
          <w:trHeight w:val="426"/>
        </w:trPr>
        <w:tc>
          <w:tcPr>
            <w:tcW w:w="4200" w:type="dxa"/>
            <w:vAlign w:val="bottom"/>
          </w:tcPr>
          <w:p>
            <w:pPr>
              <w:spacing w:after="0"/>
              <w:rPr>
                <w:sz w:val="20"/>
                <w:szCs w:val="20"/>
                <w:color w:val="auto"/>
              </w:rPr>
            </w:pPr>
            <w:r>
              <w:rPr>
                <w:rFonts w:ascii="Arial" w:cs="Arial" w:eastAsia="Arial" w:hAnsi="Arial"/>
                <w:sz w:val="18"/>
                <w:szCs w:val="18"/>
                <w:color w:val="auto"/>
              </w:rPr>
              <w:t>By: /s/ John W. Garside</w:t>
            </w:r>
          </w:p>
        </w:tc>
        <w:tc>
          <w:tcPr>
            <w:tcW w:w="7220" w:type="dxa"/>
            <w:vAlign w:val="bottom"/>
          </w:tcPr>
          <w:p>
            <w:pPr>
              <w:ind w:left="2080"/>
              <w:spacing w:after="0"/>
              <w:rPr>
                <w:sz w:val="20"/>
                <w:szCs w:val="20"/>
                <w:color w:val="auto"/>
              </w:rPr>
            </w:pPr>
            <w:r>
              <w:rPr>
                <w:rFonts w:ascii="Arial" w:cs="Arial" w:eastAsia="Arial" w:hAnsi="Arial"/>
                <w:sz w:val="18"/>
                <w:szCs w:val="18"/>
                <w:color w:val="auto"/>
              </w:rPr>
              <w:t>By: /s/ Michael B. Glenn</w:t>
            </w:r>
          </w:p>
        </w:tc>
      </w:tr>
      <w:tr>
        <w:trPr>
          <w:trHeight w:val="216"/>
        </w:trPr>
        <w:tc>
          <w:tcPr>
            <w:tcW w:w="4200" w:type="dxa"/>
            <w:vAlign w:val="bottom"/>
          </w:tcPr>
          <w:p>
            <w:pPr>
              <w:ind w:left="280"/>
              <w:spacing w:after="0"/>
              <w:rPr>
                <w:sz w:val="20"/>
                <w:szCs w:val="20"/>
                <w:color w:val="auto"/>
              </w:rPr>
            </w:pPr>
            <w:r>
              <w:rPr>
                <w:rFonts w:ascii="Arial" w:cs="Arial" w:eastAsia="Arial" w:hAnsi="Arial"/>
                <w:sz w:val="18"/>
                <w:szCs w:val="18"/>
                <w:color w:val="auto"/>
              </w:rPr>
              <w:t>——————————————</w:t>
            </w:r>
          </w:p>
        </w:tc>
        <w:tc>
          <w:tcPr>
            <w:tcW w:w="7220" w:type="dxa"/>
            <w:vAlign w:val="bottom"/>
          </w:tcPr>
          <w:p>
            <w:pPr>
              <w:ind w:left="2360"/>
              <w:spacing w:after="0"/>
              <w:rPr>
                <w:sz w:val="20"/>
                <w:szCs w:val="20"/>
                <w:color w:val="auto"/>
              </w:rPr>
            </w:pPr>
            <w:r>
              <w:rPr>
                <w:rFonts w:ascii="Arial" w:cs="Arial" w:eastAsia="Arial" w:hAnsi="Arial"/>
                <w:sz w:val="18"/>
                <w:szCs w:val="18"/>
                <w:color w:val="auto"/>
              </w:rPr>
              <w:t>——————————————</w:t>
            </w:r>
          </w:p>
        </w:tc>
      </w:tr>
      <w:tr>
        <w:trPr>
          <w:trHeight w:val="222"/>
        </w:trPr>
        <w:tc>
          <w:tcPr>
            <w:tcW w:w="4200" w:type="dxa"/>
            <w:vAlign w:val="bottom"/>
          </w:tcPr>
          <w:p>
            <w:pPr>
              <w:ind w:left="280"/>
              <w:spacing w:after="0"/>
              <w:rPr>
                <w:sz w:val="20"/>
                <w:szCs w:val="20"/>
                <w:color w:val="auto"/>
              </w:rPr>
            </w:pPr>
            <w:r>
              <w:rPr>
                <w:rFonts w:ascii="Arial" w:cs="Arial" w:eastAsia="Arial" w:hAnsi="Arial"/>
                <w:sz w:val="18"/>
                <w:szCs w:val="18"/>
                <w:color w:val="auto"/>
              </w:rPr>
              <w:t>John W. Garside, Director</w:t>
            </w:r>
          </w:p>
        </w:tc>
        <w:tc>
          <w:tcPr>
            <w:tcW w:w="7220" w:type="dxa"/>
            <w:vAlign w:val="bottom"/>
          </w:tcPr>
          <w:p>
            <w:pPr>
              <w:ind w:left="2360"/>
              <w:spacing w:after="0"/>
              <w:rPr>
                <w:sz w:val="20"/>
                <w:szCs w:val="20"/>
                <w:color w:val="auto"/>
              </w:rPr>
            </w:pPr>
            <w:r>
              <w:rPr>
                <w:rFonts w:ascii="Arial" w:cs="Arial" w:eastAsia="Arial" w:hAnsi="Arial"/>
                <w:sz w:val="18"/>
                <w:szCs w:val="18"/>
                <w:color w:val="auto"/>
              </w:rPr>
              <w:t>Michael B. Glenn, Director</w:t>
            </w:r>
          </w:p>
        </w:tc>
      </w:tr>
      <w:tr>
        <w:trPr>
          <w:trHeight w:val="426"/>
        </w:trPr>
        <w:tc>
          <w:tcPr>
            <w:tcW w:w="4200" w:type="dxa"/>
            <w:vAlign w:val="bottom"/>
          </w:tcPr>
          <w:p>
            <w:pPr>
              <w:spacing w:after="0"/>
              <w:rPr>
                <w:sz w:val="20"/>
                <w:szCs w:val="20"/>
                <w:color w:val="auto"/>
              </w:rPr>
            </w:pPr>
            <w:r>
              <w:rPr>
                <w:rFonts w:ascii="Arial" w:cs="Arial" w:eastAsia="Arial" w:hAnsi="Arial"/>
                <w:sz w:val="18"/>
                <w:szCs w:val="18"/>
                <w:color w:val="auto"/>
              </w:rPr>
              <w:t>By: /s/ Louis A. Smith</w:t>
            </w:r>
          </w:p>
        </w:tc>
        <w:tc>
          <w:tcPr>
            <w:tcW w:w="7220" w:type="dxa"/>
            <w:vAlign w:val="bottom"/>
          </w:tcPr>
          <w:p>
            <w:pPr>
              <w:spacing w:after="0"/>
              <w:rPr>
                <w:sz w:val="24"/>
                <w:szCs w:val="24"/>
                <w:color w:val="auto"/>
              </w:rPr>
            </w:pPr>
          </w:p>
        </w:tc>
      </w:tr>
      <w:tr>
        <w:trPr>
          <w:trHeight w:val="216"/>
        </w:trPr>
        <w:tc>
          <w:tcPr>
            <w:tcW w:w="4200" w:type="dxa"/>
            <w:vAlign w:val="bottom"/>
          </w:tcPr>
          <w:p>
            <w:pPr>
              <w:ind w:left="280"/>
              <w:spacing w:after="0"/>
              <w:rPr>
                <w:sz w:val="20"/>
                <w:szCs w:val="20"/>
                <w:color w:val="auto"/>
              </w:rPr>
            </w:pPr>
            <w:r>
              <w:rPr>
                <w:rFonts w:ascii="Arial" w:cs="Arial" w:eastAsia="Arial" w:hAnsi="Arial"/>
                <w:sz w:val="18"/>
                <w:szCs w:val="18"/>
                <w:color w:val="auto"/>
              </w:rPr>
              <w:t>——————————————</w:t>
            </w:r>
          </w:p>
        </w:tc>
        <w:tc>
          <w:tcPr>
            <w:tcW w:w="7220" w:type="dxa"/>
            <w:vAlign w:val="bottom"/>
          </w:tcPr>
          <w:p>
            <w:pPr>
              <w:spacing w:after="0"/>
              <w:rPr>
                <w:sz w:val="18"/>
                <w:szCs w:val="18"/>
                <w:color w:val="auto"/>
              </w:rPr>
            </w:pPr>
          </w:p>
        </w:tc>
      </w:tr>
      <w:tr>
        <w:trPr>
          <w:trHeight w:val="222"/>
        </w:trPr>
        <w:tc>
          <w:tcPr>
            <w:tcW w:w="4200" w:type="dxa"/>
            <w:vAlign w:val="bottom"/>
          </w:tcPr>
          <w:p>
            <w:pPr>
              <w:ind w:left="280"/>
              <w:spacing w:after="0"/>
              <w:rPr>
                <w:sz w:val="20"/>
                <w:szCs w:val="20"/>
                <w:color w:val="auto"/>
              </w:rPr>
            </w:pPr>
            <w:r>
              <w:rPr>
                <w:rFonts w:ascii="Arial" w:cs="Arial" w:eastAsia="Arial" w:hAnsi="Arial"/>
                <w:sz w:val="18"/>
                <w:szCs w:val="18"/>
                <w:color w:val="auto"/>
              </w:rPr>
              <w:t>Louis A. Smith, Director</w:t>
            </w:r>
          </w:p>
        </w:tc>
        <w:tc>
          <w:tcPr>
            <w:tcW w:w="7220" w:type="dxa"/>
            <w:vAlign w:val="bottom"/>
          </w:tcPr>
          <w:p>
            <w:pPr>
              <w:spacing w:after="0"/>
              <w:rPr>
                <w:sz w:val="19"/>
                <w:szCs w:val="19"/>
                <w:color w:val="auto"/>
              </w:rPr>
            </w:pPr>
          </w:p>
        </w:tc>
      </w:tr>
      <w:tr>
        <w:trPr>
          <w:trHeight w:val="675"/>
        </w:trPr>
        <w:tc>
          <w:tcPr>
            <w:tcW w:w="4200" w:type="dxa"/>
            <w:vAlign w:val="bottom"/>
          </w:tcPr>
          <w:p>
            <w:pPr>
              <w:spacing w:after="0"/>
              <w:rPr>
                <w:sz w:val="24"/>
                <w:szCs w:val="24"/>
                <w:color w:val="auto"/>
              </w:rPr>
            </w:pPr>
          </w:p>
        </w:tc>
        <w:tc>
          <w:tcPr>
            <w:tcW w:w="7220" w:type="dxa"/>
            <w:vAlign w:val="bottom"/>
          </w:tcPr>
          <w:p>
            <w:pPr>
              <w:ind w:left="1480"/>
              <w:spacing w:after="0"/>
              <w:rPr>
                <w:sz w:val="20"/>
                <w:szCs w:val="20"/>
                <w:color w:val="auto"/>
              </w:rPr>
            </w:pPr>
            <w:r>
              <w:rPr>
                <w:rFonts w:ascii="Arial" w:cs="Arial" w:eastAsia="Arial" w:hAnsi="Arial"/>
                <w:sz w:val="18"/>
                <w:szCs w:val="18"/>
                <w:color w:val="auto"/>
              </w:rPr>
              <w:t>6</w:t>
            </w:r>
          </w:p>
        </w:tc>
      </w:tr>
      <w:tr>
        <w:trPr>
          <w:trHeight w:val="242"/>
        </w:trPr>
        <w:tc>
          <w:tcPr>
            <w:tcW w:w="4200" w:type="dxa"/>
            <w:vAlign w:val="bottom"/>
            <w:tcBorders>
              <w:bottom w:val="single" w:sz="8" w:color="808080"/>
            </w:tcBorders>
          </w:tcPr>
          <w:p>
            <w:pPr>
              <w:spacing w:after="0"/>
              <w:rPr>
                <w:sz w:val="21"/>
                <w:szCs w:val="21"/>
                <w:color w:val="auto"/>
              </w:rPr>
            </w:pPr>
          </w:p>
        </w:tc>
        <w:tc>
          <w:tcPr>
            <w:tcW w:w="722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ind w:left="5040"/>
        <w:spacing w:after="0"/>
        <w:rPr>
          <w:sz w:val="20"/>
          <w:szCs w:val="20"/>
          <w:color w:val="auto"/>
        </w:rPr>
      </w:pPr>
      <w:r>
        <w:rPr>
          <w:rFonts w:ascii="Arial" w:cs="Arial" w:eastAsia="Arial" w:hAnsi="Arial"/>
          <w:sz w:val="18"/>
          <w:szCs w:val="18"/>
          <w:b w:val="1"/>
          <w:bCs w:val="1"/>
          <w:color w:val="auto"/>
        </w:rPr>
        <w:t>EXHIBIT INDEX</w:t>
      </w:r>
    </w:p>
    <w:p>
      <w:pPr>
        <w:spacing w:after="0" w:line="29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5"/>
          <w:szCs w:val="15"/>
          <w:b w:val="1"/>
          <w:bCs w:val="1"/>
          <w:u w:val="single" w:color="auto"/>
          <w:color w:val="auto"/>
        </w:rPr>
        <w:t>Description</w:t>
      </w:r>
    </w:p>
    <w:p>
      <w:pPr>
        <w:spacing w:after="0" w:line="258" w:lineRule="exact"/>
        <w:rPr>
          <w:sz w:val="20"/>
          <w:szCs w:val="20"/>
          <w:color w:val="auto"/>
        </w:rPr>
      </w:pPr>
    </w:p>
    <w:p>
      <w:pPr>
        <w:ind w:left="1160" w:hanging="683"/>
        <w:spacing w:after="0" w:line="268" w:lineRule="auto"/>
        <w:tabs>
          <w:tab w:leader="none" w:pos="11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Specimen form of Stock Certificate for Common Stock was filed as Exhibit 4(a) to a Registration Statement on Form S-1 (No. 33-69474), incorporated herein by reference</w:t>
      </w:r>
    </w:p>
    <w:p>
      <w:pPr>
        <w:spacing w:after="0" w:line="213" w:lineRule="exact"/>
        <w:rPr>
          <w:sz w:val="20"/>
          <w:szCs w:val="20"/>
          <w:color w:val="auto"/>
        </w:rPr>
      </w:pPr>
    </w:p>
    <w:p>
      <w:pPr>
        <w:ind w:left="480"/>
        <w:spacing w:after="0"/>
        <w:tabs>
          <w:tab w:leader="none" w:pos="11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Varnum, Riddering, Schmidt &amp; Howlett LLP regarding legality of securities being registered</w:t>
      </w:r>
    </w:p>
    <w:p>
      <w:pPr>
        <w:spacing w:after="0" w:line="252" w:lineRule="exact"/>
        <w:rPr>
          <w:sz w:val="20"/>
          <w:szCs w:val="20"/>
          <w:color w:val="auto"/>
        </w:rPr>
      </w:pPr>
    </w:p>
    <w:p>
      <w:pPr>
        <w:ind w:left="420"/>
        <w:spacing w:after="0"/>
        <w:tabs>
          <w:tab w:leader="none" w:pos="11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color w:val="auto"/>
        </w:rPr>
        <w:t>Consent of Independent Registered Public Accounting Firm</w:t>
      </w:r>
    </w:p>
    <w:p>
      <w:pPr>
        <w:spacing w:after="0" w:line="252" w:lineRule="exact"/>
        <w:rPr>
          <w:sz w:val="20"/>
          <w:szCs w:val="20"/>
          <w:color w:val="auto"/>
        </w:rPr>
      </w:pPr>
    </w:p>
    <w:p>
      <w:pPr>
        <w:ind w:left="420"/>
        <w:spacing w:after="0"/>
        <w:tabs>
          <w:tab w:leader="none" w:pos="11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Varnum, Riddering, Schmidt &amp; Howlett LLP (included in opinion filed as Exhibit 5.1)</w:t>
      </w:r>
    </w:p>
    <w:p>
      <w:pPr>
        <w:spacing w:after="0" w:line="252" w:lineRule="exact"/>
        <w:rPr>
          <w:sz w:val="20"/>
          <w:szCs w:val="20"/>
          <w:color w:val="auto"/>
        </w:rPr>
      </w:pPr>
    </w:p>
    <w:p>
      <w:pPr>
        <w:ind w:left="420"/>
        <w:spacing w:after="0"/>
        <w:tabs>
          <w:tab w:leader="none" w:pos="11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color w:val="auto"/>
        </w:rPr>
        <w:t>Power of Attorney (included on the signature page of this Registration Statement)</w:t>
      </w:r>
    </w:p>
    <w:p>
      <w:pPr>
        <w:spacing w:after="0" w:line="200" w:lineRule="exact"/>
        <w:rPr>
          <w:sz w:val="20"/>
          <w:szCs w:val="20"/>
          <w:color w:val="auto"/>
        </w:rPr>
      </w:pPr>
    </w:p>
    <w:p>
      <w:pPr>
        <w:spacing w:after="0" w:line="268"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60"/>
          </w:cols>
          <w:pgMar w:left="240" w:top="125" w:right="799" w:bottom="1440" w:gutter="0" w:footer="0" w:header="0"/>
        </w:sectPr>
      </w:pPr>
    </w:p>
    <w:bookmarkStart w:id="7" w:name="page8"/>
    <w:bookmarkEnd w:id="7"/>
    <w:p>
      <w:pPr>
        <w:jc w:val="center"/>
        <w:ind w:right="-79"/>
        <w:spacing w:after="0"/>
        <w:rPr>
          <w:sz w:val="20"/>
          <w:szCs w:val="20"/>
          <w:color w:val="auto"/>
        </w:rPr>
      </w:pPr>
      <w:r>
        <w:rPr>
          <w:rFonts w:ascii="Arial" w:cs="Arial" w:eastAsia="Arial" w:hAnsi="Arial"/>
          <w:sz w:val="18"/>
          <w:szCs w:val="18"/>
          <w:b w:val="1"/>
          <w:bCs w:val="1"/>
          <w:color w:val="auto"/>
        </w:rPr>
        <w:t>EXHIBIT 5.1</w:t>
      </w:r>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April 18, 2008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Universal Forest Products,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2801 East Beltline,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 49525</w:t>
      </w:r>
    </w:p>
    <w:p>
      <w:pPr>
        <w:sectPr>
          <w:pgSz w:w="11900" w:h="16838" w:orient="portrait"/>
          <w:cols w:equalWidth="0" w:num="1">
            <w:col w:w="11340"/>
          </w:cols>
          <w:pgMar w:left="240" w:top="125" w:right="319" w:bottom="1440" w:gutter="0" w:footer="0" w:header="0"/>
        </w:sectPr>
      </w:pPr>
    </w:p>
    <w:p>
      <w:pPr>
        <w:spacing w:after="0" w:line="213"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Re:</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Registration Statement on Form S-8 Relating to the Universal Forest</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Products, Inc. 2002 Employee Stock Purchase Plan pursuant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amendment to the Plan approved on April 16, 2008 (collectively,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w:t>
      </w:r>
    </w:p>
    <w:p>
      <w:pPr>
        <w:spacing w:after="0" w:line="200" w:lineRule="exact"/>
        <w:rPr>
          <w:sz w:val="20"/>
          <w:szCs w:val="20"/>
          <w:color w:val="auto"/>
        </w:rPr>
      </w:pPr>
    </w:p>
    <w:p>
      <w:pPr>
        <w:sectPr>
          <w:pgSz w:w="11900" w:h="16838" w:orient="portrait"/>
          <w:cols w:equalWidth="0" w:num="2">
            <w:col w:w="860" w:space="300"/>
            <w:col w:w="10180"/>
          </w:cols>
          <w:pgMar w:left="240" w:top="125" w:right="319" w:bottom="1440" w:gutter="0" w:footer="0" w:header="0"/>
          <w:type w:val="continuous"/>
        </w:sect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With respect to the Registration Statement on Form S-8 (the “Registration Statement”) filed by Universal Forest Products, Inc., a Michigan corporation (the “Company”), with the Securities and Exchange Commission, for the purpose of registering under the Securities Act of 1933, as amended, 200,000 shares of the Company’s common stock, no par value, for issuance pursuant to the Plan, we have examined such documents and questions of law we consider necessary or appropriate for the purpose of giving this opinion.</w:t>
      </w:r>
    </w:p>
    <w:p>
      <w:pPr>
        <w:spacing w:after="0" w:line="197" w:lineRule="exact"/>
        <w:rPr>
          <w:sz w:val="20"/>
          <w:szCs w:val="20"/>
          <w:color w:val="auto"/>
        </w:rPr>
      </w:pPr>
    </w:p>
    <w:p>
      <w:pPr>
        <w:jc w:val="both"/>
        <w:ind w:right="180" w:firstLine="351"/>
        <w:spacing w:after="0" w:line="306" w:lineRule="auto"/>
        <w:rPr>
          <w:sz w:val="20"/>
          <w:szCs w:val="20"/>
          <w:color w:val="auto"/>
        </w:rPr>
      </w:pPr>
      <w:r>
        <w:rPr>
          <w:rFonts w:ascii="Arial" w:cs="Arial" w:eastAsia="Arial" w:hAnsi="Arial"/>
          <w:sz w:val="16"/>
          <w:szCs w:val="16"/>
          <w:color w:val="auto"/>
        </w:rPr>
        <w:t>On the basis of such evaluation, we advise you that in our opinion the 200,000 shares covered by the Registration Statement, at the prices described in the Registration Statement, and upon delivery of such shares and payment therefor in accordance with the terms stated in the Plan and the Registration Statement, will be duly and legally authorized, issued and outstanding, and will be fully paid and nonassessable.</w:t>
      </w:r>
    </w:p>
    <w:p>
      <w:pPr>
        <w:spacing w:after="0" w:line="161"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In giving this consent, we do not thereby admit that we are within the category of persons whose consent is required under Section 7 of the Securities Act of 1933, as amended, or under the rules and regulations of the Securities and Exchange Commission relating thereto.</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VARNUM, RIDDERING, SCHMIDT &amp; HOWLETT LLP</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/s/ Varnum, Riddering, Schmidt &amp; Howlett LLP</w:t>
      </w:r>
    </w:p>
    <w:p>
      <w:pPr>
        <w:sectPr>
          <w:pgSz w:w="11900" w:h="16838" w:orient="portrait"/>
          <w:cols w:equalWidth="0" w:num="1">
            <w:col w:w="11340"/>
          </w:cols>
          <w:pgMar w:left="240" w:top="125" w:right="319" w:bottom="1440" w:gutter="0" w:footer="0" w:header="0"/>
          <w:type w:val="continuous"/>
        </w:sectPr>
      </w:pPr>
    </w:p>
    <w:bookmarkStart w:id="8" w:name="page9"/>
    <w:bookmarkEnd w:id="8"/>
    <w:p>
      <w:pPr>
        <w:jc w:val="right"/>
        <w:spacing w:after="0"/>
        <w:rPr>
          <w:sz w:val="20"/>
          <w:szCs w:val="20"/>
          <w:color w:val="auto"/>
        </w:rPr>
      </w:pPr>
      <w:r>
        <w:rPr>
          <w:rFonts w:ascii="Arial" w:cs="Arial" w:eastAsia="Arial" w:hAnsi="Arial"/>
          <w:sz w:val="18"/>
          <w:szCs w:val="18"/>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We consent to the incorporation by reference in the Registration Statement (Form S-8) pertaining to the Universal Forest Products, Inc. 2002 Employee Stock Purchase Plan of our reports dated February 13, 2008, with respect to the consolidated financial statements and schedule of Universal Forest Products, Inc and subsidiaries included in its Annual Report (Form 10-K) for the fiscal year ended December 29, 2007, and the effectiveness of internal control over financial reporting of Universal Forest Products, Inc. and subsidiaries filed with the Securities and Exchange Commission.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15, 2008</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616"/>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
    <w:nsid w:val="2EB141F2"/>
    <w:multiLevelType w:val="hybridMultilevel"/>
    <w:lvl w:ilvl="0">
      <w:lvlJc w:val="left"/>
      <w:lvlText w:val="%1"/>
      <w:numFmt w:val="lowerLetter"/>
      <w:start w:val="1"/>
    </w:lvl>
    <w:lvl w:ilvl="1">
      <w:lvlJc w:val="left"/>
      <w:lvlText w:val="(%2)"/>
      <w:numFmt w:val="decimal"/>
      <w:start w:val="2"/>
    </w:lvl>
  </w:abstractNum>
  <w:abstractNum w:abstractNumId="6">
    <w:nsid w:val="41B71EFB"/>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2019-12-11T15:08:05Z</dcterms:created>
  <dcterms:modified xsi:type="dcterms:W3CDTF">2019-12-11T15:08:05Z</dcterms:modified>
</cp:coreProperties>
</file>