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423545</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457835</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t>UNITED STATES</w:t>
      </w:r>
    </w:p>
    <w:p>
      <w:pPr>
        <w:spacing w:after="0" w:line="38"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77" w:lineRule="exact"/>
        <w:rPr>
          <w:sz w:val="20"/>
          <w:szCs w:val="20"/>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335"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Date of Report (Date of earliest event reported): October 17, 2007</w:t>
      </w:r>
    </w:p>
    <w:p>
      <w:pPr>
        <w:spacing w:after="0" w:line="200" w:lineRule="exact"/>
        <w:rPr>
          <w:sz w:val="20"/>
          <w:szCs w:val="20"/>
          <w:color w:val="auto"/>
        </w:rPr>
      </w:pPr>
    </w:p>
    <w:p>
      <w:pPr>
        <w:spacing w:after="0" w:line="216" w:lineRule="exact"/>
        <w:rPr>
          <w:sz w:val="20"/>
          <w:szCs w:val="20"/>
          <w:color w:val="auto"/>
        </w:rPr>
      </w:pPr>
    </w:p>
    <w:p>
      <w:pPr>
        <w:jc w:val="center"/>
        <w:ind w:right="159"/>
        <w:spacing w:after="0"/>
        <w:rPr>
          <w:sz w:val="20"/>
          <w:szCs w:val="20"/>
          <w:color w:val="auto"/>
        </w:rPr>
      </w:pPr>
      <w:r>
        <w:rPr>
          <w:rFonts w:ascii="Arial" w:cs="Arial" w:eastAsia="Arial" w:hAnsi="Arial"/>
          <w:sz w:val="43"/>
          <w:szCs w:val="43"/>
          <w:b w:val="1"/>
          <w:bCs w:val="1"/>
          <w:color w:val="auto"/>
        </w:rPr>
        <w:t>Universal Forest Products, Inc.</w:t>
      </w:r>
    </w:p>
    <w:p>
      <w:pPr>
        <w:spacing w:after="0" w:line="5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2"/>
              </w:rPr>
              <w:t>Michigan</w:t>
            </w:r>
          </w:p>
        </w:tc>
        <w:tc>
          <w:tcPr>
            <w:tcW w:w="2860" w:type="dxa"/>
            <w:vAlign w:val="bottom"/>
            <w:gridSpan w:val="3"/>
          </w:tcPr>
          <w:p>
            <w:pPr>
              <w:jc w:val="right"/>
              <w:ind w:right="1320"/>
              <w:spacing w:after="0"/>
              <w:rPr>
                <w:sz w:val="20"/>
                <w:szCs w:val="20"/>
                <w:color w:val="auto"/>
              </w:rPr>
            </w:pPr>
            <w:r>
              <w:rPr>
                <w:rFonts w:ascii="Arial" w:cs="Arial" w:eastAsia="Arial" w:hAnsi="Arial"/>
                <w:sz w:val="18"/>
                <w:szCs w:val="18"/>
                <w:b w:val="1"/>
                <w:bCs w:val="1"/>
                <w:color w:val="auto"/>
              </w:rPr>
              <w:t>0-22684</w:t>
            </w:r>
          </w:p>
        </w:tc>
        <w:tc>
          <w:tcPr>
            <w:tcW w:w="3260" w:type="dxa"/>
            <w:vAlign w:val="bottom"/>
            <w:gridSpan w:val="2"/>
          </w:tcPr>
          <w:p>
            <w:pPr>
              <w:jc w:val="right"/>
              <w:ind w:right="1050"/>
              <w:spacing w:after="0"/>
              <w:rPr>
                <w:sz w:val="20"/>
                <w:szCs w:val="20"/>
                <w:color w:val="auto"/>
              </w:rPr>
            </w:pPr>
            <w:r>
              <w:rPr>
                <w:rFonts w:ascii="Arial" w:cs="Arial" w:eastAsia="Arial" w:hAnsi="Arial"/>
                <w:sz w:val="18"/>
                <w:szCs w:val="18"/>
                <w:b w:val="1"/>
                <w:bCs w:val="1"/>
                <w:color w:val="auto"/>
              </w:rPr>
              <w:t>38-1465835</w:t>
            </w:r>
          </w:p>
        </w:tc>
      </w:tr>
      <w:tr>
        <w:trPr>
          <w:trHeight w:val="195"/>
        </w:trPr>
        <w:tc>
          <w:tcPr>
            <w:tcW w:w="3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860" w:type="dxa"/>
            <w:vAlign w:val="bottom"/>
            <w:tcBorders>
              <w:top w:val="single" w:sz="8" w:color="auto"/>
            </w:tcBorders>
            <w:gridSpan w:val="3"/>
          </w:tcPr>
          <w:p>
            <w:pPr>
              <w:jc w:val="center"/>
              <w:ind w:right="380"/>
              <w:spacing w:after="0" w:line="195" w:lineRule="exact"/>
              <w:rPr>
                <w:sz w:val="20"/>
                <w:szCs w:val="20"/>
                <w:color w:val="auto"/>
              </w:rPr>
            </w:pPr>
            <w:r>
              <w:rPr>
                <w:rFonts w:ascii="Arial" w:cs="Arial" w:eastAsia="Arial" w:hAnsi="Arial"/>
                <w:sz w:val="18"/>
                <w:szCs w:val="18"/>
                <w:color w:val="auto"/>
                <w:w w:val="93"/>
              </w:rPr>
              <w:t>(Commission File Number)</w:t>
            </w:r>
          </w:p>
        </w:tc>
        <w:tc>
          <w:tcPr>
            <w:tcW w:w="100" w:type="dxa"/>
            <w:vAlign w:val="bottom"/>
          </w:tcPr>
          <w:p>
            <w:pPr>
              <w:spacing w:after="0"/>
              <w:rPr>
                <w:sz w:val="16"/>
                <w:szCs w:val="16"/>
                <w:color w:val="auto"/>
              </w:rPr>
            </w:pPr>
          </w:p>
        </w:tc>
        <w:tc>
          <w:tcPr>
            <w:tcW w:w="316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color w:val="auto"/>
              </w:rPr>
              <w:t>(IRS Employer Identification No.)</w:t>
            </w:r>
          </w:p>
        </w:tc>
      </w:tr>
      <w:tr>
        <w:trPr>
          <w:trHeight w:val="230"/>
        </w:trPr>
        <w:tc>
          <w:tcPr>
            <w:tcW w:w="3600" w:type="dxa"/>
            <w:vAlign w:val="bottom"/>
            <w:gridSpan w:val="3"/>
          </w:tcPr>
          <w:p>
            <w:pPr>
              <w:jc w:val="center"/>
              <w:ind w:right="480"/>
              <w:spacing w:after="0"/>
              <w:rPr>
                <w:sz w:val="20"/>
                <w:szCs w:val="20"/>
                <w:color w:val="auto"/>
              </w:rPr>
            </w:pPr>
            <w:r>
              <w:rPr>
                <w:rFonts w:ascii="Arial" w:cs="Arial" w:eastAsia="Arial" w:hAnsi="Arial"/>
                <w:sz w:val="18"/>
                <w:szCs w:val="18"/>
                <w:color w:val="auto"/>
                <w:w w:val="93"/>
              </w:rPr>
              <w:t>Incorporation)</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60" w:type="dxa"/>
            <w:vAlign w:val="bottom"/>
          </w:tcPr>
          <w:p>
            <w:pPr>
              <w:spacing w:after="0"/>
              <w:rPr>
                <w:sz w:val="20"/>
                <w:szCs w:val="20"/>
                <w:color w:val="auto"/>
              </w:rPr>
            </w:pPr>
          </w:p>
        </w:tc>
      </w:tr>
      <w:tr>
        <w:trPr>
          <w:trHeight w:val="414"/>
        </w:trPr>
        <w:tc>
          <w:tcPr>
            <w:tcW w:w="3600" w:type="dxa"/>
            <w:vAlign w:val="bottom"/>
            <w:gridSpan w:val="3"/>
          </w:tcPr>
          <w:p>
            <w:pPr>
              <w:jc w:val="center"/>
              <w:ind w:left="1110"/>
              <w:spacing w:after="0"/>
              <w:rPr>
                <w:sz w:val="20"/>
                <w:szCs w:val="20"/>
                <w:color w:val="auto"/>
              </w:rPr>
            </w:pPr>
            <w:r>
              <w:rPr>
                <w:rFonts w:ascii="Arial" w:cs="Arial" w:eastAsia="Arial" w:hAnsi="Arial"/>
                <w:sz w:val="18"/>
                <w:szCs w:val="18"/>
                <w:b w:val="1"/>
                <w:bCs w:val="1"/>
                <w:color w:val="auto"/>
                <w:w w:val="91"/>
              </w:rPr>
              <w:t>2801 East Beltline, NE</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34"/>
        </w:trPr>
        <w:tc>
          <w:tcPr>
            <w:tcW w:w="3600" w:type="dxa"/>
            <w:vAlign w:val="bottom"/>
            <w:tcBorders>
              <w:bottom w:val="single" w:sz="8" w:color="auto"/>
            </w:tcBorders>
            <w:gridSpan w:val="3"/>
          </w:tcPr>
          <w:p>
            <w:pPr>
              <w:jc w:val="center"/>
              <w:ind w:left="1110"/>
              <w:spacing w:after="0"/>
              <w:rPr>
                <w:sz w:val="20"/>
                <w:szCs w:val="20"/>
                <w:color w:val="auto"/>
              </w:rPr>
            </w:pPr>
            <w:r>
              <w:rPr>
                <w:rFonts w:ascii="Arial" w:cs="Arial" w:eastAsia="Arial" w:hAnsi="Arial"/>
                <w:sz w:val="18"/>
                <w:szCs w:val="18"/>
                <w:b w:val="1"/>
                <w:bCs w:val="1"/>
                <w:color w:val="auto"/>
                <w:w w:val="93"/>
              </w:rPr>
              <w:t>Grand Rapids, Michigan</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2"/>
          </w:tcPr>
          <w:p>
            <w:pPr>
              <w:jc w:val="right"/>
              <w:ind w:right="2090"/>
              <w:spacing w:after="0"/>
              <w:rPr>
                <w:sz w:val="20"/>
                <w:szCs w:val="20"/>
                <w:color w:val="auto"/>
              </w:rPr>
            </w:pPr>
            <w:r>
              <w:rPr>
                <w:rFonts w:ascii="Arial" w:cs="Arial" w:eastAsia="Arial" w:hAnsi="Arial"/>
                <w:sz w:val="18"/>
                <w:szCs w:val="18"/>
                <w:b w:val="1"/>
                <w:bCs w:val="1"/>
                <w:color w:val="auto"/>
              </w:rPr>
              <w:t>49525</w:t>
            </w:r>
          </w:p>
        </w:tc>
      </w:tr>
      <w:tr>
        <w:trPr>
          <w:trHeight w:val="224"/>
        </w:trPr>
        <w:tc>
          <w:tcPr>
            <w:tcW w:w="480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60" w:type="dxa"/>
            <w:vAlign w:val="bottom"/>
          </w:tcPr>
          <w:p>
            <w:pPr>
              <w:ind w:left="340"/>
              <w:spacing w:after="0"/>
              <w:rPr>
                <w:sz w:val="20"/>
                <w:szCs w:val="20"/>
                <w:color w:val="auto"/>
              </w:rPr>
            </w:pPr>
            <w:r>
              <w:rPr>
                <w:rFonts w:ascii="Arial" w:cs="Arial" w:eastAsia="Arial" w:hAnsi="Arial"/>
                <w:sz w:val="18"/>
                <w:szCs w:val="18"/>
                <w:color w:val="auto"/>
              </w:rPr>
              <w:t>(Zip Code)</w:t>
            </w:r>
          </w:p>
        </w:tc>
      </w:tr>
    </w:tbl>
    <w:p>
      <w:pPr>
        <w:spacing w:after="0" w:line="4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(616) 364-6161</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None</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1675765</wp:posOffset>
            </wp:positionH>
            <wp:positionV relativeFrom="paragraph">
              <wp:posOffset>-130810</wp:posOffset>
            </wp:positionV>
            <wp:extent cx="2813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64" w:lineRule="exact"/>
        <w:rPr>
          <w:sz w:val="20"/>
          <w:szCs w:val="20"/>
          <w:color w:val="auto"/>
        </w:rPr>
      </w:pPr>
    </w:p>
    <w:p>
      <w:pPr>
        <w:ind w:right="5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143510</wp:posOffset>
            </wp:positionV>
            <wp:extent cx="61747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474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160655</wp:posOffset>
            </wp:positionV>
            <wp:extent cx="617474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819150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67"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left="780" w:right="1059"/>
        <w:spacing w:after="0" w:line="342" w:lineRule="auto"/>
        <w:rPr>
          <w:sz w:val="20"/>
          <w:szCs w:val="20"/>
          <w:color w:val="auto"/>
        </w:rPr>
      </w:pPr>
      <w:r>
        <w:rPr>
          <w:rFonts w:ascii="Arial" w:cs="Arial" w:eastAsia="Arial" w:hAnsi="Arial"/>
          <w:sz w:val="16"/>
          <w:szCs w:val="16"/>
          <w:color w:val="auto"/>
        </w:rPr>
        <w:t>On October 17, 2007, the Registrant issued a press release announcing its financial results for the quarter ended September 29, 2007. A copy of the Registrant’s press release is attached as Exhibit 99(a) to this Current Report.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Pro Forma Financial Information, and Exhibits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 Exhibits</w:t>
      </w:r>
    </w:p>
    <w:p>
      <w:pPr>
        <w:spacing w:after="0" w:line="200" w:lineRule="exact"/>
        <w:rPr>
          <w:sz w:val="20"/>
          <w:szCs w:val="20"/>
          <w:color w:val="auto"/>
        </w:rPr>
      </w:pPr>
    </w:p>
    <w:p>
      <w:pPr>
        <w:spacing w:after="0" w:line="214" w:lineRule="exact"/>
        <w:rPr>
          <w:sz w:val="20"/>
          <w:szCs w:val="20"/>
          <w:color w:val="auto"/>
        </w:rPr>
      </w:pPr>
    </w:p>
    <w:p>
      <w:pPr>
        <w:ind w:left="780"/>
        <w:spacing w:after="0"/>
        <w:tabs>
          <w:tab w:leader="none" w:pos="1340" w:val="left"/>
        </w:tabs>
        <w:rPr>
          <w:sz w:val="20"/>
          <w:szCs w:val="20"/>
          <w:color w:val="auto"/>
        </w:rPr>
      </w:pPr>
      <w:r>
        <w:rPr>
          <w:rFonts w:ascii="Arial" w:cs="Arial" w:eastAsia="Arial" w:hAnsi="Arial"/>
          <w:sz w:val="18"/>
          <w:szCs w:val="18"/>
          <w:color w:val="auto"/>
        </w:rPr>
        <w:t>99(a)</w:t>
        <w:tab/>
        <w:t>Press Release dated October 17, 2007.</w:t>
      </w:r>
    </w:p>
    <w:p>
      <w:pPr>
        <w:spacing w:after="0" w:line="18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655955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3" w:name="page4"/>
    <w:bookmarkEnd w:id="3"/>
    <w:p>
      <w:pPr>
        <w:jc w:val="center"/>
        <w:ind w:right="1040"/>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ind w:left="340" w:right="17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5160" w:type="dxa"/>
            <w:vAlign w:val="bottom"/>
            <w:gridSpan w:val="2"/>
          </w:tcPr>
          <w:p>
            <w:pPr>
              <w:ind w:left="1380"/>
              <w:spacing w:after="0"/>
              <w:rPr>
                <w:sz w:val="20"/>
                <w:szCs w:val="20"/>
                <w:color w:val="auto"/>
              </w:rPr>
            </w:pPr>
            <w:r>
              <w:rPr>
                <w:rFonts w:ascii="Arial" w:cs="Arial" w:eastAsia="Arial" w:hAnsi="Arial"/>
                <w:sz w:val="18"/>
                <w:szCs w:val="18"/>
                <w:color w:val="auto"/>
              </w:rPr>
              <w:t>UNIVERSAL FOREST PRODUCTS, INC.</w:t>
            </w:r>
          </w:p>
        </w:tc>
        <w:tc>
          <w:tcPr>
            <w:tcW w:w="2780" w:type="dxa"/>
            <w:vAlign w:val="bottom"/>
          </w:tcPr>
          <w:p>
            <w:pPr>
              <w:spacing w:after="0"/>
              <w:rPr>
                <w:sz w:val="18"/>
                <w:szCs w:val="18"/>
                <w:color w:val="auto"/>
              </w:rPr>
            </w:pPr>
          </w:p>
        </w:tc>
      </w:tr>
      <w:tr>
        <w:trPr>
          <w:trHeight w:val="230"/>
        </w:trPr>
        <w:tc>
          <w:tcPr>
            <w:tcW w:w="3480" w:type="dxa"/>
            <w:vAlign w:val="bottom"/>
          </w:tcPr>
          <w:p>
            <w:pPr>
              <w:spacing w:after="0"/>
              <w:rPr>
                <w:sz w:val="20"/>
                <w:szCs w:val="20"/>
                <w:color w:val="auto"/>
              </w:rPr>
            </w:pPr>
          </w:p>
        </w:tc>
        <w:tc>
          <w:tcPr>
            <w:tcW w:w="5160" w:type="dxa"/>
            <w:vAlign w:val="bottom"/>
            <w:gridSpan w:val="2"/>
          </w:tcPr>
          <w:p>
            <w:pPr>
              <w:ind w:left="1380"/>
              <w:spacing w:after="0"/>
              <w:rPr>
                <w:sz w:val="20"/>
                <w:szCs w:val="20"/>
                <w:color w:val="auto"/>
              </w:rPr>
            </w:pPr>
            <w:r>
              <w:rPr>
                <w:rFonts w:ascii="Arial" w:cs="Arial" w:eastAsia="Arial" w:hAnsi="Arial"/>
                <w:sz w:val="18"/>
                <w:szCs w:val="18"/>
                <w:color w:val="auto"/>
              </w:rPr>
              <w:t>(Registrant)</w:t>
            </w:r>
          </w:p>
        </w:tc>
        <w:tc>
          <w:tcPr>
            <w:tcW w:w="2780" w:type="dxa"/>
            <w:vAlign w:val="bottom"/>
          </w:tcPr>
          <w:p>
            <w:pPr>
              <w:spacing w:after="0"/>
              <w:rPr>
                <w:sz w:val="20"/>
                <w:szCs w:val="20"/>
                <w:color w:val="auto"/>
              </w:rPr>
            </w:pPr>
          </w:p>
        </w:tc>
      </w:tr>
      <w:tr>
        <w:trPr>
          <w:trHeight w:val="432"/>
        </w:trPr>
        <w:tc>
          <w:tcPr>
            <w:tcW w:w="3480" w:type="dxa"/>
            <w:vAlign w:val="bottom"/>
          </w:tcPr>
          <w:p>
            <w:pPr>
              <w:ind w:left="340"/>
              <w:spacing w:after="0"/>
              <w:rPr>
                <w:sz w:val="20"/>
                <w:szCs w:val="20"/>
                <w:color w:val="auto"/>
              </w:rPr>
            </w:pPr>
            <w:r>
              <w:rPr>
                <w:rFonts w:ascii="Arial" w:cs="Arial" w:eastAsia="Arial" w:hAnsi="Arial"/>
                <w:sz w:val="18"/>
                <w:szCs w:val="18"/>
                <w:color w:val="auto"/>
              </w:rPr>
              <w:t>Dated: October 17, 2007</w:t>
            </w:r>
          </w:p>
        </w:tc>
        <w:tc>
          <w:tcPr>
            <w:tcW w:w="5160" w:type="dxa"/>
            <w:vAlign w:val="bottom"/>
            <w:gridSpan w:val="2"/>
          </w:tcPr>
          <w:p>
            <w:pPr>
              <w:ind w:left="1380"/>
              <w:spacing w:after="0"/>
              <w:rPr>
                <w:sz w:val="20"/>
                <w:szCs w:val="20"/>
                <w:color w:val="auto"/>
              </w:rPr>
            </w:pPr>
            <w:r>
              <w:rPr>
                <w:rFonts w:ascii="Arial" w:cs="Arial" w:eastAsia="Arial" w:hAnsi="Arial"/>
                <w:sz w:val="18"/>
                <w:szCs w:val="18"/>
                <w:color w:val="auto"/>
              </w:rPr>
              <w:t>By: /s/ Michael R. Cole</w:t>
            </w:r>
          </w:p>
        </w:tc>
        <w:tc>
          <w:tcPr>
            <w:tcW w:w="2780" w:type="dxa"/>
            <w:vAlign w:val="bottom"/>
          </w:tcPr>
          <w:p>
            <w:pPr>
              <w:spacing w:after="0"/>
              <w:rPr>
                <w:sz w:val="24"/>
                <w:szCs w:val="24"/>
                <w:color w:val="auto"/>
              </w:rPr>
            </w:pPr>
          </w:p>
        </w:tc>
      </w:tr>
      <w:tr>
        <w:trPr>
          <w:trHeight w:val="195"/>
        </w:trPr>
        <w:tc>
          <w:tcPr>
            <w:tcW w:w="34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R. Cole, Chief Financial Officer</w:t>
            </w:r>
          </w:p>
        </w:tc>
        <w:tc>
          <w:tcPr>
            <w:tcW w:w="2780" w:type="dxa"/>
            <w:vAlign w:val="bottom"/>
          </w:tcPr>
          <w:p>
            <w:pPr>
              <w:spacing w:after="0"/>
              <w:rPr>
                <w:sz w:val="16"/>
                <w:szCs w:val="16"/>
                <w:color w:val="auto"/>
              </w:rPr>
            </w:pPr>
          </w:p>
        </w:tc>
      </w:tr>
      <w:tr>
        <w:trPr>
          <w:trHeight w:val="230"/>
        </w:trPr>
        <w:tc>
          <w:tcPr>
            <w:tcW w:w="34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and Treasurer</w:t>
            </w:r>
          </w:p>
        </w:tc>
        <w:tc>
          <w:tcPr>
            <w:tcW w:w="2780" w:type="dxa"/>
            <w:vAlign w:val="bottom"/>
          </w:tcPr>
          <w:p>
            <w:pPr>
              <w:spacing w:after="0"/>
              <w:rPr>
                <w:sz w:val="20"/>
                <w:szCs w:val="20"/>
                <w:color w:val="auto"/>
              </w:rPr>
            </w:pPr>
          </w:p>
        </w:tc>
      </w:tr>
      <w:tr>
        <w:trPr>
          <w:trHeight w:val="608"/>
        </w:trPr>
        <w:tc>
          <w:tcPr>
            <w:tcW w:w="3480" w:type="dxa"/>
            <w:vAlign w:val="bottom"/>
          </w:tcPr>
          <w:p>
            <w:pPr>
              <w:spacing w:after="0"/>
              <w:rPr>
                <w:sz w:val="24"/>
                <w:szCs w:val="24"/>
                <w:color w:val="auto"/>
              </w:rPr>
            </w:pPr>
          </w:p>
        </w:tc>
        <w:tc>
          <w:tcPr>
            <w:tcW w:w="5160" w:type="dxa"/>
            <w:vAlign w:val="bottom"/>
            <w:gridSpan w:val="2"/>
          </w:tcPr>
          <w:p>
            <w:pPr>
              <w:jc w:val="right"/>
              <w:ind w:right="3310"/>
              <w:spacing w:after="0"/>
              <w:rPr>
                <w:sz w:val="20"/>
                <w:szCs w:val="20"/>
                <w:color w:val="auto"/>
              </w:rPr>
            </w:pPr>
            <w:r>
              <w:rPr>
                <w:rFonts w:ascii="Arial" w:cs="Arial" w:eastAsia="Arial" w:hAnsi="Arial"/>
                <w:sz w:val="18"/>
                <w:szCs w:val="18"/>
                <w:color w:val="auto"/>
              </w:rPr>
              <w:t>3</w:t>
            </w:r>
          </w:p>
        </w:tc>
        <w:tc>
          <w:tcPr>
            <w:tcW w:w="2780" w:type="dxa"/>
            <w:vAlign w:val="bottom"/>
          </w:tcPr>
          <w:p>
            <w:pPr>
              <w:spacing w:after="0"/>
              <w:rPr>
                <w:sz w:val="24"/>
                <w:szCs w:val="24"/>
                <w:color w:val="auto"/>
              </w:rPr>
            </w:pPr>
          </w:p>
        </w:tc>
      </w:tr>
      <w:tr>
        <w:trPr>
          <w:trHeight w:val="1023"/>
        </w:trPr>
        <w:tc>
          <w:tcPr>
            <w:tcW w:w="348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3440" w:type="dxa"/>
            <w:vAlign w:val="bottom"/>
            <w:tcBorders>
              <w:bottom w:val="single" w:sz="8" w:color="808080"/>
            </w:tcBorders>
          </w:tcPr>
          <w:p>
            <w:pPr>
              <w:spacing w:after="0"/>
              <w:rPr>
                <w:sz w:val="24"/>
                <w:szCs w:val="24"/>
                <w:color w:val="auto"/>
              </w:rPr>
            </w:pPr>
          </w:p>
        </w:tc>
        <w:tc>
          <w:tcPr>
            <w:tcW w:w="27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80" w:type="dxa"/>
            <w:vAlign w:val="bottom"/>
            <w:gridSpan w:val="3"/>
          </w:tcPr>
          <w:p>
            <w:pPr>
              <w:jc w:val="center"/>
              <w:ind w:right="1640"/>
              <w:spacing w:after="0"/>
              <w:rPr>
                <w:sz w:val="20"/>
                <w:szCs w:val="20"/>
                <w:color w:val="auto"/>
              </w:rPr>
            </w:pPr>
            <w:r>
              <w:rPr>
                <w:rFonts w:ascii="Arial" w:cs="Arial" w:eastAsia="Arial" w:hAnsi="Arial"/>
                <w:sz w:val="18"/>
                <w:szCs w:val="18"/>
                <w:b w:val="1"/>
                <w:bCs w:val="1"/>
                <w:color w:val="auto"/>
              </w:rPr>
              <w:t>EXHIBIT INDEX</w:t>
            </w:r>
          </w:p>
        </w:tc>
      </w:tr>
      <w:tr>
        <w:trPr>
          <w:trHeight w:val="642"/>
        </w:trPr>
        <w:tc>
          <w:tcPr>
            <w:tcW w:w="1160" w:type="dxa"/>
            <w:vAlign w:val="bottom"/>
          </w:tcPr>
          <w:p>
            <w:pPr>
              <w:spacing w:after="0"/>
              <w:rPr>
                <w:sz w:val="20"/>
                <w:szCs w:val="20"/>
                <w:color w:val="auto"/>
              </w:rPr>
            </w:pPr>
            <w:r>
              <w:rPr>
                <w:rFonts w:ascii="Arial" w:cs="Arial" w:eastAsia="Arial" w:hAnsi="Arial"/>
                <w:sz w:val="18"/>
                <w:szCs w:val="18"/>
                <w:color w:val="auto"/>
                <w:w w:val="92"/>
              </w:rPr>
              <w:t>Exhibit Number</w:t>
            </w:r>
          </w:p>
        </w:tc>
        <w:tc>
          <w:tcPr>
            <w:tcW w:w="3000" w:type="dxa"/>
            <w:vAlign w:val="bottom"/>
            <w:gridSpan w:val="2"/>
          </w:tcPr>
          <w:p>
            <w:pPr>
              <w:ind w:left="480"/>
              <w:spacing w:after="0"/>
              <w:rPr>
                <w:sz w:val="20"/>
                <w:szCs w:val="20"/>
                <w:color w:val="auto"/>
              </w:rPr>
            </w:pPr>
            <w:r>
              <w:rPr>
                <w:rFonts w:ascii="Arial" w:cs="Arial" w:eastAsia="Arial" w:hAnsi="Arial"/>
                <w:sz w:val="18"/>
                <w:szCs w:val="18"/>
                <w:color w:val="auto"/>
              </w:rPr>
              <w:t>Document</w:t>
            </w:r>
          </w:p>
        </w:tc>
        <w:tc>
          <w:tcPr>
            <w:tcW w:w="1400" w:type="dxa"/>
            <w:vAlign w:val="bottom"/>
            <w:tcBorders>
              <w:top w:val="single" w:sz="8" w:color="auto"/>
            </w:tcBorders>
          </w:tcPr>
          <w:p>
            <w:pPr>
              <w:spacing w:after="0"/>
              <w:rPr>
                <w:sz w:val="24"/>
                <w:szCs w:val="24"/>
                <w:color w:val="auto"/>
              </w:rPr>
            </w:pPr>
          </w:p>
        </w:tc>
        <w:tc>
          <w:tcPr>
            <w:tcW w:w="4160" w:type="dxa"/>
            <w:vAlign w:val="bottom"/>
          </w:tcPr>
          <w:p>
            <w:pPr>
              <w:spacing w:after="0"/>
              <w:rPr>
                <w:sz w:val="24"/>
                <w:szCs w:val="24"/>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160" w:type="dxa"/>
            <w:vAlign w:val="bottom"/>
            <w:shd w:val="clear" w:color="auto" w:fill="000000"/>
          </w:tcPr>
          <w:p>
            <w:pPr>
              <w:spacing w:after="0" w:line="20" w:lineRule="exact"/>
              <w:rPr>
                <w:sz w:val="1"/>
                <w:szCs w:val="1"/>
                <w:color w:val="auto"/>
              </w:rPr>
            </w:pPr>
          </w:p>
        </w:tc>
      </w:tr>
      <w:tr>
        <w:trPr>
          <w:trHeight w:val="439"/>
        </w:trPr>
        <w:tc>
          <w:tcPr>
            <w:tcW w:w="1160" w:type="dxa"/>
            <w:vAlign w:val="bottom"/>
          </w:tcPr>
          <w:p>
            <w:pPr>
              <w:spacing w:after="0"/>
              <w:rPr>
                <w:sz w:val="20"/>
                <w:szCs w:val="20"/>
                <w:color w:val="auto"/>
              </w:rPr>
            </w:pPr>
            <w:r>
              <w:rPr>
                <w:rFonts w:ascii="Arial" w:cs="Arial" w:eastAsia="Arial" w:hAnsi="Arial"/>
                <w:sz w:val="18"/>
                <w:szCs w:val="18"/>
                <w:color w:val="auto"/>
              </w:rPr>
              <w:t>99(a)</w:t>
            </w:r>
          </w:p>
        </w:tc>
        <w:tc>
          <w:tcPr>
            <w:tcW w:w="8560" w:type="dxa"/>
            <w:vAlign w:val="bottom"/>
            <w:gridSpan w:val="4"/>
          </w:tcPr>
          <w:p>
            <w:pPr>
              <w:ind w:left="480"/>
              <w:spacing w:after="0"/>
              <w:rPr>
                <w:sz w:val="20"/>
                <w:szCs w:val="20"/>
                <w:color w:val="auto"/>
              </w:rPr>
            </w:pPr>
            <w:r>
              <w:rPr>
                <w:rFonts w:ascii="Arial" w:cs="Arial" w:eastAsia="Arial" w:hAnsi="Arial"/>
                <w:sz w:val="18"/>
                <w:szCs w:val="18"/>
                <w:color w:val="auto"/>
              </w:rPr>
              <w:t>Press Release dated October 17, 2007.</w:t>
            </w:r>
          </w:p>
        </w:tc>
      </w:tr>
      <w:tr>
        <w:trPr>
          <w:trHeight w:val="392"/>
        </w:trPr>
        <w:tc>
          <w:tcPr>
            <w:tcW w:w="1160" w:type="dxa"/>
            <w:vAlign w:val="bottom"/>
          </w:tcPr>
          <w:p>
            <w:pPr>
              <w:spacing w:after="0"/>
              <w:rPr>
                <w:sz w:val="24"/>
                <w:szCs w:val="24"/>
                <w:color w:val="auto"/>
              </w:rPr>
            </w:pPr>
          </w:p>
        </w:tc>
        <w:tc>
          <w:tcPr>
            <w:tcW w:w="4400" w:type="dxa"/>
            <w:vAlign w:val="bottom"/>
            <w:gridSpan w:val="3"/>
          </w:tcPr>
          <w:p>
            <w:pPr>
              <w:jc w:val="right"/>
              <w:ind w:right="660"/>
              <w:spacing w:after="0"/>
              <w:rPr>
                <w:sz w:val="20"/>
                <w:szCs w:val="20"/>
                <w:color w:val="auto"/>
              </w:rPr>
            </w:pPr>
            <w:r>
              <w:rPr>
                <w:rFonts w:ascii="Arial" w:cs="Arial" w:eastAsia="Arial" w:hAnsi="Arial"/>
                <w:sz w:val="18"/>
                <w:szCs w:val="18"/>
                <w:color w:val="auto"/>
              </w:rPr>
              <w:t>4</w:t>
            </w:r>
          </w:p>
        </w:tc>
        <w:tc>
          <w:tcPr>
            <w:tcW w:w="4160" w:type="dxa"/>
            <w:vAlign w:val="bottom"/>
          </w:tcPr>
          <w:p>
            <w:pPr>
              <w:spacing w:after="0"/>
              <w:rPr>
                <w:sz w:val="24"/>
                <w:szCs w:val="24"/>
                <w:color w:val="auto"/>
              </w:rPr>
            </w:pPr>
          </w:p>
        </w:tc>
      </w:tr>
    </w:tbl>
    <w:p>
      <w:pPr>
        <w:sectPr>
          <w:pgSz w:w="11900" w:h="16838" w:orient="portrait"/>
          <w:cols w:equalWidth="0" w:num="1">
            <w:col w:w="9879"/>
          </w:cols>
          <w:pgMar w:left="580" w:top="918" w:right="1440" w:bottom="1440" w:gutter="0" w:footer="0" w:header="0"/>
        </w:sectPr>
      </w:pPr>
    </w:p>
    <w:bookmarkStart w:id="5" w:name="page6"/>
    <w:bookmarkEnd w:id="5"/>
    <w:p>
      <w:pPr>
        <w:jc w:val="right"/>
        <w:ind w:right="159"/>
        <w:spacing w:after="0"/>
        <w:rPr>
          <w:sz w:val="20"/>
          <w:szCs w:val="20"/>
          <w:color w:val="auto"/>
        </w:rPr>
      </w:pPr>
      <w:r>
        <w:rPr>
          <w:rFonts w:ascii="Arial" w:cs="Arial" w:eastAsia="Arial" w:hAnsi="Arial"/>
          <w:sz w:val="18"/>
          <w:szCs w:val="18"/>
          <w:color w:val="auto"/>
        </w:rPr>
        <w:t>Exhibit 99(a)</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news release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—AT THE COMPANY—</w:t>
      </w:r>
    </w:p>
    <w:p>
      <w:pPr>
        <w:spacing w:after="0" w:line="234" w:lineRule="auto"/>
        <w:rPr>
          <w:sz w:val="20"/>
          <w:szCs w:val="20"/>
          <w:color w:val="auto"/>
        </w:rPr>
      </w:pPr>
      <w:r>
        <w:rPr>
          <w:rFonts w:ascii="Arial" w:cs="Arial" w:eastAsia="Arial" w:hAnsi="Arial"/>
          <w:sz w:val="18"/>
          <w:szCs w:val="18"/>
          <w:color w:val="auto"/>
        </w:rPr>
        <w:t>Lynn Afendoulis, Director, Corporate Communications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616/365-1502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WEDNESDAY, OCTOBER 17, 2007</w:t>
      </w:r>
    </w:p>
    <w:p>
      <w:pPr>
        <w:spacing w:after="0" w:line="14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Universal posts net sales increase for third quarter despite impact of housing market</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Company sees double-digit increases in sales to three of four markets</w:t>
      </w:r>
    </w:p>
    <w:p>
      <w:pPr>
        <w:spacing w:after="0" w:line="185" w:lineRule="exact"/>
        <w:rPr>
          <w:sz w:val="20"/>
          <w:szCs w:val="20"/>
          <w:color w:val="auto"/>
        </w:rPr>
      </w:pPr>
    </w:p>
    <w:p>
      <w:pPr>
        <w:ind w:right="179"/>
        <w:spacing w:after="0" w:line="239" w:lineRule="auto"/>
        <w:rPr>
          <w:sz w:val="20"/>
          <w:szCs w:val="20"/>
          <w:color w:val="auto"/>
        </w:rPr>
      </w:pPr>
      <w:r>
        <w:rPr>
          <w:rFonts w:ascii="Arial" w:cs="Arial" w:eastAsia="Arial" w:hAnsi="Arial"/>
          <w:sz w:val="18"/>
          <w:szCs w:val="18"/>
          <w:color w:val="auto"/>
        </w:rPr>
        <w:t>GRAND RAPIDS, Mich., October 17, 2007 – Universal Forest Products, Inc. (Nasdaq: UFPI) today announced results for the third quarter of 2007 including net sales of $ 678.4 million, an increase of $5.5 million over net sales of $672.9 million for the same period of 2006. Net earnings were $11.3 million, down from $17.7 million for the third quarter of 2006. Diluted earnings per share for the quarter were $0.59, down from $0.91 for the same period last year.</w:t>
      </w:r>
    </w:p>
    <w:p>
      <w:pPr>
        <w:spacing w:after="0" w:line="161" w:lineRule="exact"/>
        <w:rPr>
          <w:sz w:val="20"/>
          <w:szCs w:val="20"/>
          <w:color w:val="auto"/>
        </w:rPr>
      </w:pPr>
    </w:p>
    <w:p>
      <w:pPr>
        <w:ind w:right="299"/>
        <w:spacing w:after="0"/>
        <w:rPr>
          <w:sz w:val="20"/>
          <w:szCs w:val="20"/>
          <w:color w:val="auto"/>
        </w:rPr>
      </w:pPr>
      <w:r>
        <w:rPr>
          <w:rFonts w:ascii="Arial" w:cs="Arial" w:eastAsia="Arial" w:hAnsi="Arial"/>
          <w:sz w:val="18"/>
          <w:szCs w:val="18"/>
          <w:color w:val="auto"/>
        </w:rPr>
        <w:t>While Universal saw double-digit sales increases in three of its four markets, the drop in the housing market continued to have broad impact, especially in hard-hit areas like California, Colorado and Florida, and was responsible for the Company’s decline in earnings.</w:t>
      </w:r>
    </w:p>
    <w:p>
      <w:pPr>
        <w:spacing w:after="0" w:line="162" w:lineRule="exact"/>
        <w:rPr>
          <w:sz w:val="20"/>
          <w:szCs w:val="20"/>
          <w:color w:val="auto"/>
        </w:rPr>
      </w:pPr>
    </w:p>
    <w:p>
      <w:pPr>
        <w:ind w:right="279"/>
        <w:spacing w:after="0" w:line="238" w:lineRule="auto"/>
        <w:rPr>
          <w:sz w:val="20"/>
          <w:szCs w:val="20"/>
          <w:color w:val="auto"/>
        </w:rPr>
      </w:pPr>
      <w:r>
        <w:rPr>
          <w:rFonts w:ascii="Arial" w:cs="Arial" w:eastAsia="Arial" w:hAnsi="Arial"/>
          <w:sz w:val="18"/>
          <w:szCs w:val="18"/>
          <w:color w:val="auto"/>
        </w:rPr>
        <w:t>“We’re focused on building market share, managing our working capital, reducing costs, and enhancing our balance of business by adding new products and exploring new areas for growth. We’re also seeing promising opportunities to grow our business with new customers and markets, and we’re achieving positive results from our continuous improvement initiatives,” said President and CEO Michael B. Glenn. “By focusing on these objectives, we’re positioning ourselves well for the market’s return to strength.”</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By market, Universal posted the following gross sales results for the third quarter:</w:t>
      </w:r>
    </w:p>
    <w:p>
      <w:pPr>
        <w:spacing w:after="0" w:line="212" w:lineRule="exact"/>
        <w:rPr>
          <w:sz w:val="20"/>
          <w:szCs w:val="20"/>
          <w:color w:val="auto"/>
        </w:rPr>
      </w:pPr>
    </w:p>
    <w:p>
      <w:pPr>
        <w:ind w:left="560" w:hanging="379"/>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$268.0 million in Do-It-Yourself/retail (DIY), an increase of 11.2% over 2006;</w:t>
      </w:r>
    </w:p>
    <w:p>
      <w:pPr>
        <w:spacing w:after="0" w:line="211" w:lineRule="exact"/>
        <w:rPr>
          <w:rFonts w:ascii="Arial" w:cs="Arial" w:eastAsia="Arial" w:hAnsi="Arial"/>
          <w:sz w:val="18"/>
          <w:szCs w:val="18"/>
          <w:color w:val="auto"/>
        </w:rPr>
      </w:pPr>
    </w:p>
    <w:p>
      <w:pPr>
        <w:ind w:left="560" w:hanging="379"/>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$158.9 million in site-built construction, a decrease of 24.0% from 2006;</w:t>
      </w:r>
    </w:p>
    <w:p>
      <w:pPr>
        <w:spacing w:after="0" w:line="211" w:lineRule="exact"/>
        <w:rPr>
          <w:rFonts w:ascii="Arial" w:cs="Arial" w:eastAsia="Arial" w:hAnsi="Arial"/>
          <w:sz w:val="18"/>
          <w:szCs w:val="18"/>
          <w:color w:val="auto"/>
        </w:rPr>
      </w:pPr>
    </w:p>
    <w:p>
      <w:pPr>
        <w:ind w:left="560" w:hanging="379"/>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$156.6 million in industrial, an increase of 10.2% over 2006; and</w:t>
      </w:r>
    </w:p>
    <w:p>
      <w:pPr>
        <w:spacing w:after="0" w:line="211" w:lineRule="exact"/>
        <w:rPr>
          <w:rFonts w:ascii="Arial" w:cs="Arial" w:eastAsia="Arial" w:hAnsi="Arial"/>
          <w:sz w:val="18"/>
          <w:szCs w:val="18"/>
          <w:color w:val="auto"/>
        </w:rPr>
      </w:pPr>
    </w:p>
    <w:p>
      <w:pPr>
        <w:ind w:left="560" w:hanging="379"/>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$109.7 million in manufactured/modular housing, an increase of 18.2% over 2006.</w:t>
      </w:r>
    </w:p>
    <w:p>
      <w:pPr>
        <w:spacing w:after="0" w:line="212" w:lineRule="exact"/>
        <w:rPr>
          <w:sz w:val="20"/>
          <w:szCs w:val="20"/>
          <w:color w:val="auto"/>
        </w:rPr>
      </w:pPr>
    </w:p>
    <w:p>
      <w:pPr>
        <w:ind w:right="399"/>
        <w:spacing w:after="0"/>
        <w:rPr>
          <w:sz w:val="20"/>
          <w:szCs w:val="20"/>
          <w:color w:val="auto"/>
        </w:rPr>
      </w:pPr>
      <w:r>
        <w:rPr>
          <w:rFonts w:ascii="Arial" w:cs="Arial" w:eastAsia="Arial" w:hAnsi="Arial"/>
          <w:sz w:val="18"/>
          <w:szCs w:val="18"/>
          <w:color w:val="auto"/>
        </w:rPr>
        <w:t>Sales increases in DIY, industrial and manufactured housing were due to market share gains. The decline in site-built sales was due to a severe drop in housing starts coupled with intense price competition, which affected profitability. The lumber market had little impact on sales levels for the quarter.</w:t>
      </w:r>
    </w:p>
    <w:p>
      <w:pPr>
        <w:spacing w:after="0" w:line="144" w:lineRule="exact"/>
        <w:rPr>
          <w:sz w:val="20"/>
          <w:szCs w:val="20"/>
          <w:color w:val="auto"/>
        </w:rPr>
      </w:pPr>
    </w:p>
    <w:p>
      <w:pPr>
        <w:jc w:val="right"/>
        <w:ind w:right="159"/>
        <w:spacing w:after="0"/>
        <w:rPr>
          <w:sz w:val="20"/>
          <w:szCs w:val="20"/>
          <w:color w:val="auto"/>
        </w:rPr>
      </w:pPr>
      <w:r>
        <w:rPr>
          <w:rFonts w:ascii="Arial" w:cs="Arial" w:eastAsia="Arial" w:hAnsi="Arial"/>
          <w:sz w:val="18"/>
          <w:szCs w:val="18"/>
          <w:i w:val="1"/>
          <w:iCs w:val="1"/>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633095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49" w:right="1440"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continues to diversify its product mix and strengthen its market position by targeting the following areas:</w:t>
      </w:r>
    </w:p>
    <w:p>
      <w:pPr>
        <w:spacing w:after="0" w:line="212" w:lineRule="exact"/>
        <w:rPr>
          <w:sz w:val="20"/>
          <w:szCs w:val="20"/>
          <w:color w:val="auto"/>
        </w:rPr>
      </w:pPr>
    </w:p>
    <w:p>
      <w:pPr>
        <w:ind w:left="460" w:hanging="373"/>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Selling components and building materials into multi-family and light-commercial construction;</w:t>
      </w:r>
    </w:p>
    <w:p>
      <w:pPr>
        <w:spacing w:after="0" w:line="211" w:lineRule="exact"/>
        <w:rPr>
          <w:rFonts w:ascii="Arial" w:cs="Arial" w:eastAsia="Arial" w:hAnsi="Arial"/>
          <w:sz w:val="18"/>
          <w:szCs w:val="18"/>
          <w:color w:val="auto"/>
        </w:rPr>
      </w:pPr>
    </w:p>
    <w:p>
      <w:pPr>
        <w:ind w:left="460" w:hanging="373"/>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Increasing penetration with national customers in the industrial market;</w:t>
      </w:r>
    </w:p>
    <w:p>
      <w:pPr>
        <w:spacing w:after="0" w:line="211" w:lineRule="exact"/>
        <w:rPr>
          <w:rFonts w:ascii="Arial" w:cs="Arial" w:eastAsia="Arial" w:hAnsi="Arial"/>
          <w:sz w:val="18"/>
          <w:szCs w:val="18"/>
          <w:color w:val="auto"/>
        </w:rPr>
      </w:pPr>
    </w:p>
    <w:p>
      <w:pPr>
        <w:ind w:left="460" w:hanging="373"/>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Concrete forming products for high-rise buildings, bridges, parking garages, stadiums and other large structures;</w:t>
      </w:r>
    </w:p>
    <w:p>
      <w:pPr>
        <w:spacing w:after="0" w:line="211" w:lineRule="exact"/>
        <w:rPr>
          <w:rFonts w:ascii="Arial" w:cs="Arial" w:eastAsia="Arial" w:hAnsi="Arial"/>
          <w:sz w:val="18"/>
          <w:szCs w:val="18"/>
          <w:color w:val="auto"/>
        </w:rPr>
      </w:pPr>
    </w:p>
    <w:p>
      <w:pPr>
        <w:ind w:left="460" w:right="279" w:hanging="373"/>
        <w:spacing w:after="0" w:line="246"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successful integration of Banks Lumber, a significant manufactured housing supplier that Universal acquired in late 2006. Universal is well-positioned for a rebound in that market; and</w:t>
      </w:r>
    </w:p>
    <w:p>
      <w:pPr>
        <w:spacing w:after="0" w:line="196" w:lineRule="exact"/>
        <w:rPr>
          <w:rFonts w:ascii="Arial" w:cs="Arial" w:eastAsia="Arial" w:hAnsi="Arial"/>
          <w:sz w:val="18"/>
          <w:szCs w:val="18"/>
          <w:color w:val="auto"/>
        </w:rPr>
      </w:pPr>
    </w:p>
    <w:p>
      <w:pPr>
        <w:ind w:left="460" w:right="459" w:hanging="373"/>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sales of consumer products, including composite decking and railing products and a strong portfolio of accessories such as post caps, decorative balusters and lattice. In addition, with 23 treating plants nationwide, Universal continues to be the leading supplier of pressure-treated lumber to retailers coast-to-coast.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8" w:lineRule="exact"/>
        <w:rPr>
          <w:sz w:val="20"/>
          <w:szCs w:val="20"/>
          <w:color w:val="auto"/>
        </w:rPr>
      </w:pPr>
    </w:p>
    <w:p>
      <w:pPr>
        <w:ind w:right="439"/>
        <w:spacing w:after="0" w:line="234" w:lineRule="auto"/>
        <w:rPr>
          <w:sz w:val="20"/>
          <w:szCs w:val="20"/>
          <w:color w:val="auto"/>
        </w:rPr>
      </w:pPr>
      <w:r>
        <w:rPr>
          <w:rFonts w:ascii="Arial" w:cs="Arial" w:eastAsia="Arial" w:hAnsi="Arial"/>
          <w:sz w:val="18"/>
          <w:szCs w:val="18"/>
          <w:color w:val="auto"/>
        </w:rPr>
        <w:t>With the continued impact of the weak housing market on many sectors of the economy and the Company’s prediction that recovery won’t begin until 2009, and based on current economic conditions, the Company is revising its annual net sales target to a range of $2.48 billion to $2.52 billion and its net earnings target to a range of $32.0 million to $35.0 million in 2007. This implies the following targets for the fourth quarter of 2007: net sales of $480.0 million to</w:t>
      </w:r>
    </w:p>
    <w:p>
      <w:pPr>
        <w:spacing w:after="0" w:line="3" w:lineRule="exact"/>
        <w:rPr>
          <w:sz w:val="20"/>
          <w:szCs w:val="20"/>
          <w:color w:val="auto"/>
        </w:rPr>
      </w:pPr>
    </w:p>
    <w:p>
      <w:pPr>
        <w:jc w:val="both"/>
        <w:ind w:right="499"/>
        <w:spacing w:after="0"/>
        <w:rPr>
          <w:sz w:val="20"/>
          <w:szCs w:val="20"/>
          <w:color w:val="auto"/>
        </w:rPr>
      </w:pPr>
      <w:r>
        <w:rPr>
          <w:rFonts w:ascii="Arial" w:cs="Arial" w:eastAsia="Arial" w:hAnsi="Arial"/>
          <w:sz w:val="18"/>
          <w:szCs w:val="18"/>
          <w:color w:val="auto"/>
        </w:rPr>
        <w:t>$520.0 million and net earnings of break-even to $3.0 million. By comparison, net sales and net earnings for the fourth quarter of 2006 were $499.2 million and $9.2 million, respectively. Excluding certain nonrecurring tax adjustments, net earnings were approximately $5.8 million in the fourth quarter of 2006.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These targets are based on the following assumptions:</w:t>
      </w:r>
    </w:p>
    <w:p>
      <w:pPr>
        <w:spacing w:after="0" w:line="212" w:lineRule="exact"/>
        <w:rPr>
          <w:sz w:val="20"/>
          <w:szCs w:val="20"/>
          <w:color w:val="auto"/>
        </w:rPr>
      </w:pPr>
    </w:p>
    <w:p>
      <w:pPr>
        <w:ind w:left="460" w:hanging="373"/>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challenging conditions in site-built construction;</w:t>
      </w:r>
    </w:p>
    <w:p>
      <w:pPr>
        <w:spacing w:after="0" w:line="211" w:lineRule="exact"/>
        <w:rPr>
          <w:rFonts w:ascii="Arial" w:cs="Arial" w:eastAsia="Arial" w:hAnsi="Arial"/>
          <w:sz w:val="18"/>
          <w:szCs w:val="18"/>
          <w:color w:val="auto"/>
        </w:rPr>
      </w:pPr>
    </w:p>
    <w:p>
      <w:pPr>
        <w:ind w:left="460" w:hanging="373"/>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Manufactured housing production remains stable for the remainder of the year;</w:t>
      </w:r>
    </w:p>
    <w:p>
      <w:pPr>
        <w:spacing w:after="0" w:line="211" w:lineRule="exact"/>
        <w:rPr>
          <w:rFonts w:ascii="Arial" w:cs="Arial" w:eastAsia="Arial" w:hAnsi="Arial"/>
          <w:sz w:val="18"/>
          <w:szCs w:val="18"/>
          <w:color w:val="auto"/>
        </w:rPr>
      </w:pPr>
    </w:p>
    <w:p>
      <w:pPr>
        <w:ind w:left="460" w:hanging="373"/>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continues to achieve market share gains in DIY/retail, industrial and site-built;</w:t>
      </w:r>
    </w:p>
    <w:p>
      <w:pPr>
        <w:spacing w:after="0" w:line="211" w:lineRule="exact"/>
        <w:rPr>
          <w:rFonts w:ascii="Arial" w:cs="Arial" w:eastAsia="Arial" w:hAnsi="Arial"/>
          <w:sz w:val="18"/>
          <w:szCs w:val="18"/>
          <w:color w:val="auto"/>
        </w:rPr>
      </w:pPr>
    </w:p>
    <w:p>
      <w:pPr>
        <w:ind w:left="460" w:hanging="373"/>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Weak consumer spending continues to challenge the DIY/retail market;</w:t>
      </w:r>
    </w:p>
    <w:p>
      <w:pPr>
        <w:spacing w:after="0" w:line="211" w:lineRule="exact"/>
        <w:rPr>
          <w:rFonts w:ascii="Arial" w:cs="Arial" w:eastAsia="Arial" w:hAnsi="Arial"/>
          <w:sz w:val="18"/>
          <w:szCs w:val="18"/>
          <w:color w:val="auto"/>
        </w:rPr>
      </w:pPr>
    </w:p>
    <w:p>
      <w:pPr>
        <w:ind w:left="460" w:hanging="373"/>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events occur that result in asset impairment charges; and</w:t>
      </w:r>
    </w:p>
    <w:p>
      <w:pPr>
        <w:spacing w:after="0" w:line="211" w:lineRule="exact"/>
        <w:rPr>
          <w:rFonts w:ascii="Arial" w:cs="Arial" w:eastAsia="Arial" w:hAnsi="Arial"/>
          <w:sz w:val="18"/>
          <w:szCs w:val="18"/>
          <w:color w:val="auto"/>
        </w:rPr>
      </w:pPr>
    </w:p>
    <w:p>
      <w:pPr>
        <w:ind w:left="460" w:hanging="373"/>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lumber market continues at present levels for the balance of the year.</w:t>
      </w:r>
    </w:p>
    <w:p>
      <w:pPr>
        <w:spacing w:after="0" w:line="194" w:lineRule="exact"/>
        <w:rPr>
          <w:sz w:val="20"/>
          <w:szCs w:val="20"/>
          <w:color w:val="auto"/>
        </w:rPr>
      </w:pPr>
    </w:p>
    <w:p>
      <w:pPr>
        <w:jc w:val="right"/>
        <w:ind w:right="159"/>
        <w:spacing w:after="0"/>
        <w:rPr>
          <w:sz w:val="20"/>
          <w:szCs w:val="20"/>
          <w:color w:val="auto"/>
        </w:rPr>
      </w:pPr>
      <w:r>
        <w:rPr>
          <w:rFonts w:ascii="Arial" w:cs="Arial" w:eastAsia="Arial" w:hAnsi="Arial"/>
          <w:sz w:val="18"/>
          <w:szCs w:val="18"/>
          <w:i w:val="1"/>
          <w:iCs w:val="1"/>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633095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27" w:right="1440"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3</w:t>
      </w:r>
    </w:p>
    <w:p>
      <w:pPr>
        <w:spacing w:after="0" w:line="185" w:lineRule="exact"/>
        <w:rPr>
          <w:sz w:val="20"/>
          <w:szCs w:val="20"/>
          <w:color w:val="auto"/>
        </w:rPr>
      </w:pPr>
    </w:p>
    <w:p>
      <w:pPr>
        <w:ind w:right="199"/>
        <w:spacing w:after="0" w:line="237" w:lineRule="auto"/>
        <w:rPr>
          <w:sz w:val="20"/>
          <w:szCs w:val="20"/>
          <w:color w:val="auto"/>
        </w:rPr>
      </w:pPr>
      <w:r>
        <w:rPr>
          <w:rFonts w:ascii="Arial" w:cs="Arial" w:eastAsia="Arial" w:hAnsi="Arial"/>
          <w:sz w:val="18"/>
          <w:szCs w:val="18"/>
          <w:color w:val="auto"/>
        </w:rPr>
        <w:t xml:space="preserve">Universal Forest Products will conduct a conference call to discuss information included in this news release and related matters at 8:30 a.m. EST on Thursday, October 18, 2007. The call will be hosted by Executive Chairman William G. Currie, President and CEO Michael B. Glenn and CFO Michael Cole, and will be available for analysts and institutional investors domestically at (800) 901-5231 or internationally at (617) 786-2961. Use conference pass code #84571336. The conference call will be available simultaneously and in its entirety to all interested investors and news media through a Web cast at </w:t>
      </w:r>
      <w:r>
        <w:rPr>
          <w:rFonts w:ascii="Arial" w:cs="Arial" w:eastAsia="Arial" w:hAnsi="Arial"/>
          <w:sz w:val="18"/>
          <w:szCs w:val="18"/>
          <w:u w:val="single" w:color="auto"/>
          <w:color w:val="auto"/>
        </w:rPr>
        <w:t>http://www.ufpi.com</w:t>
      </w:r>
      <w:r>
        <w:rPr>
          <w:rFonts w:ascii="Arial" w:cs="Arial" w:eastAsia="Arial" w:hAnsi="Arial"/>
          <w:sz w:val="18"/>
          <w:szCs w:val="18"/>
          <w:color w:val="auto"/>
        </w:rPr>
        <w:t>. A replay of the call will be available through Sunday, November 18, 2007, domestically at (888) 286-8010 and internationally at (617) 801-6888. Use replay pass code #25356962.</w:t>
      </w:r>
    </w:p>
    <w:p>
      <w:pPr>
        <w:spacing w:after="0" w:line="163" w:lineRule="exact"/>
        <w:rPr>
          <w:sz w:val="20"/>
          <w:szCs w:val="20"/>
          <w:color w:val="auto"/>
        </w:rPr>
      </w:pPr>
    </w:p>
    <w:p>
      <w:pPr>
        <w:ind w:right="179"/>
        <w:spacing w:after="0" w:line="237" w:lineRule="auto"/>
        <w:rPr>
          <w:sz w:val="20"/>
          <w:szCs w:val="20"/>
          <w:color w:val="auto"/>
        </w:rPr>
      </w:pPr>
      <w:r>
        <w:rPr>
          <w:rFonts w:ascii="Arial" w:cs="Arial" w:eastAsia="Arial" w:hAnsi="Arial"/>
          <w:sz w:val="18"/>
          <w:szCs w:val="18"/>
          <w:color w:val="auto"/>
        </w:rPr>
        <w:t xml:space="preserve">Universal Forest Products markets, manufactures and engineers wood and wood-alternative products for D-I-Y/retail home centers, structural lumber products for the manufactured housing industry, engineered wood components for the site-built construction market, and specialty wood packaging for various industries. The Company also provides framing services for the site-built sector and forms for concrete construction. The Company reported sales of nearly $2.66 billion in 2006. Universal has approximately 8,000 employees who work out of approximately 100 locations in North America. For information about Universal Forest Products, visit </w:t>
      </w:r>
      <w:r>
        <w:rPr>
          <w:rFonts w:ascii="Arial" w:cs="Arial" w:eastAsia="Arial" w:hAnsi="Arial"/>
          <w:sz w:val="18"/>
          <w:szCs w:val="18"/>
          <w:u w:val="single" w:color="auto"/>
          <w:color w:val="auto"/>
        </w:rPr>
        <w:t>http://www.ufpi.com</w:t>
      </w:r>
      <w:r>
        <w:rPr>
          <w:rFonts w:ascii="Arial" w:cs="Arial" w:eastAsia="Arial" w:hAnsi="Arial"/>
          <w:sz w:val="18"/>
          <w:szCs w:val="18"/>
          <w:color w:val="auto"/>
        </w:rPr>
        <w:t xml:space="preserve"> or call 888-Buy-UFPI.</w:t>
      </w:r>
    </w:p>
    <w:p>
      <w:pPr>
        <w:spacing w:after="0" w:line="165" w:lineRule="exact"/>
        <w:rPr>
          <w:sz w:val="20"/>
          <w:szCs w:val="20"/>
          <w:color w:val="auto"/>
        </w:rPr>
      </w:pPr>
    </w:p>
    <w:p>
      <w:pPr>
        <w:ind w:right="239"/>
        <w:spacing w:after="0" w:line="236" w:lineRule="auto"/>
        <w:rPr>
          <w:sz w:val="20"/>
          <w:szCs w:val="20"/>
          <w:color w:val="auto"/>
        </w:rPr>
      </w:pPr>
      <w:r>
        <w:rPr>
          <w:rFonts w:ascii="Arial" w:cs="Arial" w:eastAsia="Arial" w:hAnsi="Arial"/>
          <w:sz w:val="18"/>
          <w:szCs w:val="18"/>
          <w:color w:val="auto"/>
        </w:rPr>
        <w:t>Please be aware that: Any statements included in this call that are not historical are forward-looking statements within the meaning of Section 21E of the Securities Exchange Act of 1934, as amended. Such forward-looking statements are based on the beliefs of the Company’s management as well as on assumptions made by and information currently available to the Company at the time such statements were made. The Company does not undertake to update forward-looking statements to reflect facts, circumstances, assumptions or events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are the following: Adverse lumber market trends, competitive activity, negative economic trends, government regulations, and weather. These risk factors and additional information are included in the Company’s reports on Form 10K and 10Q on file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618490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27" w:right="1440" w:bottom="1440" w:gutter="0" w:footer="0" w:header="0"/>
        </w:sectPr>
      </w:pPr>
    </w:p>
    <w:bookmarkStart w:id="8" w:name="page9"/>
    <w:bookmarkEnd w:id="8"/>
    <w:p>
      <w:pPr>
        <w:ind w:left="340"/>
        <w:spacing w:after="0"/>
        <w:rPr>
          <w:sz w:val="20"/>
          <w:szCs w:val="20"/>
          <w:color w:val="auto"/>
        </w:rPr>
      </w:pPr>
      <w:r>
        <w:rPr>
          <w:rFonts w:ascii="Arial" w:cs="Arial" w:eastAsia="Arial" w:hAnsi="Arial"/>
          <w:sz w:val="18"/>
          <w:szCs w:val="18"/>
          <w:b w:val="1"/>
          <w:bCs w:val="1"/>
          <w:color w:val="auto"/>
        </w:rPr>
        <w:t>UNIVERSAL FOREST PRODUCTS, INC.</w:t>
      </w:r>
    </w:p>
    <w:p>
      <w:pPr>
        <w:spacing w:after="0" w:line="1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PAGE 4</w:t>
      </w:r>
    </w:p>
    <w:p>
      <w:pPr>
        <w:spacing w:after="0" w:line="163"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CONSOLIDATED STATEMENTS OF EARNINGS (UNAUDITED)</w:t>
      </w:r>
    </w:p>
    <w:p>
      <w:pPr>
        <w:spacing w:after="0" w:line="13"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FOR THE NINE MONTHS ENDED</w:t>
      </w:r>
    </w:p>
    <w:p>
      <w:pPr>
        <w:jc w:val="center"/>
        <w:ind w:right="1040"/>
        <w:spacing w:after="0"/>
        <w:rPr>
          <w:sz w:val="20"/>
          <w:szCs w:val="20"/>
          <w:color w:val="auto"/>
        </w:rPr>
      </w:pPr>
      <w:r>
        <w:rPr>
          <w:rFonts w:ascii="Arial" w:cs="Arial" w:eastAsia="Arial" w:hAnsi="Arial"/>
          <w:sz w:val="18"/>
          <w:szCs w:val="18"/>
          <w:b w:val="1"/>
          <w:bCs w:val="1"/>
          <w:color w:val="auto"/>
        </w:rPr>
        <w:t>SEPTEMBER 2007/2006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0" w:type="dxa"/>
            <w:vAlign w:val="bottom"/>
          </w:tcPr>
          <w:p>
            <w:pPr>
              <w:spacing w:after="0"/>
              <w:rPr>
                <w:sz w:val="19"/>
                <w:szCs w:val="19"/>
                <w:color w:val="auto"/>
              </w:rPr>
            </w:pPr>
          </w:p>
        </w:tc>
        <w:tc>
          <w:tcPr>
            <w:tcW w:w="3200" w:type="dxa"/>
            <w:vAlign w:val="bottom"/>
            <w:gridSpan w:val="6"/>
            <w:vMerge w:val="restart"/>
          </w:tcPr>
          <w:p>
            <w:pPr>
              <w:spacing w:after="0"/>
              <w:rPr>
                <w:sz w:val="20"/>
                <w:szCs w:val="20"/>
                <w:color w:val="auto"/>
              </w:rPr>
            </w:pPr>
            <w:r>
              <w:rPr>
                <w:rFonts w:ascii="Arial" w:cs="Arial" w:eastAsia="Arial" w:hAnsi="Arial"/>
                <w:sz w:val="18"/>
                <w:szCs w:val="18"/>
                <w:b w:val="1"/>
                <w:bCs w:val="1"/>
                <w:color w:val="auto"/>
                <w:w w:val="99"/>
              </w:rPr>
              <w:t>(In thousands, except per share data)</w:t>
            </w: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6"/>
          </w:tcPr>
          <w:p>
            <w:pPr>
              <w:jc w:val="right"/>
              <w:ind w:right="400"/>
              <w:spacing w:after="0"/>
              <w:rPr>
                <w:sz w:val="20"/>
                <w:szCs w:val="20"/>
                <w:color w:val="auto"/>
              </w:rPr>
            </w:pPr>
            <w:r>
              <w:rPr>
                <w:rFonts w:ascii="Arial" w:cs="Arial" w:eastAsia="Arial" w:hAnsi="Arial"/>
                <w:sz w:val="18"/>
                <w:szCs w:val="18"/>
                <w:b w:val="1"/>
                <w:bCs w:val="1"/>
                <w:color w:val="auto"/>
              </w:rPr>
              <w:t>Quarter Period</w:t>
            </w: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10"/>
          </w:tcPr>
          <w:p>
            <w:pPr>
              <w:ind w:left="120"/>
              <w:spacing w:after="0"/>
              <w:rPr>
                <w:sz w:val="20"/>
                <w:szCs w:val="20"/>
                <w:color w:val="auto"/>
              </w:rPr>
            </w:pPr>
            <w:r>
              <w:rPr>
                <w:rFonts w:ascii="Arial" w:cs="Arial" w:eastAsia="Arial" w:hAnsi="Arial"/>
                <w:sz w:val="18"/>
                <w:szCs w:val="18"/>
                <w:b w:val="1"/>
                <w:bCs w:val="1"/>
                <w:color w:val="auto"/>
              </w:rPr>
              <w:t>Year to Date</w:t>
            </w: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200" w:type="dxa"/>
            <w:vAlign w:val="bottom"/>
            <w:tcBorders>
              <w:bottom w:val="single" w:sz="8" w:color="auto"/>
            </w:tcBorders>
            <w:gridSpan w:val="6"/>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4"/>
          </w:tcPr>
          <w:p>
            <w:pPr>
              <w:jc w:val="right"/>
              <w:ind w:right="430"/>
              <w:spacing w:after="0" w:line="196" w:lineRule="exact"/>
              <w:rPr>
                <w:sz w:val="20"/>
                <w:szCs w:val="20"/>
                <w:color w:val="auto"/>
              </w:rPr>
            </w:pPr>
            <w:r>
              <w:rPr>
                <w:rFonts w:ascii="Arial" w:cs="Arial" w:eastAsia="Arial" w:hAnsi="Arial"/>
                <w:sz w:val="18"/>
                <w:szCs w:val="18"/>
                <w:b w:val="1"/>
                <w:bCs w:val="1"/>
                <w:color w:val="auto"/>
                <w:w w:val="99"/>
              </w:rPr>
              <w:t>2007</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2006</w:t>
            </w:r>
          </w:p>
        </w:tc>
        <w:tc>
          <w:tcPr>
            <w:tcW w:w="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3"/>
          </w:tcPr>
          <w:p>
            <w:pPr>
              <w:jc w:val="right"/>
              <w:ind w:right="40"/>
              <w:spacing w:after="0" w:line="196" w:lineRule="exact"/>
              <w:rPr>
                <w:sz w:val="20"/>
                <w:szCs w:val="20"/>
                <w:color w:val="auto"/>
              </w:rPr>
            </w:pPr>
            <w:r>
              <w:rPr>
                <w:rFonts w:ascii="Arial" w:cs="Arial" w:eastAsia="Arial" w:hAnsi="Arial"/>
                <w:sz w:val="18"/>
                <w:szCs w:val="18"/>
                <w:b w:val="1"/>
                <w:bCs w:val="1"/>
                <w:color w:val="auto"/>
              </w:rPr>
              <w:t>2007</w:t>
            </w: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5"/>
          </w:tcPr>
          <w:p>
            <w:pPr>
              <w:jc w:val="right"/>
              <w:spacing w:after="0" w:line="196" w:lineRule="exact"/>
              <w:rPr>
                <w:sz w:val="20"/>
                <w:szCs w:val="20"/>
                <w:color w:val="auto"/>
              </w:rPr>
            </w:pPr>
            <w:r>
              <w:rPr>
                <w:rFonts w:ascii="Arial" w:cs="Arial" w:eastAsia="Arial" w:hAnsi="Arial"/>
                <w:sz w:val="18"/>
                <w:szCs w:val="18"/>
                <w:b w:val="1"/>
                <w:bCs w:val="1"/>
                <w:color w:val="auto"/>
              </w:rPr>
              <w:t>2006</w:t>
            </w:r>
          </w:p>
        </w:tc>
        <w:tc>
          <w:tcPr>
            <w:tcW w:w="3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18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SALES</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w w:val="99"/>
              </w:rPr>
              <w:t>$</w:t>
            </w:r>
          </w:p>
        </w:tc>
        <w:tc>
          <w:tcPr>
            <w:tcW w:w="720" w:type="dxa"/>
            <w:vAlign w:val="bottom"/>
            <w:gridSpan w:val="5"/>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678,398</w:t>
            </w:r>
          </w:p>
        </w:tc>
        <w:tc>
          <w:tcPr>
            <w:tcW w:w="900" w:type="dxa"/>
            <w:vAlign w:val="bottom"/>
            <w:tcBorders>
              <w:right w:val="single" w:sz="8" w:color="CCEEFF"/>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100% $</w:t>
            </w:r>
          </w:p>
        </w:tc>
        <w:tc>
          <w:tcPr>
            <w:tcW w:w="80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8"/>
              </w:rPr>
              <w:t>672,873</w:t>
            </w:r>
          </w:p>
        </w:tc>
        <w:tc>
          <w:tcPr>
            <w:tcW w:w="1720" w:type="dxa"/>
            <w:vAlign w:val="bottom"/>
            <w:gridSpan w:val="8"/>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100% $ 2,000,541</w:t>
            </w:r>
          </w:p>
        </w:tc>
        <w:tc>
          <w:tcPr>
            <w:tcW w:w="180" w:type="dxa"/>
            <w:vAlign w:val="bottom"/>
            <w:shd w:val="clear" w:color="auto" w:fill="CCEEFF"/>
          </w:tcPr>
          <w:p>
            <w:pPr>
              <w:spacing w:after="0"/>
              <w:rPr>
                <w:sz w:val="17"/>
                <w:szCs w:val="17"/>
                <w:color w:val="auto"/>
              </w:rPr>
            </w:pPr>
          </w:p>
        </w:tc>
        <w:tc>
          <w:tcPr>
            <w:tcW w:w="68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100% $</w:t>
            </w:r>
          </w:p>
        </w:tc>
        <w:tc>
          <w:tcPr>
            <w:tcW w:w="84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9"/>
              </w:rPr>
              <w:t>2,165,329</w:t>
            </w:r>
          </w:p>
        </w:tc>
        <w:tc>
          <w:tcPr>
            <w:tcW w:w="4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3200" w:type="dxa"/>
            <w:vAlign w:val="bottom"/>
            <w:gridSpan w:val="6"/>
          </w:tcPr>
          <w:p>
            <w:pPr>
              <w:spacing w:after="0"/>
              <w:rPr>
                <w:sz w:val="20"/>
                <w:szCs w:val="20"/>
                <w:color w:val="auto"/>
              </w:rPr>
            </w:pPr>
            <w:r>
              <w:rPr>
                <w:rFonts w:ascii="Arial" w:cs="Arial" w:eastAsia="Arial" w:hAnsi="Arial"/>
                <w:sz w:val="18"/>
                <w:szCs w:val="18"/>
                <w:b w:val="1"/>
                <w:bCs w:val="1"/>
                <w:color w:val="auto"/>
              </w:rPr>
              <w:t>COST OF GOODS SOLD</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5"/>
          </w:tcPr>
          <w:p>
            <w:pPr>
              <w:jc w:val="right"/>
              <w:ind w:right="60"/>
              <w:spacing w:after="0"/>
              <w:rPr>
                <w:sz w:val="20"/>
                <w:szCs w:val="20"/>
                <w:color w:val="auto"/>
              </w:rPr>
            </w:pPr>
            <w:r>
              <w:rPr>
                <w:rFonts w:ascii="Arial" w:cs="Arial" w:eastAsia="Arial" w:hAnsi="Arial"/>
                <w:sz w:val="18"/>
                <w:szCs w:val="18"/>
                <w:color w:val="auto"/>
                <w:w w:val="98"/>
              </w:rPr>
              <w:t>596,233</w:t>
            </w:r>
          </w:p>
        </w:tc>
        <w:tc>
          <w:tcPr>
            <w:tcW w:w="580" w:type="dxa"/>
            <w:vAlign w:val="bottom"/>
          </w:tcPr>
          <w:p>
            <w:pPr>
              <w:jc w:val="right"/>
              <w:spacing w:after="0"/>
              <w:rPr>
                <w:sz w:val="20"/>
                <w:szCs w:val="20"/>
                <w:color w:val="auto"/>
              </w:rPr>
            </w:pPr>
            <w:r>
              <w:rPr>
                <w:rFonts w:ascii="Arial" w:cs="Arial" w:eastAsia="Arial" w:hAnsi="Arial"/>
                <w:sz w:val="18"/>
                <w:szCs w:val="18"/>
                <w:color w:val="auto"/>
              </w:rPr>
              <w:t>87.89</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w w:val="98"/>
              </w:rPr>
              <w:t>574,048</w:t>
            </w:r>
          </w:p>
        </w:tc>
        <w:tc>
          <w:tcPr>
            <w:tcW w:w="700" w:type="dxa"/>
            <w:vAlign w:val="bottom"/>
            <w:gridSpan w:val="3"/>
          </w:tcPr>
          <w:p>
            <w:pPr>
              <w:jc w:val="right"/>
              <w:ind w:right="200"/>
              <w:spacing w:after="0"/>
              <w:rPr>
                <w:sz w:val="20"/>
                <w:szCs w:val="20"/>
                <w:color w:val="auto"/>
              </w:rPr>
            </w:pPr>
            <w:r>
              <w:rPr>
                <w:rFonts w:ascii="Arial" w:cs="Arial" w:eastAsia="Arial" w:hAnsi="Arial"/>
                <w:sz w:val="18"/>
                <w:szCs w:val="18"/>
                <w:color w:val="auto"/>
              </w:rPr>
              <w:t>85.31</w:t>
            </w:r>
          </w:p>
        </w:tc>
        <w:tc>
          <w:tcPr>
            <w:tcW w:w="1020" w:type="dxa"/>
            <w:vAlign w:val="bottom"/>
            <w:gridSpan w:val="5"/>
          </w:tcPr>
          <w:p>
            <w:pPr>
              <w:jc w:val="right"/>
              <w:ind w:right="100"/>
              <w:spacing w:after="0"/>
              <w:rPr>
                <w:sz w:val="20"/>
                <w:szCs w:val="20"/>
                <w:color w:val="auto"/>
              </w:rPr>
            </w:pPr>
            <w:r>
              <w:rPr>
                <w:rFonts w:ascii="Arial" w:cs="Arial" w:eastAsia="Arial" w:hAnsi="Arial"/>
                <w:sz w:val="18"/>
                <w:szCs w:val="18"/>
                <w:color w:val="auto"/>
              </w:rPr>
              <w:t>1,743,151</w:t>
            </w:r>
          </w:p>
        </w:tc>
        <w:tc>
          <w:tcPr>
            <w:tcW w:w="580" w:type="dxa"/>
            <w:vAlign w:val="bottom"/>
            <w:gridSpan w:val="4"/>
          </w:tcPr>
          <w:p>
            <w:pPr>
              <w:jc w:val="right"/>
              <w:ind w:right="40"/>
              <w:spacing w:after="0"/>
              <w:rPr>
                <w:sz w:val="20"/>
                <w:szCs w:val="20"/>
                <w:color w:val="auto"/>
              </w:rPr>
            </w:pPr>
            <w:r>
              <w:rPr>
                <w:rFonts w:ascii="Arial" w:cs="Arial" w:eastAsia="Arial" w:hAnsi="Arial"/>
                <w:sz w:val="18"/>
                <w:szCs w:val="18"/>
                <w:color w:val="auto"/>
              </w:rPr>
              <w:t>87.13</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auto"/>
                <w:w w:val="99"/>
              </w:rPr>
              <w:t>1,851,775</w:t>
            </w:r>
          </w:p>
        </w:tc>
        <w:tc>
          <w:tcPr>
            <w:tcW w:w="40" w:type="dxa"/>
            <w:vAlign w:val="bottom"/>
          </w:tcPr>
          <w:p>
            <w:pPr>
              <w:spacing w:after="0"/>
              <w:rPr>
                <w:sz w:val="24"/>
                <w:szCs w:val="24"/>
                <w:color w:val="auto"/>
              </w:rPr>
            </w:pPr>
          </w:p>
        </w:tc>
        <w:tc>
          <w:tcPr>
            <w:tcW w:w="740" w:type="dxa"/>
            <w:vAlign w:val="bottom"/>
            <w:gridSpan w:val="4"/>
          </w:tcPr>
          <w:p>
            <w:pPr>
              <w:jc w:val="right"/>
              <w:ind w:right="160"/>
              <w:spacing w:after="0"/>
              <w:rPr>
                <w:sz w:val="20"/>
                <w:szCs w:val="20"/>
                <w:color w:val="auto"/>
              </w:rPr>
            </w:pPr>
            <w:r>
              <w:rPr>
                <w:rFonts w:ascii="Arial" w:cs="Arial" w:eastAsia="Arial" w:hAnsi="Arial"/>
                <w:sz w:val="18"/>
                <w:szCs w:val="18"/>
                <w:color w:val="auto"/>
              </w:rPr>
              <w:t>85.52</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18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GROSS PROFIT</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5"/>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82,165</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12.11</w:t>
            </w:r>
          </w:p>
        </w:tc>
        <w:tc>
          <w:tcPr>
            <w:tcW w:w="2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98,825</w:t>
            </w:r>
          </w:p>
        </w:tc>
        <w:tc>
          <w:tcPr>
            <w:tcW w:w="7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14.69</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257,390</w:t>
            </w:r>
          </w:p>
        </w:tc>
        <w:tc>
          <w:tcPr>
            <w:tcW w:w="58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12.87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313,554</w:t>
            </w:r>
          </w:p>
        </w:tc>
        <w:tc>
          <w:tcPr>
            <w:tcW w:w="4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14.48</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2"/>
        </w:trPr>
        <w:tc>
          <w:tcPr>
            <w:tcW w:w="340" w:type="dxa"/>
            <w:vAlign w:val="bottom"/>
          </w:tcPr>
          <w:p>
            <w:pPr>
              <w:spacing w:after="0"/>
              <w:rPr>
                <w:sz w:val="24"/>
                <w:szCs w:val="24"/>
                <w:color w:val="auto"/>
              </w:rPr>
            </w:pPr>
          </w:p>
        </w:tc>
        <w:tc>
          <w:tcPr>
            <w:tcW w:w="3200" w:type="dxa"/>
            <w:vAlign w:val="bottom"/>
            <w:gridSpan w:val="6"/>
          </w:tcPr>
          <w:p>
            <w:pPr>
              <w:spacing w:after="0"/>
              <w:rPr>
                <w:sz w:val="20"/>
                <w:szCs w:val="20"/>
                <w:color w:val="auto"/>
              </w:rPr>
            </w:pPr>
            <w:r>
              <w:rPr>
                <w:rFonts w:ascii="Arial" w:cs="Arial" w:eastAsia="Arial" w:hAnsi="Arial"/>
                <w:sz w:val="18"/>
                <w:szCs w:val="18"/>
                <w:b w:val="1"/>
                <w:bCs w:val="1"/>
                <w:color w:val="auto"/>
              </w:rPr>
              <w:t>SELLING, GENERAL AND</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40" w:type="dxa"/>
            <w:vAlign w:val="bottom"/>
          </w:tcPr>
          <w:p>
            <w:pPr>
              <w:spacing w:after="0"/>
              <w:rPr>
                <w:sz w:val="19"/>
                <w:szCs w:val="19"/>
                <w:color w:val="auto"/>
              </w:rPr>
            </w:pPr>
          </w:p>
        </w:tc>
        <w:tc>
          <w:tcPr>
            <w:tcW w:w="3200" w:type="dxa"/>
            <w:vAlign w:val="bottom"/>
            <w:gridSpan w:val="6"/>
          </w:tcPr>
          <w:p>
            <w:pPr>
              <w:ind w:left="200"/>
              <w:spacing w:after="0"/>
              <w:rPr>
                <w:sz w:val="20"/>
                <w:szCs w:val="20"/>
                <w:color w:val="auto"/>
              </w:rPr>
            </w:pPr>
            <w:r>
              <w:rPr>
                <w:rFonts w:ascii="Arial" w:cs="Arial" w:eastAsia="Arial" w:hAnsi="Arial"/>
                <w:sz w:val="18"/>
                <w:szCs w:val="18"/>
                <w:b w:val="1"/>
                <w:bCs w:val="1"/>
                <w:color w:val="auto"/>
              </w:rPr>
              <w:t>ADMINISTRATIVE EXPENSES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5"/>
          </w:tcPr>
          <w:p>
            <w:pPr>
              <w:jc w:val="right"/>
              <w:ind w:right="60"/>
              <w:spacing w:after="0"/>
              <w:rPr>
                <w:sz w:val="20"/>
                <w:szCs w:val="20"/>
                <w:color w:val="auto"/>
              </w:rPr>
            </w:pPr>
            <w:r>
              <w:rPr>
                <w:rFonts w:ascii="Arial" w:cs="Arial" w:eastAsia="Arial" w:hAnsi="Arial"/>
                <w:sz w:val="18"/>
                <w:szCs w:val="18"/>
                <w:color w:val="auto"/>
              </w:rPr>
              <w:t>58,783</w:t>
            </w:r>
          </w:p>
        </w:tc>
        <w:tc>
          <w:tcPr>
            <w:tcW w:w="580" w:type="dxa"/>
            <w:vAlign w:val="bottom"/>
          </w:tcPr>
          <w:p>
            <w:pPr>
              <w:jc w:val="right"/>
              <w:spacing w:after="0"/>
              <w:rPr>
                <w:sz w:val="20"/>
                <w:szCs w:val="20"/>
                <w:color w:val="auto"/>
              </w:rPr>
            </w:pPr>
            <w:r>
              <w:rPr>
                <w:rFonts w:ascii="Arial" w:cs="Arial" w:eastAsia="Arial" w:hAnsi="Arial"/>
                <w:sz w:val="18"/>
                <w:szCs w:val="18"/>
                <w:color w:val="auto"/>
              </w:rPr>
              <w:t>8.66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65,970</w:t>
            </w:r>
          </w:p>
        </w:tc>
        <w:tc>
          <w:tcPr>
            <w:tcW w:w="700" w:type="dxa"/>
            <w:vAlign w:val="bottom"/>
            <w:gridSpan w:val="3"/>
          </w:tcPr>
          <w:p>
            <w:pPr>
              <w:jc w:val="right"/>
              <w:ind w:right="200"/>
              <w:spacing w:after="0"/>
              <w:rPr>
                <w:sz w:val="20"/>
                <w:szCs w:val="20"/>
                <w:color w:val="auto"/>
              </w:rPr>
            </w:pPr>
            <w:r>
              <w:rPr>
                <w:rFonts w:ascii="Arial" w:cs="Arial" w:eastAsia="Arial" w:hAnsi="Arial"/>
                <w:sz w:val="18"/>
                <w:szCs w:val="18"/>
                <w:color w:val="auto"/>
              </w:rPr>
              <w:t>9.80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w w:val="98"/>
              </w:rPr>
              <w:t>192,623</w:t>
            </w:r>
          </w:p>
        </w:tc>
        <w:tc>
          <w:tcPr>
            <w:tcW w:w="180" w:type="dxa"/>
            <w:vAlign w:val="bottom"/>
          </w:tcPr>
          <w:p>
            <w:pPr>
              <w:spacing w:after="0"/>
              <w:rPr>
                <w:sz w:val="19"/>
                <w:szCs w:val="19"/>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18"/>
                <w:szCs w:val="18"/>
                <w:color w:val="auto"/>
                <w:w w:val="96"/>
              </w:rPr>
              <w:t>9.63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auto"/>
              </w:rPr>
              <w:t>201,272</w:t>
            </w:r>
          </w:p>
        </w:tc>
        <w:tc>
          <w:tcPr>
            <w:tcW w:w="4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9.30</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200" w:type="dxa"/>
            <w:vAlign w:val="bottom"/>
            <w:gridSpan w:val="6"/>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EARNINGS FROM OPERATIONS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5"/>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23,382</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3.45</w:t>
            </w:r>
          </w:p>
        </w:tc>
        <w:tc>
          <w:tcPr>
            <w:tcW w:w="2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32,855</w:t>
            </w:r>
          </w:p>
        </w:tc>
        <w:tc>
          <w:tcPr>
            <w:tcW w:w="7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4.88</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64,767</w:t>
            </w:r>
          </w:p>
        </w:tc>
        <w:tc>
          <w:tcPr>
            <w:tcW w:w="180" w:type="dxa"/>
            <w:vAlign w:val="bottom"/>
            <w:shd w:val="clear" w:color="auto" w:fill="CCEEFF"/>
          </w:tcPr>
          <w:p>
            <w:pPr>
              <w:spacing w:after="0"/>
              <w:rPr>
                <w:sz w:val="17"/>
                <w:szCs w:val="17"/>
                <w:color w:val="auto"/>
              </w:rPr>
            </w:pPr>
          </w:p>
        </w:tc>
        <w:tc>
          <w:tcPr>
            <w:tcW w:w="4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6"/>
              </w:rPr>
              <w:t>3.24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112,282</w:t>
            </w:r>
          </w:p>
        </w:tc>
        <w:tc>
          <w:tcPr>
            <w:tcW w:w="4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5.19</w:t>
            </w: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3200" w:type="dxa"/>
            <w:vAlign w:val="bottom"/>
            <w:gridSpan w:val="6"/>
          </w:tcPr>
          <w:p>
            <w:pPr>
              <w:spacing w:after="0"/>
              <w:rPr>
                <w:sz w:val="20"/>
                <w:szCs w:val="20"/>
                <w:color w:val="auto"/>
              </w:rPr>
            </w:pPr>
            <w:r>
              <w:rPr>
                <w:rFonts w:ascii="Arial" w:cs="Arial" w:eastAsia="Arial" w:hAnsi="Arial"/>
                <w:sz w:val="18"/>
                <w:szCs w:val="18"/>
                <w:b w:val="1"/>
                <w:bCs w:val="1"/>
                <w:color w:val="auto"/>
              </w:rPr>
              <w:t>OTHER EXPENSE (INCOME)</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18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b w:val="1"/>
                <w:bCs w:val="1"/>
                <w:color w:val="auto"/>
              </w:rPr>
              <w:t>Interest expense</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5"/>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4,367</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0.64</w:t>
            </w:r>
          </w:p>
        </w:tc>
        <w:tc>
          <w:tcPr>
            <w:tcW w:w="2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3,214</w:t>
            </w:r>
          </w:p>
        </w:tc>
        <w:tc>
          <w:tcPr>
            <w:tcW w:w="7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0.48</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13,457</w:t>
            </w:r>
          </w:p>
        </w:tc>
        <w:tc>
          <w:tcPr>
            <w:tcW w:w="180" w:type="dxa"/>
            <w:vAlign w:val="bottom"/>
            <w:shd w:val="clear" w:color="auto" w:fill="CCEEFF"/>
          </w:tcPr>
          <w:p>
            <w:pPr>
              <w:spacing w:after="0"/>
              <w:rPr>
                <w:sz w:val="17"/>
                <w:szCs w:val="17"/>
                <w:color w:val="auto"/>
              </w:rPr>
            </w:pPr>
          </w:p>
        </w:tc>
        <w:tc>
          <w:tcPr>
            <w:tcW w:w="4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6"/>
              </w:rPr>
              <w:t>0.67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10,757</w:t>
            </w:r>
          </w:p>
        </w:tc>
        <w:tc>
          <w:tcPr>
            <w:tcW w:w="4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0.50</w:t>
            </w: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1860" w:type="dxa"/>
            <w:vAlign w:val="bottom"/>
          </w:tcPr>
          <w:p>
            <w:pPr>
              <w:ind w:left="200"/>
              <w:spacing w:after="0" w:line="202" w:lineRule="exact"/>
              <w:rPr>
                <w:sz w:val="20"/>
                <w:szCs w:val="20"/>
                <w:color w:val="auto"/>
              </w:rPr>
            </w:pPr>
            <w:r>
              <w:rPr>
                <w:rFonts w:ascii="Arial" w:cs="Arial" w:eastAsia="Arial" w:hAnsi="Arial"/>
                <w:sz w:val="18"/>
                <w:szCs w:val="18"/>
                <w:b w:val="1"/>
                <w:bCs w:val="1"/>
                <w:color w:val="auto"/>
              </w:rPr>
              <w:t>Interest income</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(494)</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-0.07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(875)</w:t>
            </w:r>
          </w:p>
        </w:tc>
        <w:tc>
          <w:tcPr>
            <w:tcW w:w="7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-0.13</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(1,634)</w:t>
            </w:r>
          </w:p>
        </w:tc>
        <w:tc>
          <w:tcPr>
            <w:tcW w:w="58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-0.08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(1,656)</w:t>
            </w:r>
          </w:p>
        </w:tc>
        <w:tc>
          <w:tcPr>
            <w:tcW w:w="740" w:type="dxa"/>
            <w:vAlign w:val="bottom"/>
            <w:gridSpan w:val="4"/>
          </w:tcPr>
          <w:p>
            <w:pPr>
              <w:jc w:val="right"/>
              <w:ind w:right="160"/>
              <w:spacing w:after="0" w:line="202" w:lineRule="exact"/>
              <w:rPr>
                <w:sz w:val="20"/>
                <w:szCs w:val="20"/>
                <w:color w:val="auto"/>
              </w:rPr>
            </w:pPr>
            <w:r>
              <w:rPr>
                <w:rFonts w:ascii="Arial" w:cs="Arial" w:eastAsia="Arial" w:hAnsi="Arial"/>
                <w:sz w:val="18"/>
                <w:szCs w:val="18"/>
                <w:color w:val="auto"/>
              </w:rPr>
              <w:t>-0.08</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40" w:type="dxa"/>
            <w:vAlign w:val="bottom"/>
          </w:tcPr>
          <w:p>
            <w:pPr>
              <w:spacing w:after="0"/>
              <w:rPr>
                <w:sz w:val="15"/>
                <w:szCs w:val="15"/>
                <w:color w:val="auto"/>
              </w:rPr>
            </w:pPr>
          </w:p>
        </w:tc>
        <w:tc>
          <w:tcPr>
            <w:tcW w:w="3200" w:type="dxa"/>
            <w:vAlign w:val="bottom"/>
            <w:gridSpan w:val="6"/>
            <w:shd w:val="clear" w:color="auto" w:fill="CCEEFF"/>
          </w:tcPr>
          <w:p>
            <w:pPr>
              <w:ind w:left="200"/>
              <w:spacing w:after="0" w:line="180" w:lineRule="exact"/>
              <w:rPr>
                <w:sz w:val="20"/>
                <w:szCs w:val="20"/>
                <w:color w:val="auto"/>
              </w:rPr>
            </w:pPr>
            <w:r>
              <w:rPr>
                <w:rFonts w:ascii="Arial" w:cs="Arial" w:eastAsia="Arial" w:hAnsi="Arial"/>
                <w:sz w:val="18"/>
                <w:szCs w:val="18"/>
                <w:b w:val="1"/>
                <w:bCs w:val="1"/>
                <w:color w:val="auto"/>
              </w:rPr>
              <w:t>Net (gain) loss on sale of real</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40" w:type="dxa"/>
            <w:vAlign w:val="bottom"/>
          </w:tcPr>
          <w:p>
            <w:pPr>
              <w:spacing w:after="0"/>
              <w:rPr>
                <w:sz w:val="19"/>
                <w:szCs w:val="19"/>
                <w:color w:val="auto"/>
              </w:rPr>
            </w:pPr>
          </w:p>
        </w:tc>
        <w:tc>
          <w:tcPr>
            <w:tcW w:w="186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estate</w:t>
            </w: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0.00</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(324)</w:t>
            </w:r>
          </w:p>
        </w:tc>
        <w:tc>
          <w:tcPr>
            <w:tcW w:w="5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3,882</w:t>
            </w: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0.57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2,339</w:t>
            </w:r>
          </w:p>
        </w:tc>
        <w:tc>
          <w:tcPr>
            <w:tcW w:w="140" w:type="dxa"/>
            <w:vAlign w:val="bottom"/>
          </w:tcPr>
          <w:p>
            <w:pPr>
              <w:spacing w:after="0"/>
              <w:rPr>
                <w:sz w:val="18"/>
                <w:szCs w:val="18"/>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8"/>
                <w:szCs w:val="18"/>
                <w:color w:val="auto"/>
              </w:rPr>
              <w:t>0.35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11,499</w:t>
            </w:r>
          </w:p>
        </w:tc>
        <w:tc>
          <w:tcPr>
            <w:tcW w:w="180" w:type="dxa"/>
            <w:vAlign w:val="bottom"/>
          </w:tcPr>
          <w:p>
            <w:pPr>
              <w:spacing w:after="0"/>
              <w:rPr>
                <w:sz w:val="18"/>
                <w:szCs w:val="18"/>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18"/>
                <w:szCs w:val="18"/>
                <w:color w:val="auto"/>
                <w:w w:val="96"/>
              </w:rPr>
              <w:t>0.57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auto"/>
              </w:rPr>
              <w:t>9,038</w:t>
            </w:r>
          </w:p>
        </w:tc>
        <w:tc>
          <w:tcPr>
            <w:tcW w:w="4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0.42</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40" w:type="dxa"/>
            <w:vAlign w:val="bottom"/>
          </w:tcPr>
          <w:p>
            <w:pPr>
              <w:spacing w:after="0"/>
              <w:rPr>
                <w:sz w:val="15"/>
                <w:szCs w:val="15"/>
                <w:color w:val="auto"/>
              </w:rPr>
            </w:pPr>
          </w:p>
        </w:tc>
        <w:tc>
          <w:tcPr>
            <w:tcW w:w="3200" w:type="dxa"/>
            <w:vAlign w:val="bottom"/>
            <w:gridSpan w:val="6"/>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EARNINGS BEFORE INCOME TAXES</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40" w:type="dxa"/>
            <w:vAlign w:val="bottom"/>
          </w:tcPr>
          <w:p>
            <w:pPr>
              <w:spacing w:after="0"/>
              <w:rPr>
                <w:sz w:val="19"/>
                <w:szCs w:val="19"/>
                <w:color w:val="auto"/>
              </w:rPr>
            </w:pPr>
          </w:p>
        </w:tc>
        <w:tc>
          <w:tcPr>
            <w:tcW w:w="3200" w:type="dxa"/>
            <w:vAlign w:val="bottom"/>
            <w:gridSpan w:val="6"/>
            <w:shd w:val="clear" w:color="auto" w:fill="CCEEFF"/>
          </w:tcPr>
          <w:p>
            <w:pPr>
              <w:ind w:left="200"/>
              <w:spacing w:after="0"/>
              <w:rPr>
                <w:sz w:val="20"/>
                <w:szCs w:val="20"/>
                <w:color w:val="auto"/>
              </w:rPr>
            </w:pPr>
            <w:r>
              <w:rPr>
                <w:rFonts w:ascii="Arial" w:cs="Arial" w:eastAsia="Arial" w:hAnsi="Arial"/>
                <w:sz w:val="18"/>
                <w:szCs w:val="18"/>
                <w:b w:val="1"/>
                <w:bCs w:val="1"/>
                <w:color w:val="auto"/>
              </w:rPr>
              <w:t>AND MINORITY INTEREST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19,500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30,516</w:t>
            </w: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4.54</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53,268</w:t>
            </w:r>
          </w:p>
        </w:tc>
        <w:tc>
          <w:tcPr>
            <w:tcW w:w="18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6"/>
              </w:rPr>
              <w:t>2.66</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103,244</w:t>
            </w:r>
          </w:p>
        </w:tc>
        <w:tc>
          <w:tcPr>
            <w:tcW w:w="4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60" w:type="dxa"/>
            <w:vAlign w:val="bottom"/>
            <w:shd w:val="clear" w:color="auto" w:fill="CCEEFF"/>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Arial" w:cs="Arial" w:eastAsia="Arial" w:hAnsi="Arial"/>
                <w:sz w:val="18"/>
                <w:szCs w:val="18"/>
                <w:b w:val="1"/>
                <w:bCs w:val="1"/>
                <w:color w:val="auto"/>
              </w:rPr>
              <w:t>INCOME TAXES</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5"/>
          </w:tcPr>
          <w:p>
            <w:pPr>
              <w:jc w:val="right"/>
              <w:ind w:right="60"/>
              <w:spacing w:after="0"/>
              <w:rPr>
                <w:sz w:val="20"/>
                <w:szCs w:val="20"/>
                <w:color w:val="auto"/>
              </w:rPr>
            </w:pPr>
            <w:r>
              <w:rPr>
                <w:rFonts w:ascii="Arial" w:cs="Arial" w:eastAsia="Arial" w:hAnsi="Arial"/>
                <w:sz w:val="18"/>
                <w:szCs w:val="18"/>
                <w:color w:val="auto"/>
              </w:rPr>
              <w:t>7,383</w:t>
            </w:r>
          </w:p>
        </w:tc>
        <w:tc>
          <w:tcPr>
            <w:tcW w:w="580" w:type="dxa"/>
            <w:vAlign w:val="bottom"/>
          </w:tcPr>
          <w:p>
            <w:pPr>
              <w:jc w:val="right"/>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11,322</w:t>
            </w:r>
          </w:p>
        </w:tc>
        <w:tc>
          <w:tcPr>
            <w:tcW w:w="700" w:type="dxa"/>
            <w:vAlign w:val="bottom"/>
            <w:gridSpan w:val="3"/>
          </w:tcPr>
          <w:p>
            <w:pPr>
              <w:jc w:val="right"/>
              <w:ind w:right="200"/>
              <w:spacing w:after="0"/>
              <w:rPr>
                <w:sz w:val="20"/>
                <w:szCs w:val="20"/>
                <w:color w:val="auto"/>
              </w:rPr>
            </w:pPr>
            <w:r>
              <w:rPr>
                <w:rFonts w:ascii="Arial" w:cs="Arial" w:eastAsia="Arial" w:hAnsi="Arial"/>
                <w:sz w:val="18"/>
                <w:szCs w:val="18"/>
                <w:color w:val="auto"/>
              </w:rPr>
              <w:t>1.68</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19,633</w:t>
            </w:r>
          </w:p>
        </w:tc>
        <w:tc>
          <w:tcPr>
            <w:tcW w:w="180" w:type="dxa"/>
            <w:vAlign w:val="bottom"/>
          </w:tcPr>
          <w:p>
            <w:pPr>
              <w:spacing w:after="0"/>
              <w:rPr>
                <w:sz w:val="24"/>
                <w:szCs w:val="24"/>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18"/>
                <w:szCs w:val="18"/>
                <w:color w:val="auto"/>
                <w:w w:val="96"/>
              </w:rPr>
              <w:t>0.98</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auto"/>
              </w:rPr>
              <w:t>38,963</w:t>
            </w:r>
          </w:p>
        </w:tc>
        <w:tc>
          <w:tcPr>
            <w:tcW w:w="4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1.80</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40" w:type="dxa"/>
            <w:vAlign w:val="bottom"/>
          </w:tcPr>
          <w:p>
            <w:pPr>
              <w:spacing w:after="0"/>
              <w:rPr>
                <w:sz w:val="15"/>
                <w:szCs w:val="15"/>
                <w:color w:val="auto"/>
              </w:rPr>
            </w:pPr>
          </w:p>
        </w:tc>
        <w:tc>
          <w:tcPr>
            <w:tcW w:w="3200" w:type="dxa"/>
            <w:vAlign w:val="bottom"/>
            <w:gridSpan w:val="6"/>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EARNINGS BEFORE MINORITY</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40" w:type="dxa"/>
            <w:vAlign w:val="bottom"/>
          </w:tcPr>
          <w:p>
            <w:pPr>
              <w:spacing w:after="0"/>
              <w:rPr>
                <w:sz w:val="19"/>
                <w:szCs w:val="19"/>
                <w:color w:val="auto"/>
              </w:rPr>
            </w:pPr>
          </w:p>
        </w:tc>
        <w:tc>
          <w:tcPr>
            <w:tcW w:w="18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INTEREST</w:t>
            </w: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12,117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19,194</w:t>
            </w: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2.85</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33,635</w:t>
            </w:r>
          </w:p>
        </w:tc>
        <w:tc>
          <w:tcPr>
            <w:tcW w:w="18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6"/>
              </w:rPr>
              <w:t>1.68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64,281</w:t>
            </w:r>
          </w:p>
        </w:tc>
        <w:tc>
          <w:tcPr>
            <w:tcW w:w="4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60" w:type="dxa"/>
            <w:vAlign w:val="bottom"/>
            <w:shd w:val="clear" w:color="auto" w:fill="CCEEFF"/>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Arial" w:cs="Arial" w:eastAsia="Arial" w:hAnsi="Arial"/>
                <w:sz w:val="18"/>
                <w:szCs w:val="18"/>
                <w:b w:val="1"/>
                <w:bCs w:val="1"/>
                <w:color w:val="auto"/>
              </w:rPr>
              <w:t>MINORITY INTEREST</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(778)</w:t>
            </w:r>
          </w:p>
        </w:tc>
        <w:tc>
          <w:tcPr>
            <w:tcW w:w="580" w:type="dxa"/>
            <w:vAlign w:val="bottom"/>
          </w:tcPr>
          <w:p>
            <w:pPr>
              <w:jc w:val="right"/>
              <w:spacing w:after="0"/>
              <w:rPr>
                <w:sz w:val="20"/>
                <w:szCs w:val="20"/>
                <w:color w:val="auto"/>
              </w:rPr>
            </w:pPr>
            <w:r>
              <w:rPr>
                <w:rFonts w:ascii="Arial" w:cs="Arial" w:eastAsia="Arial" w:hAnsi="Arial"/>
                <w:sz w:val="18"/>
                <w:szCs w:val="18"/>
                <w:color w:val="auto"/>
              </w:rPr>
              <w:t>-0.11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(1,489)</w:t>
            </w:r>
          </w:p>
        </w:tc>
        <w:tc>
          <w:tcPr>
            <w:tcW w:w="700" w:type="dxa"/>
            <w:vAlign w:val="bottom"/>
            <w:gridSpan w:val="3"/>
          </w:tcPr>
          <w:p>
            <w:pPr>
              <w:jc w:val="right"/>
              <w:ind w:right="200"/>
              <w:spacing w:after="0"/>
              <w:rPr>
                <w:sz w:val="20"/>
                <w:szCs w:val="20"/>
                <w:color w:val="auto"/>
              </w:rPr>
            </w:pPr>
            <w:r>
              <w:rPr>
                <w:rFonts w:ascii="Arial" w:cs="Arial" w:eastAsia="Arial" w:hAnsi="Arial"/>
                <w:sz w:val="18"/>
                <w:szCs w:val="18"/>
                <w:color w:val="auto"/>
              </w:rPr>
              <w:t>-0.22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(1,610)</w:t>
            </w:r>
          </w:p>
        </w:tc>
        <w:tc>
          <w:tcPr>
            <w:tcW w:w="580" w:type="dxa"/>
            <w:vAlign w:val="bottom"/>
            <w:gridSpan w:val="4"/>
          </w:tcPr>
          <w:p>
            <w:pPr>
              <w:jc w:val="right"/>
              <w:ind w:right="40"/>
              <w:spacing w:after="0"/>
              <w:rPr>
                <w:sz w:val="20"/>
                <w:szCs w:val="20"/>
                <w:color w:val="auto"/>
              </w:rPr>
            </w:pPr>
            <w:r>
              <w:rPr>
                <w:rFonts w:ascii="Arial" w:cs="Arial" w:eastAsia="Arial" w:hAnsi="Arial"/>
                <w:sz w:val="18"/>
                <w:szCs w:val="18"/>
                <w:color w:val="auto"/>
              </w:rPr>
              <w:t>-0.08</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5"/>
          </w:tcPr>
          <w:p>
            <w:pPr>
              <w:jc w:val="right"/>
              <w:spacing w:after="0"/>
              <w:rPr>
                <w:sz w:val="20"/>
                <w:szCs w:val="20"/>
                <w:color w:val="auto"/>
              </w:rPr>
            </w:pPr>
            <w:r>
              <w:rPr>
                <w:rFonts w:ascii="Arial" w:cs="Arial" w:eastAsia="Arial" w:hAnsi="Arial"/>
                <w:sz w:val="18"/>
                <w:szCs w:val="18"/>
                <w:color w:val="auto"/>
              </w:rPr>
              <w:t>(3,396)</w:t>
            </w:r>
          </w:p>
        </w:tc>
        <w:tc>
          <w:tcPr>
            <w:tcW w:w="740" w:type="dxa"/>
            <w:vAlign w:val="bottom"/>
            <w:gridSpan w:val="4"/>
          </w:tcPr>
          <w:p>
            <w:pPr>
              <w:jc w:val="right"/>
              <w:ind w:right="160"/>
              <w:spacing w:after="0"/>
              <w:rPr>
                <w:sz w:val="20"/>
                <w:szCs w:val="20"/>
                <w:color w:val="auto"/>
              </w:rPr>
            </w:pPr>
            <w:r>
              <w:rPr>
                <w:rFonts w:ascii="Arial" w:cs="Arial" w:eastAsia="Arial" w:hAnsi="Arial"/>
                <w:sz w:val="18"/>
                <w:szCs w:val="18"/>
                <w:color w:val="auto"/>
              </w:rPr>
              <w:t>-0.16</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18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EARNINGS</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66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11,339</w:t>
            </w: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1.67</w:t>
            </w:r>
          </w:p>
        </w:tc>
        <w:tc>
          <w:tcPr>
            <w:tcW w:w="2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17,705</w:t>
            </w:r>
          </w:p>
        </w:tc>
        <w:tc>
          <w:tcPr>
            <w:tcW w:w="14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2.63</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w w:val="79"/>
              </w:rPr>
              <w:t>$</w:t>
            </w:r>
          </w:p>
        </w:tc>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32,025</w:t>
            </w:r>
          </w:p>
        </w:tc>
        <w:tc>
          <w:tcPr>
            <w:tcW w:w="180" w:type="dxa"/>
            <w:vAlign w:val="bottom"/>
            <w:shd w:val="clear" w:color="auto" w:fill="CCEEFF"/>
          </w:tcPr>
          <w:p>
            <w:pPr>
              <w:spacing w:after="0"/>
              <w:rPr>
                <w:sz w:val="17"/>
                <w:szCs w:val="17"/>
                <w:color w:val="auto"/>
              </w:rPr>
            </w:pPr>
          </w:p>
        </w:tc>
        <w:tc>
          <w:tcPr>
            <w:tcW w:w="4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6"/>
              </w:rPr>
              <w:t>1.60</w:t>
            </w:r>
          </w:p>
        </w:tc>
        <w:tc>
          <w:tcPr>
            <w:tcW w:w="280" w:type="dxa"/>
            <w:vAlign w:val="bottom"/>
            <w:gridSpan w:val="2"/>
            <w:shd w:val="clear" w:color="auto" w:fill="CCEEFF"/>
          </w:tcPr>
          <w:p>
            <w:pPr>
              <w:jc w:val="center"/>
              <w:ind w:left="90"/>
              <w:spacing w:after="0" w:line="202" w:lineRule="exact"/>
              <w:rPr>
                <w:sz w:val="20"/>
                <w:szCs w:val="20"/>
                <w:color w:val="auto"/>
              </w:rPr>
            </w:pPr>
            <w:r>
              <w:rPr>
                <w:rFonts w:ascii="Arial" w:cs="Arial" w:eastAsia="Arial" w:hAnsi="Arial"/>
                <w:sz w:val="18"/>
                <w:szCs w:val="18"/>
                <w:b w:val="1"/>
                <w:bCs w:val="1"/>
                <w:color w:val="auto"/>
                <w:w w:val="99"/>
              </w:rPr>
              <w:t>$</w:t>
            </w:r>
          </w:p>
        </w:tc>
        <w:tc>
          <w:tcPr>
            <w:tcW w:w="84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60,885</w:t>
            </w:r>
          </w:p>
        </w:tc>
        <w:tc>
          <w:tcPr>
            <w:tcW w:w="4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2.81</w:t>
            </w: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EARNINGS PER SHARE — BASIC</w:t>
            </w: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3200" w:type="dxa"/>
            <w:vAlign w:val="bottom"/>
            <w:gridSpan w:val="6"/>
            <w:vMerge w:val="continue"/>
          </w:tcPr>
          <w:p>
            <w:pPr>
              <w:spacing w:after="0"/>
              <w:rPr>
                <w:sz w:val="24"/>
                <w:szCs w:val="24"/>
                <w:color w:val="auto"/>
              </w:rPr>
            </w:pP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720" w:type="dxa"/>
            <w:vAlign w:val="bottom"/>
            <w:gridSpan w:val="5"/>
          </w:tcPr>
          <w:p>
            <w:pPr>
              <w:jc w:val="right"/>
              <w:ind w:right="60"/>
              <w:spacing w:after="0"/>
              <w:rPr>
                <w:sz w:val="20"/>
                <w:szCs w:val="20"/>
                <w:color w:val="auto"/>
              </w:rPr>
            </w:pPr>
            <w:r>
              <w:rPr>
                <w:rFonts w:ascii="Arial" w:cs="Arial" w:eastAsia="Arial" w:hAnsi="Arial"/>
                <w:sz w:val="18"/>
                <w:szCs w:val="18"/>
                <w:color w:val="auto"/>
              </w:rPr>
              <w:t>0.59</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0.94</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24"/>
                <w:szCs w:val="24"/>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1.68</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w:t>
            </w: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auto"/>
              </w:rPr>
              <w:t>3.24</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2040" w:type="dxa"/>
            <w:vAlign w:val="bottom"/>
            <w:gridSpan w:val="2"/>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200" w:type="dxa"/>
            <w:vAlign w:val="bottom"/>
            <w:gridSpan w:val="6"/>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EARNINGS PER SHARE — DILUTED</w:t>
            </w:r>
          </w:p>
        </w:tc>
        <w:tc>
          <w:tcPr>
            <w:tcW w:w="16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w w:val="99"/>
              </w:rPr>
              <w:t>$</w:t>
            </w:r>
          </w:p>
        </w:tc>
        <w:tc>
          <w:tcPr>
            <w:tcW w:w="720" w:type="dxa"/>
            <w:vAlign w:val="bottom"/>
            <w:gridSpan w:val="5"/>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0.59</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0.91</w:t>
            </w: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1.65</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center"/>
              <w:ind w:left="9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3.14</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2"/>
        </w:trPr>
        <w:tc>
          <w:tcPr>
            <w:tcW w:w="340" w:type="dxa"/>
            <w:vAlign w:val="bottom"/>
          </w:tcPr>
          <w:p>
            <w:pPr>
              <w:spacing w:after="0"/>
              <w:rPr>
                <w:sz w:val="24"/>
                <w:szCs w:val="24"/>
                <w:color w:val="auto"/>
              </w:rPr>
            </w:pPr>
          </w:p>
        </w:tc>
        <w:tc>
          <w:tcPr>
            <w:tcW w:w="3200" w:type="dxa"/>
            <w:vAlign w:val="bottom"/>
            <w:gridSpan w:val="6"/>
          </w:tcPr>
          <w:p>
            <w:pPr>
              <w:spacing w:after="0"/>
              <w:rPr>
                <w:sz w:val="20"/>
                <w:szCs w:val="20"/>
                <w:color w:val="auto"/>
              </w:rPr>
            </w:pPr>
            <w:r>
              <w:rPr>
                <w:rFonts w:ascii="Arial" w:cs="Arial" w:eastAsia="Arial" w:hAnsi="Arial"/>
                <w:sz w:val="18"/>
                <w:szCs w:val="18"/>
                <w:b w:val="1"/>
                <w:bCs w:val="1"/>
                <w:color w:val="auto"/>
              </w:rPr>
              <w:t>WEIGHTED AVERAGE SHARES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40" w:type="dxa"/>
            <w:vAlign w:val="bottom"/>
          </w:tcPr>
          <w:p>
            <w:pPr>
              <w:spacing w:after="0"/>
              <w:rPr>
                <w:sz w:val="20"/>
                <w:szCs w:val="20"/>
                <w:color w:val="auto"/>
              </w:rPr>
            </w:pPr>
          </w:p>
        </w:tc>
        <w:tc>
          <w:tcPr>
            <w:tcW w:w="1860" w:type="dxa"/>
            <w:vAlign w:val="bottom"/>
          </w:tcPr>
          <w:p>
            <w:pPr>
              <w:ind w:left="200"/>
              <w:spacing w:after="0"/>
              <w:rPr>
                <w:sz w:val="20"/>
                <w:szCs w:val="20"/>
                <w:color w:val="auto"/>
              </w:rPr>
            </w:pPr>
            <w:r>
              <w:rPr>
                <w:rFonts w:ascii="Arial" w:cs="Arial" w:eastAsia="Arial" w:hAnsi="Arial"/>
                <w:sz w:val="18"/>
                <w:szCs w:val="18"/>
                <w:b w:val="1"/>
                <w:bCs w:val="1"/>
                <w:color w:val="auto"/>
              </w:rPr>
              <w:t>OUTSTANDING</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5"/>
          </w:tcPr>
          <w:p>
            <w:pPr>
              <w:jc w:val="right"/>
              <w:ind w:right="60"/>
              <w:spacing w:after="0"/>
              <w:rPr>
                <w:sz w:val="20"/>
                <w:szCs w:val="20"/>
                <w:color w:val="auto"/>
              </w:rPr>
            </w:pPr>
            <w:r>
              <w:rPr>
                <w:rFonts w:ascii="Arial" w:cs="Arial" w:eastAsia="Arial" w:hAnsi="Arial"/>
                <w:sz w:val="18"/>
                <w:szCs w:val="18"/>
                <w:color w:val="auto"/>
              </w:rPr>
              <w:t>19,097</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18,906</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19,070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auto"/>
              </w:rPr>
              <w:t>18,788</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2040" w:type="dxa"/>
            <w:vAlign w:val="bottom"/>
            <w:gridSpan w:val="2"/>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40" w:type="dxa"/>
            <w:vAlign w:val="bottom"/>
          </w:tcPr>
          <w:p>
            <w:pPr>
              <w:spacing w:after="0"/>
              <w:rPr>
                <w:sz w:val="15"/>
                <w:szCs w:val="15"/>
                <w:color w:val="auto"/>
              </w:rPr>
            </w:pPr>
          </w:p>
        </w:tc>
        <w:tc>
          <w:tcPr>
            <w:tcW w:w="3200" w:type="dxa"/>
            <w:vAlign w:val="bottom"/>
            <w:gridSpan w:val="6"/>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WEIGHTED AVERAGE SHARES</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200" w:type="dxa"/>
            <w:vAlign w:val="bottom"/>
            <w:gridSpan w:val="6"/>
            <w:shd w:val="clear" w:color="auto" w:fill="CCEEFF"/>
          </w:tcPr>
          <w:p>
            <w:pPr>
              <w:ind w:left="200"/>
              <w:spacing w:after="0" w:line="202" w:lineRule="exact"/>
              <w:rPr>
                <w:sz w:val="20"/>
                <w:szCs w:val="20"/>
                <w:color w:val="auto"/>
              </w:rPr>
            </w:pPr>
            <w:r>
              <w:rPr>
                <w:rFonts w:ascii="Arial" w:cs="Arial" w:eastAsia="Arial" w:hAnsi="Arial"/>
                <w:sz w:val="18"/>
                <w:szCs w:val="18"/>
                <w:b w:val="1"/>
                <w:bCs w:val="1"/>
                <w:color w:val="auto"/>
              </w:rPr>
              <w:t>OUTSTANDING WITH COMMON</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40" w:type="dxa"/>
            <w:vAlign w:val="bottom"/>
          </w:tcPr>
          <w:p>
            <w:pPr>
              <w:spacing w:after="0"/>
              <w:rPr>
                <w:sz w:val="19"/>
                <w:szCs w:val="19"/>
                <w:color w:val="auto"/>
              </w:rPr>
            </w:pPr>
          </w:p>
        </w:tc>
        <w:tc>
          <w:tcPr>
            <w:tcW w:w="3200" w:type="dxa"/>
            <w:vAlign w:val="bottom"/>
            <w:gridSpan w:val="6"/>
            <w:shd w:val="clear" w:color="auto" w:fill="CCEEFF"/>
          </w:tcPr>
          <w:p>
            <w:pPr>
              <w:ind w:left="200"/>
              <w:spacing w:after="0"/>
              <w:rPr>
                <w:sz w:val="20"/>
                <w:szCs w:val="20"/>
                <w:color w:val="auto"/>
              </w:rPr>
            </w:pPr>
            <w:r>
              <w:rPr>
                <w:rFonts w:ascii="Arial" w:cs="Arial" w:eastAsia="Arial" w:hAnsi="Arial"/>
                <w:sz w:val="18"/>
                <w:szCs w:val="18"/>
                <w:b w:val="1"/>
                <w:bCs w:val="1"/>
                <w:color w:val="auto"/>
              </w:rPr>
              <w:t>STOCK EQUIVALENTS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19,361</w:t>
            </w: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19,394</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19,419</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19,368</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29"/>
        </w:trPr>
        <w:tc>
          <w:tcPr>
            <w:tcW w:w="340" w:type="dxa"/>
            <w:vAlign w:val="bottom"/>
          </w:tcPr>
          <w:p>
            <w:pPr>
              <w:spacing w:after="0"/>
              <w:rPr>
                <w:sz w:val="24"/>
                <w:szCs w:val="24"/>
                <w:color w:val="auto"/>
              </w:rPr>
            </w:pPr>
          </w:p>
        </w:tc>
        <w:tc>
          <w:tcPr>
            <w:tcW w:w="3200" w:type="dxa"/>
            <w:vAlign w:val="bottom"/>
            <w:gridSpan w:val="6"/>
          </w:tcPr>
          <w:p>
            <w:pPr>
              <w:spacing w:after="0"/>
              <w:rPr>
                <w:sz w:val="20"/>
                <w:szCs w:val="20"/>
                <w:color w:val="auto"/>
              </w:rPr>
            </w:pPr>
            <w:r>
              <w:rPr>
                <w:rFonts w:ascii="Arial" w:cs="Arial" w:eastAsia="Arial" w:hAnsi="Arial"/>
                <w:sz w:val="18"/>
                <w:szCs w:val="18"/>
                <w:b w:val="1"/>
                <w:bCs w:val="1"/>
                <w:color w:val="auto"/>
              </w:rPr>
              <w:t>SUPPLEMENTAL SALES DATA</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186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b w:val="1"/>
                <w:bCs w:val="1"/>
                <w:color w:val="auto"/>
              </w:rPr>
              <w:t>Market Classification</w:t>
            </w:r>
          </w:p>
        </w:tc>
        <w:tc>
          <w:tcPr>
            <w:tcW w:w="180" w:type="dxa"/>
            <w:vAlign w:val="bottom"/>
            <w:tcBorders>
              <w:top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10"/>
          </w:tcPr>
          <w:p>
            <w:pPr>
              <w:jc w:val="right"/>
              <w:ind w:right="480"/>
              <w:spacing w:after="0"/>
              <w:rPr>
                <w:sz w:val="20"/>
                <w:szCs w:val="20"/>
                <w:color w:val="auto"/>
              </w:rPr>
            </w:pPr>
            <w:r>
              <w:rPr>
                <w:rFonts w:ascii="Arial" w:cs="Arial" w:eastAsia="Arial" w:hAnsi="Arial"/>
                <w:sz w:val="18"/>
                <w:szCs w:val="18"/>
                <w:b w:val="1"/>
                <w:bCs w:val="1"/>
                <w:color w:val="auto"/>
              </w:rPr>
              <w:t>Quarter Period</w:t>
            </w: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8"/>
          </w:tcPr>
          <w:p>
            <w:pPr>
              <w:ind w:left="160"/>
              <w:spacing w:after="0"/>
              <w:rPr>
                <w:sz w:val="20"/>
                <w:szCs w:val="20"/>
                <w:color w:val="auto"/>
              </w:rPr>
            </w:pPr>
            <w:r>
              <w:rPr>
                <w:rFonts w:ascii="Arial" w:cs="Arial" w:eastAsia="Arial" w:hAnsi="Arial"/>
                <w:sz w:val="18"/>
                <w:szCs w:val="18"/>
                <w:b w:val="1"/>
                <w:bCs w:val="1"/>
                <w:color w:val="auto"/>
              </w:rPr>
              <w:t>Year to Date</w:t>
            </w:r>
          </w:p>
        </w:tc>
        <w:tc>
          <w:tcPr>
            <w:tcW w:w="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86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2007</w:t>
            </w:r>
          </w:p>
        </w:tc>
        <w:tc>
          <w:tcPr>
            <w:tcW w:w="1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3"/>
          </w:tcPr>
          <w:p>
            <w:pPr>
              <w:ind w:left="20"/>
              <w:spacing w:after="0" w:line="196" w:lineRule="exact"/>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w w:val="94"/>
              </w:rPr>
              <w:t>2006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2007</w:t>
            </w:r>
          </w:p>
        </w:tc>
        <w:tc>
          <w:tcPr>
            <w:tcW w:w="2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3"/>
          </w:tcPr>
          <w:p>
            <w:pPr>
              <w:jc w:val="center"/>
              <w:ind w:right="130"/>
              <w:spacing w:after="0" w:line="196" w:lineRule="exact"/>
              <w:rPr>
                <w:sz w:val="20"/>
                <w:szCs w:val="20"/>
                <w:color w:val="auto"/>
              </w:rPr>
            </w:pPr>
            <w:r>
              <w:rPr>
                <w:rFonts w:ascii="Arial" w:cs="Arial" w:eastAsia="Arial" w:hAnsi="Arial"/>
                <w:sz w:val="18"/>
                <w:szCs w:val="18"/>
                <w:b w:val="1"/>
                <w:bCs w:val="1"/>
                <w:color w:val="auto"/>
                <w:w w:val="99"/>
              </w:rPr>
              <w:t>2006</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2"/>
          </w:tcPr>
          <w:p>
            <w:pPr>
              <w:jc w:val="right"/>
              <w:ind w:right="90"/>
              <w:spacing w:after="0" w:line="196" w:lineRule="exact"/>
              <w:rPr>
                <w:sz w:val="20"/>
                <w:szCs w:val="20"/>
                <w:color w:val="auto"/>
              </w:rPr>
            </w:pPr>
            <w:r>
              <w:rPr>
                <w:rFonts w:ascii="Arial" w:cs="Arial" w:eastAsia="Arial" w:hAnsi="Arial"/>
                <w:sz w:val="18"/>
                <w:szCs w:val="18"/>
                <w:b w:val="1"/>
                <w:bCs w:val="1"/>
                <w:color w:val="auto"/>
                <w:w w:val="99"/>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200" w:type="dxa"/>
            <w:vAlign w:val="bottom"/>
            <w:gridSpan w:val="6"/>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 xml:space="preserve">Do-It-Yourself/Retail   </w:t>
            </w:r>
            <w:r>
              <w:rPr>
                <w:rFonts w:ascii="Arial" w:cs="Arial" w:eastAsia="Arial" w:hAnsi="Arial"/>
                <w:sz w:val="18"/>
                <w:szCs w:val="18"/>
                <w:color w:val="auto"/>
              </w:rPr>
              <w:t>$268,023</w:t>
            </w:r>
          </w:p>
        </w:tc>
        <w:tc>
          <w:tcPr>
            <w:tcW w:w="520" w:type="dxa"/>
            <w:vAlign w:val="bottom"/>
            <w:gridSpan w:val="4"/>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1140" w:type="dxa"/>
            <w:vAlign w:val="bottom"/>
            <w:gridSpan w:val="5"/>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$241,034</w:t>
            </w:r>
          </w:p>
        </w:tc>
        <w:tc>
          <w:tcPr>
            <w:tcW w:w="120" w:type="dxa"/>
            <w:vAlign w:val="bottom"/>
            <w:tcBorders>
              <w:right w:val="single" w:sz="8" w:color="CCEEFF"/>
            </w:tcBorders>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7"/>
                <w:szCs w:val="17"/>
                <w:color w:val="auto"/>
              </w:rPr>
            </w:pPr>
          </w:p>
        </w:tc>
        <w:tc>
          <w:tcPr>
            <w:tcW w:w="960" w:type="dxa"/>
            <w:vAlign w:val="bottom"/>
            <w:gridSpan w:val="5"/>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  825,041</w:t>
            </w:r>
          </w:p>
        </w:tc>
        <w:tc>
          <w:tcPr>
            <w:tcW w:w="940" w:type="dxa"/>
            <w:vAlign w:val="bottom"/>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41%</w:t>
            </w:r>
          </w:p>
        </w:tc>
        <w:tc>
          <w:tcPr>
            <w:tcW w:w="3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980" w:type="dxa"/>
            <w:vAlign w:val="bottom"/>
            <w:gridSpan w:val="4"/>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812,338</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40" w:type="dxa"/>
            <w:vAlign w:val="bottom"/>
          </w:tcPr>
          <w:p>
            <w:pPr>
              <w:spacing w:after="0"/>
              <w:rPr>
                <w:sz w:val="15"/>
                <w:szCs w:val="15"/>
                <w:color w:val="auto"/>
              </w:rPr>
            </w:pPr>
          </w:p>
        </w:tc>
        <w:tc>
          <w:tcPr>
            <w:tcW w:w="1860" w:type="dxa"/>
            <w:vAlign w:val="bottom"/>
          </w:tcPr>
          <w:p>
            <w:pPr>
              <w:spacing w:after="0" w:line="180" w:lineRule="exact"/>
              <w:rPr>
                <w:sz w:val="20"/>
                <w:szCs w:val="20"/>
                <w:color w:val="auto"/>
              </w:rPr>
            </w:pPr>
            <w:r>
              <w:rPr>
                <w:rFonts w:ascii="Arial" w:cs="Arial" w:eastAsia="Arial" w:hAnsi="Arial"/>
                <w:sz w:val="18"/>
                <w:szCs w:val="18"/>
                <w:b w:val="1"/>
                <w:bCs w:val="1"/>
                <w:color w:val="auto"/>
              </w:rPr>
              <w:t>Site-Built</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40" w:type="dxa"/>
            <w:vAlign w:val="bottom"/>
          </w:tcPr>
          <w:p>
            <w:pPr>
              <w:spacing w:after="0"/>
              <w:rPr>
                <w:sz w:val="19"/>
                <w:szCs w:val="19"/>
                <w:color w:val="auto"/>
              </w:rPr>
            </w:pPr>
          </w:p>
        </w:tc>
        <w:tc>
          <w:tcPr>
            <w:tcW w:w="1860" w:type="dxa"/>
            <w:vAlign w:val="bottom"/>
          </w:tcPr>
          <w:p>
            <w:pPr>
              <w:ind w:left="200"/>
              <w:spacing w:after="0"/>
              <w:rPr>
                <w:sz w:val="20"/>
                <w:szCs w:val="20"/>
                <w:color w:val="auto"/>
              </w:rPr>
            </w:pPr>
            <w:r>
              <w:rPr>
                <w:rFonts w:ascii="Arial" w:cs="Arial" w:eastAsia="Arial" w:hAnsi="Arial"/>
                <w:sz w:val="18"/>
                <w:szCs w:val="18"/>
                <w:b w:val="1"/>
                <w:bCs w:val="1"/>
                <w:color w:val="auto"/>
              </w:rPr>
              <w:t>Construction</w:t>
            </w:r>
          </w:p>
        </w:tc>
        <w:tc>
          <w:tcPr>
            <w:tcW w:w="1200" w:type="dxa"/>
            <w:vAlign w:val="bottom"/>
            <w:gridSpan w:val="4"/>
          </w:tcPr>
          <w:p>
            <w:pPr>
              <w:jc w:val="right"/>
              <w:ind w:right="260"/>
              <w:spacing w:after="0"/>
              <w:rPr>
                <w:sz w:val="20"/>
                <w:szCs w:val="20"/>
                <w:color w:val="auto"/>
              </w:rPr>
            </w:pPr>
            <w:r>
              <w:rPr>
                <w:rFonts w:ascii="Arial" w:cs="Arial" w:eastAsia="Arial" w:hAnsi="Arial"/>
                <w:sz w:val="18"/>
                <w:szCs w:val="18"/>
                <w:color w:val="auto"/>
              </w:rPr>
              <w:t>158,940</w:t>
            </w:r>
          </w:p>
        </w:tc>
        <w:tc>
          <w:tcPr>
            <w:tcW w:w="140" w:type="dxa"/>
            <w:vAlign w:val="bottom"/>
          </w:tcPr>
          <w:p>
            <w:pPr>
              <w:spacing w:after="0"/>
              <w:rPr>
                <w:sz w:val="19"/>
                <w:szCs w:val="19"/>
                <w:color w:val="auto"/>
              </w:rPr>
            </w:pPr>
          </w:p>
        </w:tc>
        <w:tc>
          <w:tcPr>
            <w:tcW w:w="520" w:type="dxa"/>
            <w:vAlign w:val="bottom"/>
            <w:gridSpan w:val="4"/>
          </w:tcPr>
          <w:p>
            <w:pPr>
              <w:jc w:val="right"/>
              <w:ind w:right="20"/>
              <w:spacing w:after="0"/>
              <w:rPr>
                <w:sz w:val="20"/>
                <w:szCs w:val="20"/>
                <w:color w:val="auto"/>
              </w:rPr>
            </w:pPr>
            <w:r>
              <w:rPr>
                <w:rFonts w:ascii="Arial" w:cs="Arial" w:eastAsia="Arial" w:hAnsi="Arial"/>
                <w:sz w:val="18"/>
                <w:szCs w:val="18"/>
                <w:color w:val="auto"/>
              </w:rPr>
              <w:t>23%</w:t>
            </w:r>
          </w:p>
        </w:tc>
        <w:tc>
          <w:tcPr>
            <w:tcW w:w="1140" w:type="dxa"/>
            <w:vAlign w:val="bottom"/>
            <w:gridSpan w:val="5"/>
          </w:tcPr>
          <w:p>
            <w:pPr>
              <w:jc w:val="right"/>
              <w:ind w:right="200"/>
              <w:spacing w:after="0"/>
              <w:rPr>
                <w:sz w:val="20"/>
                <w:szCs w:val="20"/>
                <w:color w:val="auto"/>
              </w:rPr>
            </w:pPr>
            <w:r>
              <w:rPr>
                <w:rFonts w:ascii="Arial" w:cs="Arial" w:eastAsia="Arial" w:hAnsi="Arial"/>
                <w:sz w:val="18"/>
                <w:szCs w:val="18"/>
                <w:color w:val="auto"/>
              </w:rPr>
              <w:t>209,015</w:t>
            </w:r>
          </w:p>
        </w:tc>
        <w:tc>
          <w:tcPr>
            <w:tcW w:w="1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9"/>
                <w:szCs w:val="19"/>
                <w:color w:val="auto"/>
              </w:rPr>
            </w:pPr>
          </w:p>
        </w:tc>
        <w:tc>
          <w:tcPr>
            <w:tcW w:w="960" w:type="dxa"/>
            <w:vAlign w:val="bottom"/>
            <w:gridSpan w:val="5"/>
          </w:tcPr>
          <w:p>
            <w:pPr>
              <w:jc w:val="right"/>
              <w:ind w:right="20"/>
              <w:spacing w:after="0"/>
              <w:rPr>
                <w:sz w:val="20"/>
                <w:szCs w:val="20"/>
                <w:color w:val="auto"/>
              </w:rPr>
            </w:pPr>
            <w:r>
              <w:rPr>
                <w:rFonts w:ascii="Arial" w:cs="Arial" w:eastAsia="Arial" w:hAnsi="Arial"/>
                <w:sz w:val="18"/>
                <w:szCs w:val="18"/>
                <w:color w:val="auto"/>
              </w:rPr>
              <w:t>459,751</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gridSpan w:val="4"/>
          </w:tcPr>
          <w:p>
            <w:pPr>
              <w:jc w:val="right"/>
              <w:ind w:right="280"/>
              <w:spacing w:after="0"/>
              <w:rPr>
                <w:sz w:val="20"/>
                <w:szCs w:val="20"/>
                <w:color w:val="auto"/>
              </w:rPr>
            </w:pPr>
            <w:r>
              <w:rPr>
                <w:rFonts w:ascii="Arial" w:cs="Arial" w:eastAsia="Arial" w:hAnsi="Arial"/>
                <w:sz w:val="18"/>
                <w:szCs w:val="18"/>
                <w:color w:val="auto"/>
              </w:rPr>
              <w:t>653,445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18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Industrial</w:t>
            </w:r>
          </w:p>
        </w:tc>
        <w:tc>
          <w:tcPr>
            <w:tcW w:w="1200" w:type="dxa"/>
            <w:vAlign w:val="bottom"/>
            <w:gridSpan w:val="4"/>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156,549</w:t>
            </w:r>
          </w:p>
        </w:tc>
        <w:tc>
          <w:tcPr>
            <w:tcW w:w="140" w:type="dxa"/>
            <w:vAlign w:val="bottom"/>
            <w:shd w:val="clear" w:color="auto" w:fill="CCEEFF"/>
          </w:tcPr>
          <w:p>
            <w:pPr>
              <w:spacing w:after="0"/>
              <w:rPr>
                <w:sz w:val="17"/>
                <w:szCs w:val="17"/>
                <w:color w:val="auto"/>
              </w:rPr>
            </w:pPr>
          </w:p>
        </w:tc>
        <w:tc>
          <w:tcPr>
            <w:tcW w:w="52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22%</w:t>
            </w:r>
          </w:p>
        </w:tc>
        <w:tc>
          <w:tcPr>
            <w:tcW w:w="1140" w:type="dxa"/>
            <w:vAlign w:val="bottom"/>
            <w:gridSpan w:val="5"/>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142,009</w:t>
            </w:r>
          </w:p>
        </w:tc>
        <w:tc>
          <w:tcPr>
            <w:tcW w:w="120" w:type="dxa"/>
            <w:vAlign w:val="bottom"/>
            <w:tcBorders>
              <w:right w:val="single" w:sz="8" w:color="CCEEFF"/>
            </w:tcBorders>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7"/>
                <w:szCs w:val="17"/>
                <w:color w:val="auto"/>
              </w:rPr>
            </w:pPr>
          </w:p>
        </w:tc>
        <w:tc>
          <w:tcPr>
            <w:tcW w:w="960" w:type="dxa"/>
            <w:vAlign w:val="bottom"/>
            <w:gridSpan w:val="5"/>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452,442</w:t>
            </w:r>
          </w:p>
        </w:tc>
        <w:tc>
          <w:tcPr>
            <w:tcW w:w="94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gridSpan w:val="4"/>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433,601</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40" w:type="dxa"/>
            <w:vAlign w:val="bottom"/>
          </w:tcPr>
          <w:p>
            <w:pPr>
              <w:spacing w:after="0"/>
              <w:rPr>
                <w:sz w:val="15"/>
                <w:szCs w:val="15"/>
                <w:color w:val="auto"/>
              </w:rPr>
            </w:pPr>
          </w:p>
        </w:tc>
        <w:tc>
          <w:tcPr>
            <w:tcW w:w="1860" w:type="dxa"/>
            <w:vAlign w:val="bottom"/>
          </w:tcPr>
          <w:p>
            <w:pPr>
              <w:spacing w:after="0" w:line="180" w:lineRule="exact"/>
              <w:rPr>
                <w:sz w:val="20"/>
                <w:szCs w:val="20"/>
                <w:color w:val="auto"/>
              </w:rPr>
            </w:pPr>
            <w:r>
              <w:rPr>
                <w:rFonts w:ascii="Arial" w:cs="Arial" w:eastAsia="Arial" w:hAnsi="Arial"/>
                <w:sz w:val="18"/>
                <w:szCs w:val="18"/>
                <w:b w:val="1"/>
                <w:bCs w:val="1"/>
                <w:color w:val="auto"/>
              </w:rPr>
              <w:t>Manufactured</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40" w:type="dxa"/>
            <w:vAlign w:val="bottom"/>
          </w:tcPr>
          <w:p>
            <w:pPr>
              <w:spacing w:after="0"/>
              <w:rPr>
                <w:sz w:val="19"/>
                <w:szCs w:val="19"/>
                <w:color w:val="auto"/>
              </w:rPr>
            </w:pPr>
          </w:p>
        </w:tc>
        <w:tc>
          <w:tcPr>
            <w:tcW w:w="1860" w:type="dxa"/>
            <w:vAlign w:val="bottom"/>
          </w:tcPr>
          <w:p>
            <w:pPr>
              <w:ind w:left="200"/>
              <w:spacing w:after="0"/>
              <w:rPr>
                <w:sz w:val="20"/>
                <w:szCs w:val="20"/>
                <w:color w:val="auto"/>
              </w:rPr>
            </w:pPr>
            <w:r>
              <w:rPr>
                <w:rFonts w:ascii="Arial" w:cs="Arial" w:eastAsia="Arial" w:hAnsi="Arial"/>
                <w:sz w:val="18"/>
                <w:szCs w:val="18"/>
                <w:b w:val="1"/>
                <w:bCs w:val="1"/>
                <w:color w:val="auto"/>
              </w:rPr>
              <w:t>Housing</w:t>
            </w:r>
          </w:p>
        </w:tc>
        <w:tc>
          <w:tcPr>
            <w:tcW w:w="180" w:type="dxa"/>
            <w:vAlign w:val="bottom"/>
          </w:tcPr>
          <w:p>
            <w:pPr>
              <w:spacing w:after="0"/>
              <w:rPr>
                <w:sz w:val="19"/>
                <w:szCs w:val="19"/>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109,656</w:t>
            </w:r>
          </w:p>
        </w:tc>
        <w:tc>
          <w:tcPr>
            <w:tcW w:w="140" w:type="dxa"/>
            <w:vAlign w:val="bottom"/>
          </w:tcPr>
          <w:p>
            <w:pPr>
              <w:spacing w:after="0"/>
              <w:rPr>
                <w:sz w:val="19"/>
                <w:szCs w:val="19"/>
                <w:color w:val="auto"/>
              </w:rPr>
            </w:pPr>
          </w:p>
        </w:tc>
        <w:tc>
          <w:tcPr>
            <w:tcW w:w="520" w:type="dxa"/>
            <w:vAlign w:val="bottom"/>
            <w:gridSpan w:val="4"/>
          </w:tcPr>
          <w:p>
            <w:pPr>
              <w:jc w:val="right"/>
              <w:ind w:right="2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92,778</w:t>
            </w:r>
          </w:p>
        </w:tc>
        <w:tc>
          <w:tcPr>
            <w:tcW w:w="1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960" w:type="dxa"/>
            <w:vAlign w:val="bottom"/>
            <w:gridSpan w:val="5"/>
          </w:tcPr>
          <w:p>
            <w:pPr>
              <w:jc w:val="right"/>
              <w:ind w:right="20"/>
              <w:spacing w:after="0"/>
              <w:rPr>
                <w:sz w:val="20"/>
                <w:szCs w:val="20"/>
                <w:color w:val="auto"/>
              </w:rPr>
            </w:pPr>
            <w:r>
              <w:rPr>
                <w:rFonts w:ascii="Arial" w:cs="Arial" w:eastAsia="Arial" w:hAnsi="Arial"/>
                <w:sz w:val="18"/>
                <w:szCs w:val="18"/>
                <w:color w:val="auto"/>
              </w:rPr>
              <w:t>303,157</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gridSpan w:val="4"/>
          </w:tcPr>
          <w:p>
            <w:pPr>
              <w:jc w:val="right"/>
              <w:ind w:right="280"/>
              <w:spacing w:after="0"/>
              <w:rPr>
                <w:sz w:val="20"/>
                <w:szCs w:val="20"/>
                <w:color w:val="auto"/>
              </w:rPr>
            </w:pPr>
            <w:r>
              <w:rPr>
                <w:rFonts w:ascii="Arial" w:cs="Arial" w:eastAsia="Arial" w:hAnsi="Arial"/>
                <w:sz w:val="18"/>
                <w:szCs w:val="18"/>
                <w:color w:val="auto"/>
              </w:rPr>
              <w:t>301,241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0" w:type="dxa"/>
            <w:vAlign w:val="bottom"/>
          </w:tcPr>
          <w:p>
            <w:pPr>
              <w:spacing w:after="0"/>
              <w:rPr>
                <w:sz w:val="17"/>
                <w:szCs w:val="17"/>
                <w:color w:val="auto"/>
              </w:rPr>
            </w:pPr>
          </w:p>
        </w:tc>
        <w:tc>
          <w:tcPr>
            <w:tcW w:w="18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Gross Sales</w:t>
            </w:r>
          </w:p>
        </w:tc>
        <w:tc>
          <w:tcPr>
            <w:tcW w:w="1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693,168</w:t>
            </w:r>
          </w:p>
        </w:tc>
        <w:tc>
          <w:tcPr>
            <w:tcW w:w="140" w:type="dxa"/>
            <w:vAlign w:val="bottom"/>
            <w:shd w:val="clear" w:color="auto" w:fill="CCEEFF"/>
          </w:tcPr>
          <w:p>
            <w:pPr>
              <w:spacing w:after="0"/>
              <w:rPr>
                <w:sz w:val="17"/>
                <w:szCs w:val="17"/>
                <w:color w:val="auto"/>
              </w:rPr>
            </w:pPr>
          </w:p>
        </w:tc>
        <w:tc>
          <w:tcPr>
            <w:tcW w:w="52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100%</w:t>
            </w:r>
          </w:p>
        </w:tc>
        <w:tc>
          <w:tcPr>
            <w:tcW w:w="1140" w:type="dxa"/>
            <w:vAlign w:val="bottom"/>
            <w:gridSpan w:val="5"/>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684,836</w:t>
            </w:r>
          </w:p>
        </w:tc>
        <w:tc>
          <w:tcPr>
            <w:tcW w:w="120" w:type="dxa"/>
            <w:vAlign w:val="bottom"/>
            <w:tcBorders>
              <w:right w:val="single" w:sz="8" w:color="CCEEFF"/>
            </w:tcBorders>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7"/>
                <w:szCs w:val="17"/>
                <w:color w:val="auto"/>
              </w:rPr>
            </w:pPr>
          </w:p>
        </w:tc>
        <w:tc>
          <w:tcPr>
            <w:tcW w:w="960" w:type="dxa"/>
            <w:vAlign w:val="bottom"/>
            <w:gridSpan w:val="5"/>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2,040,391</w:t>
            </w:r>
          </w:p>
        </w:tc>
        <w:tc>
          <w:tcPr>
            <w:tcW w:w="94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1380" w:type="dxa"/>
            <w:vAlign w:val="bottom"/>
            <w:gridSpan w:val="7"/>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2,200,625</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1860" w:type="dxa"/>
            <w:vAlign w:val="bottom"/>
          </w:tcPr>
          <w:p>
            <w:pPr>
              <w:spacing w:after="0" w:line="202" w:lineRule="exact"/>
              <w:rPr>
                <w:sz w:val="20"/>
                <w:szCs w:val="20"/>
                <w:color w:val="auto"/>
              </w:rPr>
            </w:pPr>
            <w:r>
              <w:rPr>
                <w:rFonts w:ascii="Arial" w:cs="Arial" w:eastAsia="Arial" w:hAnsi="Arial"/>
                <w:sz w:val="18"/>
                <w:szCs w:val="18"/>
                <w:b w:val="1"/>
                <w:bCs w:val="1"/>
                <w:color w:val="auto"/>
              </w:rPr>
              <w:t>Sales Allowances</w:t>
            </w:r>
          </w:p>
        </w:tc>
        <w:tc>
          <w:tcPr>
            <w:tcW w:w="180" w:type="dxa"/>
            <w:vAlign w:val="bottom"/>
          </w:tcPr>
          <w:p>
            <w:pPr>
              <w:spacing w:after="0"/>
              <w:rPr>
                <w:sz w:val="17"/>
                <w:szCs w:val="17"/>
                <w:color w:val="auto"/>
              </w:rPr>
            </w:pPr>
          </w:p>
        </w:tc>
        <w:tc>
          <w:tcPr>
            <w:tcW w:w="102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(14,770)</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5"/>
          </w:tcPr>
          <w:p>
            <w:pPr>
              <w:jc w:val="right"/>
              <w:ind w:right="140"/>
              <w:spacing w:after="0" w:line="202" w:lineRule="exact"/>
              <w:rPr>
                <w:sz w:val="20"/>
                <w:szCs w:val="20"/>
                <w:color w:val="auto"/>
              </w:rPr>
            </w:pPr>
            <w:r>
              <w:rPr>
                <w:rFonts w:ascii="Arial" w:cs="Arial" w:eastAsia="Arial" w:hAnsi="Arial"/>
                <w:sz w:val="18"/>
                <w:szCs w:val="18"/>
                <w:color w:val="auto"/>
              </w:rPr>
              <w:t>(11,963)</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6"/>
          </w:tcPr>
          <w:p>
            <w:pPr>
              <w:jc w:val="right"/>
              <w:ind w:right="130"/>
              <w:spacing w:after="0" w:line="202" w:lineRule="exact"/>
              <w:rPr>
                <w:sz w:val="20"/>
                <w:szCs w:val="20"/>
                <w:color w:val="auto"/>
              </w:rPr>
            </w:pPr>
            <w:r>
              <w:rPr>
                <w:rFonts w:ascii="Arial" w:cs="Arial" w:eastAsia="Arial" w:hAnsi="Arial"/>
                <w:sz w:val="18"/>
                <w:szCs w:val="18"/>
                <w:color w:val="auto"/>
              </w:rPr>
              <w:t>(39,850)</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gridSpan w:val="4"/>
          </w:tcPr>
          <w:p>
            <w:pPr>
              <w:jc w:val="right"/>
              <w:ind w:right="220"/>
              <w:spacing w:after="0" w:line="202" w:lineRule="exact"/>
              <w:rPr>
                <w:sz w:val="20"/>
                <w:szCs w:val="20"/>
                <w:color w:val="auto"/>
              </w:rPr>
            </w:pPr>
            <w:r>
              <w:rPr>
                <w:rFonts w:ascii="Arial" w:cs="Arial" w:eastAsia="Arial" w:hAnsi="Arial"/>
                <w:sz w:val="18"/>
                <w:szCs w:val="18"/>
                <w:color w:val="auto"/>
              </w:rPr>
              <w:t>(35,296)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0" w:type="dxa"/>
            <w:vAlign w:val="bottom"/>
          </w:tcPr>
          <w:p>
            <w:pPr>
              <w:spacing w:after="0"/>
              <w:rPr>
                <w:sz w:val="17"/>
                <w:szCs w:val="17"/>
                <w:color w:val="auto"/>
              </w:rPr>
            </w:pPr>
          </w:p>
        </w:tc>
        <w:tc>
          <w:tcPr>
            <w:tcW w:w="18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Net Sales</w:t>
            </w:r>
          </w:p>
        </w:tc>
        <w:tc>
          <w:tcPr>
            <w:tcW w:w="1200" w:type="dxa"/>
            <w:vAlign w:val="bottom"/>
            <w:gridSpan w:val="4"/>
            <w:shd w:val="clear" w:color="auto" w:fill="CCEEFF"/>
          </w:tcPr>
          <w:p>
            <w:pPr>
              <w:jc w:val="right"/>
              <w:ind w:right="2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678,398</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5"/>
            <w:shd w:val="clear" w:color="auto" w:fill="CCEEFF"/>
          </w:tcPr>
          <w:p>
            <w:pPr>
              <w:jc w:val="right"/>
              <w:ind w:right="20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672,873</w:t>
            </w: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5"/>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2,000,541</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7"/>
            <w:shd w:val="clear" w:color="auto" w:fill="CCEEFF"/>
          </w:tcPr>
          <w:p>
            <w:pPr>
              <w:jc w:val="right"/>
              <w:ind w:right="28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2,165,329</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0"/>
        </w:trPr>
        <w:tc>
          <w:tcPr>
            <w:tcW w:w="340" w:type="dxa"/>
            <w:vAlign w:val="bottom"/>
            <w:tcBorders>
              <w:bottom w:val="single" w:sz="8" w:color="808080"/>
            </w:tcBorders>
          </w:tcPr>
          <w:p>
            <w:pPr>
              <w:spacing w:after="0"/>
              <w:rPr>
                <w:sz w:val="24"/>
                <w:szCs w:val="24"/>
                <w:color w:val="auto"/>
              </w:rPr>
            </w:pPr>
          </w:p>
        </w:tc>
        <w:tc>
          <w:tcPr>
            <w:tcW w:w="18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627" w:gutter="0" w:footer="0" w:header="0"/>
        </w:sectPr>
      </w:pPr>
    </w:p>
    <w:bookmarkStart w:id="9" w:name="page10"/>
    <w:bookmarkEnd w:id="9"/>
    <w:p>
      <w:pPr>
        <w:ind w:left="340"/>
        <w:spacing w:after="0"/>
        <w:rPr>
          <w:sz w:val="20"/>
          <w:szCs w:val="20"/>
          <w:color w:val="auto"/>
        </w:rPr>
      </w:pPr>
      <w:r>
        <w:rPr>
          <w:rFonts w:ascii="Arial" w:cs="Arial" w:eastAsia="Arial" w:hAnsi="Arial"/>
          <w:sz w:val="18"/>
          <w:szCs w:val="18"/>
          <w:b w:val="1"/>
          <w:bCs w:val="1"/>
          <w:color w:val="auto"/>
        </w:rPr>
        <w:t>UNIVERSAL FOREST PRODUCTS, INC.</w:t>
      </w:r>
    </w:p>
    <w:p>
      <w:pPr>
        <w:spacing w:after="0" w:line="1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PAGE 5</w:t>
      </w:r>
    </w:p>
    <w:p>
      <w:pPr>
        <w:spacing w:after="0" w:line="163"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18"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SEPTEMBER 2007/2006</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40" w:type="dxa"/>
            <w:vAlign w:val="bottom"/>
          </w:tcPr>
          <w:p>
            <w:pPr>
              <w:spacing w:after="0"/>
              <w:rPr>
                <w:sz w:val="20"/>
                <w:szCs w:val="20"/>
                <w:color w:val="auto"/>
              </w:rPr>
            </w:pPr>
            <w:r>
              <w:rPr>
                <w:rFonts w:ascii="Arial" w:cs="Arial" w:eastAsia="Arial" w:hAnsi="Arial"/>
                <w:sz w:val="14"/>
                <w:szCs w:val="14"/>
                <w:b w:val="1"/>
                <w:bCs w:val="1"/>
                <w:color w:val="auto"/>
              </w:rPr>
              <w:t>LIABILITIES AND</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5"/>
        </w:trPr>
        <w:tc>
          <w:tcPr>
            <w:tcW w:w="340" w:type="dxa"/>
            <w:vAlign w:val="bottom"/>
          </w:tcPr>
          <w:p>
            <w:pPr>
              <w:spacing w:after="0"/>
              <w:rPr>
                <w:sz w:val="15"/>
                <w:szCs w:val="15"/>
                <w:color w:val="auto"/>
              </w:rPr>
            </w:pPr>
          </w:p>
        </w:tc>
        <w:tc>
          <w:tcPr>
            <w:tcW w:w="2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ASSETS</w:t>
            </w:r>
          </w:p>
        </w:tc>
        <w:tc>
          <w:tcPr>
            <w:tcW w:w="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5"/>
                <w:szCs w:val="15"/>
                <w:color w:val="auto"/>
              </w:rPr>
            </w:pPr>
          </w:p>
        </w:tc>
        <w:tc>
          <w:tcPr>
            <w:tcW w:w="2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SHAREHOLDERS' EQUITY</w:t>
            </w: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56"/>
        </w:trPr>
        <w:tc>
          <w:tcPr>
            <w:tcW w:w="3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62"/>
        </w:trPr>
        <w:tc>
          <w:tcPr>
            <w:tcW w:w="340" w:type="dxa"/>
            <w:vAlign w:val="bottom"/>
          </w:tcPr>
          <w:p>
            <w:pPr>
              <w:spacing w:after="0"/>
              <w:rPr>
                <w:sz w:val="14"/>
                <w:szCs w:val="14"/>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CURRENT ASSETS</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CURRENT LIABILITIES</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tcPr>
          <w:p>
            <w:pPr>
              <w:spacing w:after="0"/>
              <w:rPr>
                <w:sz w:val="14"/>
                <w:szCs w:val="14"/>
                <w:color w:val="auto"/>
              </w:rPr>
            </w:pPr>
          </w:p>
        </w:tc>
      </w:tr>
      <w:tr>
        <w:trPr>
          <w:trHeight w:val="162"/>
        </w:trPr>
        <w:tc>
          <w:tcPr>
            <w:tcW w:w="340" w:type="dxa"/>
            <w:vAlign w:val="bottom"/>
          </w:tcPr>
          <w:p>
            <w:pPr>
              <w:spacing w:after="0"/>
              <w:rPr>
                <w:sz w:val="14"/>
                <w:szCs w:val="14"/>
                <w:color w:val="auto"/>
              </w:rPr>
            </w:pPr>
          </w:p>
        </w:tc>
        <w:tc>
          <w:tcPr>
            <w:tcW w:w="2320" w:type="dxa"/>
            <w:vAlign w:val="bottom"/>
          </w:tcPr>
          <w:p>
            <w:pPr>
              <w:ind w:left="200"/>
              <w:spacing w:after="0"/>
              <w:rPr>
                <w:sz w:val="20"/>
                <w:szCs w:val="20"/>
                <w:color w:val="auto"/>
              </w:rPr>
            </w:pPr>
            <w:r>
              <w:rPr>
                <w:rFonts w:ascii="Arial" w:cs="Arial" w:eastAsia="Arial" w:hAnsi="Arial"/>
                <w:sz w:val="14"/>
                <w:szCs w:val="14"/>
                <w:color w:val="auto"/>
              </w:rPr>
              <w:t>Cash and cash equivalents</w:t>
            </w: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46,747</w:t>
            </w:r>
          </w:p>
        </w:tc>
        <w:tc>
          <w:tcPr>
            <w:tcW w:w="3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46,184</w:t>
            </w:r>
          </w:p>
        </w:tc>
        <w:tc>
          <w:tcPr>
            <w:tcW w:w="2440" w:type="dxa"/>
            <w:vAlign w:val="bottom"/>
          </w:tcPr>
          <w:p>
            <w:pPr>
              <w:ind w:left="40"/>
              <w:spacing w:after="0"/>
              <w:rPr>
                <w:sz w:val="20"/>
                <w:szCs w:val="20"/>
                <w:color w:val="auto"/>
              </w:rPr>
            </w:pPr>
            <w:r>
              <w:rPr>
                <w:rFonts w:ascii="Arial" w:cs="Arial" w:eastAsia="Arial" w:hAnsi="Arial"/>
                <w:sz w:val="14"/>
                <w:szCs w:val="14"/>
                <w:color w:val="auto"/>
              </w:rPr>
              <w:t>Accounts payable</w:t>
            </w:r>
          </w:p>
        </w:tc>
        <w:tc>
          <w:tcPr>
            <w:tcW w:w="4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4"/>
                <w:szCs w:val="14"/>
                <w:color w:val="auto"/>
              </w:rPr>
              <w:t>105,938</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109,581</w:t>
            </w:r>
          </w:p>
        </w:tc>
        <w:tc>
          <w:tcPr>
            <w:tcW w:w="1360" w:type="dxa"/>
            <w:vAlign w:val="bottom"/>
          </w:tcPr>
          <w:p>
            <w:pPr>
              <w:spacing w:after="0"/>
              <w:rPr>
                <w:sz w:val="14"/>
                <w:szCs w:val="14"/>
                <w:color w:val="auto"/>
              </w:rPr>
            </w:pPr>
          </w:p>
        </w:tc>
      </w:tr>
      <w:tr>
        <w:trPr>
          <w:trHeight w:val="162"/>
        </w:trPr>
        <w:tc>
          <w:tcPr>
            <w:tcW w:w="340" w:type="dxa"/>
            <w:vAlign w:val="bottom"/>
          </w:tcPr>
          <w:p>
            <w:pPr>
              <w:spacing w:after="0"/>
              <w:rPr>
                <w:sz w:val="14"/>
                <w:szCs w:val="14"/>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Accounts receivable</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191,023</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227,428</w:t>
            </w:r>
          </w:p>
        </w:tc>
        <w:tc>
          <w:tcPr>
            <w:tcW w:w="2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Accrued liabilities</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85,997</w:t>
            </w: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106,360</w:t>
            </w:r>
          </w:p>
        </w:tc>
        <w:tc>
          <w:tcPr>
            <w:tcW w:w="1360" w:type="dxa"/>
            <w:vAlign w:val="bottom"/>
          </w:tcPr>
          <w:p>
            <w:pPr>
              <w:spacing w:after="0"/>
              <w:rPr>
                <w:sz w:val="14"/>
                <w:szCs w:val="14"/>
                <w:color w:val="auto"/>
              </w:rPr>
            </w:pPr>
          </w:p>
        </w:tc>
      </w:tr>
      <w:tr>
        <w:trPr>
          <w:trHeight w:val="162"/>
        </w:trPr>
        <w:tc>
          <w:tcPr>
            <w:tcW w:w="340" w:type="dxa"/>
            <w:vAlign w:val="bottom"/>
          </w:tcPr>
          <w:p>
            <w:pPr>
              <w:spacing w:after="0"/>
              <w:rPr>
                <w:sz w:val="14"/>
                <w:szCs w:val="14"/>
                <w:color w:val="auto"/>
              </w:rPr>
            </w:pPr>
          </w:p>
        </w:tc>
        <w:tc>
          <w:tcPr>
            <w:tcW w:w="2320" w:type="dxa"/>
            <w:vAlign w:val="bottom"/>
          </w:tcPr>
          <w:p>
            <w:pPr>
              <w:ind w:left="200"/>
              <w:spacing w:after="0"/>
              <w:rPr>
                <w:sz w:val="20"/>
                <w:szCs w:val="20"/>
                <w:color w:val="auto"/>
              </w:rPr>
            </w:pPr>
            <w:r>
              <w:rPr>
                <w:rFonts w:ascii="Arial" w:cs="Arial" w:eastAsia="Arial" w:hAnsi="Arial"/>
                <w:sz w:val="14"/>
                <w:szCs w:val="14"/>
                <w:color w:val="auto"/>
              </w:rPr>
              <w:t>Inventories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228,799</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232,884</w:t>
            </w:r>
          </w:p>
        </w:tc>
        <w:tc>
          <w:tcPr>
            <w:tcW w:w="2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7"/>
        </w:trPr>
        <w:tc>
          <w:tcPr>
            <w:tcW w:w="34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portion of long-term</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tcPr>
          <w:p>
            <w:pPr>
              <w:spacing w:after="0"/>
              <w:rPr>
                <w:sz w:val="14"/>
                <w:szCs w:val="14"/>
                <w:color w:val="auto"/>
              </w:rPr>
            </w:pPr>
          </w:p>
        </w:tc>
      </w:tr>
      <w:tr>
        <w:trPr>
          <w:trHeight w:val="157"/>
        </w:trPr>
        <w:tc>
          <w:tcPr>
            <w:tcW w:w="340" w:type="dxa"/>
            <w:vAlign w:val="bottom"/>
          </w:tcPr>
          <w:p>
            <w:pPr>
              <w:spacing w:after="0"/>
              <w:rPr>
                <w:sz w:val="13"/>
                <w:szCs w:val="13"/>
                <w:color w:val="auto"/>
              </w:rPr>
            </w:pPr>
          </w:p>
        </w:tc>
        <w:tc>
          <w:tcPr>
            <w:tcW w:w="2320" w:type="dxa"/>
            <w:vAlign w:val="bottom"/>
            <w:shd w:val="clear" w:color="auto" w:fill="CCEEFF"/>
          </w:tcPr>
          <w:p>
            <w:pPr>
              <w:ind w:left="200"/>
              <w:spacing w:after="0" w:line="157" w:lineRule="exact"/>
              <w:rPr>
                <w:sz w:val="20"/>
                <w:szCs w:val="20"/>
                <w:color w:val="auto"/>
              </w:rPr>
            </w:pPr>
            <w:r>
              <w:rPr>
                <w:rFonts w:ascii="Arial" w:cs="Arial" w:eastAsia="Arial" w:hAnsi="Arial"/>
                <w:sz w:val="14"/>
                <w:szCs w:val="14"/>
                <w:color w:val="auto"/>
              </w:rPr>
              <w:t>Assets held for sale</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18,111</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440" w:type="dxa"/>
            <w:vAlign w:val="bottom"/>
            <w:shd w:val="clear" w:color="auto" w:fill="CCEEFF"/>
          </w:tcPr>
          <w:p>
            <w:pPr>
              <w:ind w:left="80"/>
              <w:spacing w:after="0" w:line="157" w:lineRule="exact"/>
              <w:rPr>
                <w:sz w:val="20"/>
                <w:szCs w:val="20"/>
                <w:color w:val="auto"/>
              </w:rPr>
            </w:pPr>
            <w:r>
              <w:rPr>
                <w:rFonts w:ascii="Arial" w:cs="Arial" w:eastAsia="Arial" w:hAnsi="Arial"/>
                <w:sz w:val="14"/>
                <w:szCs w:val="14"/>
                <w:color w:val="auto"/>
              </w:rPr>
              <w:t>debt and capital leases</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80"/>
              <w:spacing w:after="0" w:line="157" w:lineRule="exact"/>
              <w:rPr>
                <w:sz w:val="20"/>
                <w:szCs w:val="20"/>
                <w:color w:val="auto"/>
              </w:rPr>
            </w:pPr>
            <w:r>
              <w:rPr>
                <w:rFonts w:ascii="Arial" w:cs="Arial" w:eastAsia="Arial" w:hAnsi="Arial"/>
                <w:sz w:val="14"/>
                <w:szCs w:val="14"/>
                <w:color w:val="auto"/>
              </w:rPr>
              <w:t>1,086</w:t>
            </w: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697</w:t>
            </w:r>
          </w:p>
        </w:tc>
        <w:tc>
          <w:tcPr>
            <w:tcW w:w="1360" w:type="dxa"/>
            <w:vAlign w:val="bottom"/>
          </w:tcPr>
          <w:p>
            <w:pPr>
              <w:spacing w:after="0"/>
              <w:rPr>
                <w:sz w:val="13"/>
                <w:szCs w:val="13"/>
                <w:color w:val="auto"/>
              </w:rPr>
            </w:pPr>
          </w:p>
        </w:tc>
      </w:tr>
      <w:tr>
        <w:trPr>
          <w:trHeight w:val="177"/>
        </w:trPr>
        <w:tc>
          <w:tcPr>
            <w:tcW w:w="340" w:type="dxa"/>
            <w:vAlign w:val="bottom"/>
          </w:tcPr>
          <w:p>
            <w:pPr>
              <w:spacing w:after="0"/>
              <w:rPr>
                <w:sz w:val="15"/>
                <w:szCs w:val="15"/>
                <w:color w:val="auto"/>
              </w:rPr>
            </w:pPr>
          </w:p>
        </w:tc>
        <w:tc>
          <w:tcPr>
            <w:tcW w:w="2320" w:type="dxa"/>
            <w:vAlign w:val="bottom"/>
          </w:tcPr>
          <w:p>
            <w:pPr>
              <w:ind w:left="200"/>
              <w:spacing w:after="0"/>
              <w:rPr>
                <w:sz w:val="20"/>
                <w:szCs w:val="20"/>
                <w:color w:val="auto"/>
              </w:rPr>
            </w:pPr>
            <w:r>
              <w:rPr>
                <w:rFonts w:ascii="Arial" w:cs="Arial" w:eastAsia="Arial" w:hAnsi="Arial"/>
                <w:sz w:val="14"/>
                <w:szCs w:val="14"/>
                <w:color w:val="auto"/>
              </w:rPr>
              <w:t>Other current assets</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31,669</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24,752</w:t>
            </w:r>
          </w:p>
        </w:tc>
        <w:tc>
          <w:tcPr>
            <w:tcW w:w="2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54"/>
        </w:trPr>
        <w:tc>
          <w:tcPr>
            <w:tcW w:w="3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62"/>
        </w:trPr>
        <w:tc>
          <w:tcPr>
            <w:tcW w:w="340" w:type="dxa"/>
            <w:vAlign w:val="bottom"/>
          </w:tcPr>
          <w:p>
            <w:pPr>
              <w:spacing w:after="0"/>
              <w:rPr>
                <w:sz w:val="14"/>
                <w:szCs w:val="14"/>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CURRENT ASSETS</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516,349</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531,248</w:t>
            </w:r>
          </w:p>
        </w:tc>
        <w:tc>
          <w:tcPr>
            <w:tcW w:w="2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CURRENT LIABILITIES</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193,021</w:t>
            </w: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216,638</w:t>
            </w:r>
          </w:p>
        </w:tc>
        <w:tc>
          <w:tcPr>
            <w:tcW w:w="1360" w:type="dxa"/>
            <w:vAlign w:val="bottom"/>
          </w:tcPr>
          <w:p>
            <w:pPr>
              <w:spacing w:after="0"/>
              <w:rPr>
                <w:sz w:val="14"/>
                <w:szCs w:val="14"/>
                <w:color w:val="auto"/>
              </w:rPr>
            </w:pPr>
          </w:p>
        </w:tc>
      </w:tr>
      <w:tr>
        <w:trPr>
          <w:trHeight w:val="149"/>
        </w:trPr>
        <w:tc>
          <w:tcPr>
            <w:tcW w:w="3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40" w:type="dxa"/>
            <w:vAlign w:val="bottom"/>
          </w:tcPr>
          <w:p>
            <w:pPr>
              <w:spacing w:after="0" w:line="149" w:lineRule="exact"/>
              <w:rPr>
                <w:sz w:val="20"/>
                <w:szCs w:val="20"/>
                <w:color w:val="auto"/>
              </w:rPr>
            </w:pPr>
            <w:r>
              <w:rPr>
                <w:rFonts w:ascii="Arial" w:cs="Arial" w:eastAsia="Arial" w:hAnsi="Arial"/>
                <w:sz w:val="14"/>
                <w:szCs w:val="14"/>
                <w:b w:val="1"/>
                <w:bCs w:val="1"/>
                <w:color w:val="auto"/>
              </w:rPr>
              <w:t>LONG-TERM DEBT AND CAPITAL</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90"/>
        </w:trPr>
        <w:tc>
          <w:tcPr>
            <w:tcW w:w="340" w:type="dxa"/>
            <w:vAlign w:val="bottom"/>
          </w:tcPr>
          <w:p>
            <w:pPr>
              <w:spacing w:after="0"/>
              <w:rPr>
                <w:sz w:val="16"/>
                <w:szCs w:val="16"/>
                <w:color w:val="auto"/>
              </w:rPr>
            </w:pPr>
          </w:p>
        </w:tc>
        <w:tc>
          <w:tcPr>
            <w:tcW w:w="2320" w:type="dxa"/>
            <w:vAlign w:val="bottom"/>
          </w:tcPr>
          <w:p>
            <w:pPr>
              <w:spacing w:after="0"/>
              <w:rPr>
                <w:sz w:val="20"/>
                <w:szCs w:val="20"/>
                <w:color w:val="auto"/>
              </w:rPr>
            </w:pPr>
            <w:r>
              <w:rPr>
                <w:rFonts w:ascii="Arial" w:cs="Arial" w:eastAsia="Arial" w:hAnsi="Arial"/>
                <w:sz w:val="14"/>
                <w:szCs w:val="14"/>
                <w:b w:val="1"/>
                <w:bCs w:val="1"/>
                <w:color w:val="auto"/>
              </w:rPr>
              <w:t>OTHER ASSETS</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7,744</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7,762</w:t>
            </w:r>
          </w:p>
        </w:tc>
        <w:tc>
          <w:tcPr>
            <w:tcW w:w="2440" w:type="dxa"/>
            <w:vAlign w:val="bottom"/>
          </w:tcPr>
          <w:p>
            <w:pPr>
              <w:spacing w:after="0"/>
              <w:rPr>
                <w:sz w:val="20"/>
                <w:szCs w:val="20"/>
                <w:color w:val="auto"/>
              </w:rPr>
            </w:pPr>
            <w:r>
              <w:rPr>
                <w:rFonts w:ascii="Arial" w:cs="Arial" w:eastAsia="Arial" w:hAnsi="Arial"/>
                <w:sz w:val="14"/>
                <w:szCs w:val="14"/>
                <w:b w:val="1"/>
                <w:bCs w:val="1"/>
                <w:color w:val="auto"/>
              </w:rPr>
              <w:t>LEASES, less current portion</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color w:val="auto"/>
              </w:rPr>
              <w:t>197,435</w:t>
            </w:r>
          </w:p>
        </w:tc>
        <w:tc>
          <w:tcPr>
            <w:tcW w:w="14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171,009</w:t>
            </w:r>
          </w:p>
        </w:tc>
        <w:tc>
          <w:tcPr>
            <w:tcW w:w="1360" w:type="dxa"/>
            <w:vAlign w:val="bottom"/>
          </w:tcPr>
          <w:p>
            <w:pPr>
              <w:spacing w:after="0"/>
              <w:rPr>
                <w:sz w:val="16"/>
                <w:szCs w:val="16"/>
                <w:color w:val="auto"/>
              </w:rPr>
            </w:pPr>
          </w:p>
        </w:tc>
      </w:tr>
      <w:tr>
        <w:trPr>
          <w:trHeight w:val="147"/>
        </w:trPr>
        <w:tc>
          <w:tcPr>
            <w:tcW w:w="3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62"/>
        </w:trPr>
        <w:tc>
          <w:tcPr>
            <w:tcW w:w="340" w:type="dxa"/>
            <w:vAlign w:val="bottom"/>
          </w:tcPr>
          <w:p>
            <w:pPr>
              <w:spacing w:after="0"/>
              <w:rPr>
                <w:sz w:val="14"/>
                <w:szCs w:val="14"/>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INTANGIBLE ASSETS, NET</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184,474</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158,549</w:t>
            </w:r>
          </w:p>
        </w:tc>
        <w:tc>
          <w:tcPr>
            <w:tcW w:w="2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 LIABILITIES</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50,168</w:t>
            </w: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35,937</w:t>
            </w:r>
          </w:p>
        </w:tc>
        <w:tc>
          <w:tcPr>
            <w:tcW w:w="1360" w:type="dxa"/>
            <w:vAlign w:val="bottom"/>
          </w:tcPr>
          <w:p>
            <w:pPr>
              <w:spacing w:after="0"/>
              <w:rPr>
                <w:sz w:val="14"/>
                <w:szCs w:val="14"/>
                <w:color w:val="auto"/>
              </w:rPr>
            </w:pPr>
          </w:p>
        </w:tc>
      </w:tr>
      <w:tr>
        <w:trPr>
          <w:trHeight w:val="311"/>
        </w:trPr>
        <w:tc>
          <w:tcPr>
            <w:tcW w:w="34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Arial" w:cs="Arial" w:eastAsia="Arial" w:hAnsi="Arial"/>
                <w:sz w:val="14"/>
                <w:szCs w:val="14"/>
                <w:b w:val="1"/>
                <w:bCs w:val="1"/>
                <w:color w:val="auto"/>
              </w:rPr>
              <w:t>PROPERTY, PLANT AND</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5"/>
        </w:trPr>
        <w:tc>
          <w:tcPr>
            <w:tcW w:w="340" w:type="dxa"/>
            <w:vAlign w:val="bottom"/>
          </w:tcPr>
          <w:p>
            <w:pPr>
              <w:spacing w:after="0"/>
              <w:rPr>
                <w:sz w:val="15"/>
                <w:szCs w:val="15"/>
                <w:color w:val="auto"/>
              </w:rPr>
            </w:pPr>
          </w:p>
        </w:tc>
        <w:tc>
          <w:tcPr>
            <w:tcW w:w="2320" w:type="dxa"/>
            <w:vAlign w:val="bottom"/>
          </w:tcPr>
          <w:p>
            <w:pPr>
              <w:ind w:left="200"/>
              <w:spacing w:after="0"/>
              <w:rPr>
                <w:sz w:val="20"/>
                <w:szCs w:val="20"/>
                <w:color w:val="auto"/>
              </w:rPr>
            </w:pPr>
            <w:r>
              <w:rPr>
                <w:rFonts w:ascii="Arial" w:cs="Arial" w:eastAsia="Arial" w:hAnsi="Arial"/>
                <w:sz w:val="14"/>
                <w:szCs w:val="14"/>
                <w:b w:val="1"/>
                <w:bCs w:val="1"/>
                <w:color w:val="auto"/>
              </w:rPr>
              <w:t>EQUIPMENT, NET</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283,179</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232,428</w:t>
            </w:r>
          </w:p>
        </w:tc>
        <w:tc>
          <w:tcPr>
            <w:tcW w:w="2440" w:type="dxa"/>
            <w:vAlign w:val="bottom"/>
          </w:tcPr>
          <w:p>
            <w:pPr>
              <w:spacing w:after="0"/>
              <w:rPr>
                <w:sz w:val="20"/>
                <w:szCs w:val="20"/>
                <w:color w:val="auto"/>
              </w:rPr>
            </w:pPr>
            <w:r>
              <w:rPr>
                <w:rFonts w:ascii="Arial" w:cs="Arial" w:eastAsia="Arial" w:hAnsi="Arial"/>
                <w:sz w:val="14"/>
                <w:szCs w:val="14"/>
                <w:b w:val="1"/>
                <w:bCs w:val="1"/>
                <w:color w:val="auto"/>
              </w:rPr>
              <w:t>SHAREHOLDERS' EQUITY</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color w:val="auto"/>
              </w:rPr>
              <w:t>551,122</w:t>
            </w:r>
          </w:p>
        </w:tc>
        <w:tc>
          <w:tcPr>
            <w:tcW w:w="14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506,403</w:t>
            </w:r>
          </w:p>
        </w:tc>
        <w:tc>
          <w:tcPr>
            <w:tcW w:w="1360" w:type="dxa"/>
            <w:vAlign w:val="bottom"/>
          </w:tcPr>
          <w:p>
            <w:pPr>
              <w:spacing w:after="0"/>
              <w:rPr>
                <w:sz w:val="15"/>
                <w:szCs w:val="15"/>
                <w:color w:val="auto"/>
              </w:rPr>
            </w:pPr>
          </w:p>
        </w:tc>
      </w:tr>
      <w:tr>
        <w:trPr>
          <w:trHeight w:val="169"/>
        </w:trPr>
        <w:tc>
          <w:tcPr>
            <w:tcW w:w="3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49"/>
        </w:trPr>
        <w:tc>
          <w:tcPr>
            <w:tcW w:w="340" w:type="dxa"/>
            <w:vAlign w:val="bottom"/>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LIABILITIES AND</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tcPr>
          <w:p>
            <w:pPr>
              <w:spacing w:after="0"/>
              <w:rPr>
                <w:sz w:val="12"/>
                <w:szCs w:val="12"/>
                <w:color w:val="auto"/>
              </w:rPr>
            </w:pPr>
          </w:p>
        </w:tc>
      </w:tr>
      <w:tr>
        <w:trPr>
          <w:trHeight w:val="175"/>
        </w:trPr>
        <w:tc>
          <w:tcPr>
            <w:tcW w:w="340" w:type="dxa"/>
            <w:vAlign w:val="bottom"/>
          </w:tcPr>
          <w:p>
            <w:pPr>
              <w:spacing w:after="0"/>
              <w:rPr>
                <w:sz w:val="15"/>
                <w:szCs w:val="15"/>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ASSETS</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991,746</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929,987</w:t>
            </w:r>
          </w:p>
        </w:tc>
        <w:tc>
          <w:tcPr>
            <w:tcW w:w="2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SHAREHOLDERS' EQUITY</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991,746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929,987</w:t>
            </w:r>
          </w:p>
        </w:tc>
        <w:tc>
          <w:tcPr>
            <w:tcW w:w="1360" w:type="dxa"/>
            <w:vAlign w:val="bottom"/>
          </w:tcPr>
          <w:p>
            <w:pPr>
              <w:spacing w:after="0"/>
              <w:rPr>
                <w:sz w:val="15"/>
                <w:szCs w:val="15"/>
                <w:color w:val="auto"/>
              </w:rPr>
            </w:pPr>
          </w:p>
        </w:tc>
      </w:tr>
      <w:tr>
        <w:trPr>
          <w:trHeight w:val="20"/>
        </w:trPr>
        <w:tc>
          <w:tcPr>
            <w:tcW w:w="3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990"/>
        </w:trPr>
        <w:tc>
          <w:tcPr>
            <w:tcW w:w="340" w:type="dxa"/>
            <w:vAlign w:val="bottom"/>
            <w:tcBorders>
              <w:bottom w:val="single" w:sz="8" w:color="808080"/>
            </w:tcBorders>
          </w:tcPr>
          <w:p>
            <w:pPr>
              <w:spacing w:after="0"/>
              <w:rPr>
                <w:sz w:val="24"/>
                <w:szCs w:val="24"/>
                <w:color w:val="auto"/>
              </w:rPr>
            </w:pPr>
          </w:p>
        </w:tc>
        <w:tc>
          <w:tcPr>
            <w:tcW w:w="23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4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6</w:t>
      </w:r>
    </w:p>
    <w:p>
      <w:pPr>
        <w:spacing w:after="0" w:line="163" w:lineRule="exact"/>
        <w:rPr>
          <w:sz w:val="20"/>
          <w:szCs w:val="20"/>
          <w:color w:val="auto"/>
        </w:rPr>
      </w:pPr>
    </w:p>
    <w:p>
      <w:pPr>
        <w:jc w:val="center"/>
        <w:ind w:right="179"/>
        <w:spacing w:after="0" w:line="253" w:lineRule="auto"/>
        <w:rPr>
          <w:sz w:val="20"/>
          <w:szCs w:val="20"/>
          <w:color w:val="auto"/>
        </w:rPr>
      </w:pPr>
      <w:r>
        <w:rPr>
          <w:rFonts w:ascii="Arial" w:cs="Arial" w:eastAsia="Arial" w:hAnsi="Arial"/>
          <w:sz w:val="18"/>
          <w:szCs w:val="18"/>
          <w:b w:val="1"/>
          <w:bCs w:val="1"/>
          <w:color w:val="auto"/>
        </w:rPr>
        <w:t>CONSOLIDATED STATEMENTS OF CASH FLOWS (UNAUDITED) FOR THE NINE MONTHS ENDED SEPTEMBER 2007/2006</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4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Net earnings</w:t>
            </w:r>
          </w:p>
        </w:tc>
        <w:tc>
          <w:tcPr>
            <w:tcW w:w="5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32,025</w:t>
            </w:r>
          </w:p>
        </w:tc>
        <w:tc>
          <w:tcPr>
            <w:tcW w:w="40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60,885</w:t>
            </w: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earnings to net cash from operating activities: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200"/>
              <w:spacing w:after="0" w:line="202" w:lineRule="exact"/>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29,105</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25,558</w:t>
            </w: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Amortization of intangibles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6,402</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3,953</w:t>
            </w:r>
          </w:p>
        </w:tc>
        <w:tc>
          <w:tcPr>
            <w:tcW w:w="0" w:type="dxa"/>
            <w:vAlign w:val="bottom"/>
          </w:tcPr>
          <w:p>
            <w:pPr>
              <w:spacing w:after="0"/>
              <w:rPr>
                <w:sz w:val="1"/>
                <w:szCs w:val="1"/>
                <w:color w:val="auto"/>
              </w:rPr>
            </w:pPr>
          </w:p>
        </w:tc>
      </w:tr>
      <w:tr>
        <w:trPr>
          <w:trHeight w:val="203"/>
        </w:trPr>
        <w:tc>
          <w:tcPr>
            <w:tcW w:w="6820" w:type="dxa"/>
            <w:vAlign w:val="bottom"/>
          </w:tcPr>
          <w:p>
            <w:pPr>
              <w:ind w:left="200"/>
              <w:spacing w:after="0" w:line="202" w:lineRule="exact"/>
              <w:rPr>
                <w:sz w:val="20"/>
                <w:szCs w:val="20"/>
                <w:color w:val="auto"/>
              </w:rPr>
            </w:pPr>
            <w:r>
              <w:rPr>
                <w:rFonts w:ascii="Arial" w:cs="Arial" w:eastAsia="Arial" w:hAnsi="Arial"/>
                <w:sz w:val="18"/>
                <w:szCs w:val="18"/>
                <w:color w:val="auto"/>
              </w:rPr>
              <w:t>Expense associated with share-based compensation arrangements</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391</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Expense associated with stock grant plans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160</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3"/>
        </w:trPr>
        <w:tc>
          <w:tcPr>
            <w:tcW w:w="6820" w:type="dxa"/>
            <w:vAlign w:val="bottom"/>
          </w:tcPr>
          <w:p>
            <w:pPr>
              <w:ind w:left="200"/>
              <w:spacing w:after="0" w:line="202" w:lineRule="exact"/>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(255)</w:t>
            </w:r>
          </w:p>
        </w:tc>
        <w:tc>
          <w:tcPr>
            <w:tcW w:w="22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Minority interest</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1,610</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3,396</w:t>
            </w:r>
          </w:p>
        </w:tc>
        <w:tc>
          <w:tcPr>
            <w:tcW w:w="0" w:type="dxa"/>
            <w:vAlign w:val="bottom"/>
          </w:tcPr>
          <w:p>
            <w:pPr>
              <w:spacing w:after="0"/>
              <w:rPr>
                <w:sz w:val="1"/>
                <w:szCs w:val="1"/>
                <w:color w:val="auto"/>
              </w:rPr>
            </w:pPr>
          </w:p>
        </w:tc>
      </w:tr>
      <w:tr>
        <w:trPr>
          <w:trHeight w:val="203"/>
        </w:trPr>
        <w:tc>
          <w:tcPr>
            <w:tcW w:w="6820" w:type="dxa"/>
            <w:vAlign w:val="bottom"/>
          </w:tcPr>
          <w:p>
            <w:pPr>
              <w:ind w:left="200"/>
              <w:spacing w:after="0" w:line="202" w:lineRule="exact"/>
              <w:rPr>
                <w:sz w:val="20"/>
                <w:szCs w:val="20"/>
                <w:color w:val="auto"/>
              </w:rPr>
            </w:pPr>
            <w:r>
              <w:rPr>
                <w:rFonts w:ascii="Arial" w:cs="Arial" w:eastAsia="Arial" w:hAnsi="Arial"/>
                <w:sz w:val="18"/>
                <w:szCs w:val="18"/>
                <w:color w:val="auto"/>
              </w:rPr>
              <w:t>Gain on sale of interest in subsidiary</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(140)</w:t>
            </w:r>
          </w:p>
        </w:tc>
        <w:tc>
          <w:tcPr>
            <w:tcW w:w="22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Loss (gain) on sale or impairment of property, plant and equipment</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3"/>
        </w:trPr>
        <w:tc>
          <w:tcPr>
            <w:tcW w:w="6820" w:type="dxa"/>
            <w:vAlign w:val="bottom"/>
          </w:tcPr>
          <w:p>
            <w:pPr>
              <w:ind w:left="200"/>
              <w:spacing w:after="0" w:line="202" w:lineRule="exact"/>
              <w:rPr>
                <w:sz w:val="20"/>
                <w:szCs w:val="20"/>
                <w:color w:val="auto"/>
              </w:rPr>
            </w:pPr>
            <w:r>
              <w:rPr>
                <w:rFonts w:ascii="Arial" w:cs="Arial" w:eastAsia="Arial" w:hAnsi="Arial"/>
                <w:sz w:val="18"/>
                <w:szCs w:val="18"/>
                <w:color w:val="auto"/>
              </w:rPr>
              <w:t>Changes in:</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(30,298)</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(37,947)</w:t>
            </w:r>
          </w:p>
        </w:tc>
        <w:tc>
          <w:tcPr>
            <w:tcW w:w="0" w:type="dxa"/>
            <w:vAlign w:val="bottom"/>
          </w:tcPr>
          <w:p>
            <w:pPr>
              <w:spacing w:after="0"/>
              <w:rPr>
                <w:sz w:val="1"/>
                <w:szCs w:val="1"/>
                <w:color w:val="auto"/>
              </w:rPr>
            </w:pPr>
          </w:p>
        </w:tc>
      </w:tr>
      <w:tr>
        <w:trPr>
          <w:trHeight w:val="203"/>
        </w:trPr>
        <w:tc>
          <w:tcPr>
            <w:tcW w:w="6820" w:type="dxa"/>
            <w:vAlign w:val="bottom"/>
          </w:tcPr>
          <w:p>
            <w:pPr>
              <w:ind w:left="400"/>
              <w:spacing w:after="0" w:line="202" w:lineRule="exact"/>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34,736</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23,693</w:t>
            </w: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12,874</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03"/>
        </w:trPr>
        <w:tc>
          <w:tcPr>
            <w:tcW w:w="6820" w:type="dxa"/>
            <w:vAlign w:val="bottom"/>
          </w:tcPr>
          <w:p>
            <w:pPr>
              <w:ind w:left="400"/>
              <w:spacing w:after="0" w:line="202" w:lineRule="exact"/>
              <w:rPr>
                <w:sz w:val="20"/>
                <w:szCs w:val="20"/>
                <w:color w:val="auto"/>
              </w:rPr>
            </w:pPr>
            <w:r>
              <w:rPr>
                <w:rFonts w:ascii="Arial" w:cs="Arial" w:eastAsia="Arial" w:hAnsi="Arial"/>
                <w:sz w:val="18"/>
                <w:szCs w:val="18"/>
                <w:color w:val="auto"/>
              </w:rPr>
              <w:t>Accrued liabilities and other</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(5,483)</w:t>
            </w:r>
          </w:p>
        </w:tc>
        <w:tc>
          <w:tcPr>
            <w:tcW w:w="22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11,326</w:t>
            </w: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Excess tax benefits from share-based compensation arrangements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(745)</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(3,959)</w:t>
            </w:r>
          </w:p>
        </w:tc>
        <w:tc>
          <w:tcPr>
            <w:tcW w:w="0" w:type="dxa"/>
            <w:vAlign w:val="bottom"/>
          </w:tcPr>
          <w:p>
            <w:pPr>
              <w:spacing w:after="0"/>
              <w:rPr>
                <w:sz w:val="1"/>
                <w:szCs w:val="1"/>
                <w:color w:val="auto"/>
              </w:rPr>
            </w:pPr>
          </w:p>
        </w:tc>
      </w:tr>
      <w:tr>
        <w:trPr>
          <w:trHeight w:val="20"/>
        </w:trPr>
        <w:tc>
          <w:tcPr>
            <w:tcW w:w="682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NET CASH FROM OPERATING ACTIVITIES</w:t>
            </w: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80,414</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87,893</w:t>
            </w:r>
          </w:p>
        </w:tc>
        <w:tc>
          <w:tcPr>
            <w:tcW w:w="0" w:type="dxa"/>
            <w:vAlign w:val="bottom"/>
          </w:tcPr>
          <w:p>
            <w:pPr>
              <w:spacing w:after="0"/>
              <w:rPr>
                <w:sz w:val="1"/>
                <w:szCs w:val="1"/>
                <w:color w:val="auto"/>
              </w:rPr>
            </w:pPr>
          </w:p>
        </w:tc>
      </w:tr>
      <w:tr>
        <w:trPr>
          <w:trHeight w:val="189"/>
        </w:trPr>
        <w:tc>
          <w:tcPr>
            <w:tcW w:w="6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Purchases of property, plant, and equipment</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(26,909)</w:t>
            </w:r>
          </w:p>
        </w:tc>
        <w:tc>
          <w:tcPr>
            <w:tcW w:w="22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(27,600)</w:t>
            </w: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Acquisitions, net of cash received</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(57,087)</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(27,137)</w:t>
            </w:r>
          </w:p>
        </w:tc>
        <w:tc>
          <w:tcPr>
            <w:tcW w:w="0" w:type="dxa"/>
            <w:vAlign w:val="bottom"/>
          </w:tcPr>
          <w:p>
            <w:pPr>
              <w:spacing w:after="0"/>
              <w:rPr>
                <w:sz w:val="1"/>
                <w:szCs w:val="1"/>
                <w:color w:val="auto"/>
              </w:rPr>
            </w:pP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Proceeds from sale of interest in subsidiary</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400</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sale of property, plant and equipment</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3,551</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Advances on notes receivable</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(122)</w:t>
            </w:r>
          </w:p>
        </w:tc>
        <w:tc>
          <w:tcPr>
            <w:tcW w:w="22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(2,473)</w:t>
            </w: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Collection of notes receivable</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1,612</w:t>
            </w:r>
          </w:p>
        </w:tc>
        <w:tc>
          <w:tcPr>
            <w:tcW w:w="0" w:type="dxa"/>
            <w:vAlign w:val="bottom"/>
          </w:tcPr>
          <w:p>
            <w:pPr>
              <w:spacing w:after="0"/>
              <w:rPr>
                <w:sz w:val="1"/>
                <w:szCs w:val="1"/>
                <w:color w:val="auto"/>
              </w:rPr>
            </w:pP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(6)</w:t>
            </w:r>
          </w:p>
        </w:tc>
        <w:tc>
          <w:tcPr>
            <w:tcW w:w="22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82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b w:val="1"/>
                <w:bCs w:val="1"/>
                <w:color w:val="auto"/>
              </w:rPr>
              <w:t>NET CASH FROM INVESTING ACTIVITIES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(80,022)</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(55,048)</w:t>
            </w:r>
          </w:p>
        </w:tc>
        <w:tc>
          <w:tcPr>
            <w:tcW w:w="0" w:type="dxa"/>
            <w:vAlign w:val="bottom"/>
          </w:tcPr>
          <w:p>
            <w:pPr>
              <w:spacing w:after="0"/>
              <w:rPr>
                <w:sz w:val="1"/>
                <w:szCs w:val="1"/>
                <w:color w:val="auto"/>
              </w:rPr>
            </w:pPr>
          </w:p>
        </w:tc>
      </w:tr>
      <w:tr>
        <w:trPr>
          <w:trHeight w:val="405"/>
        </w:trPr>
        <w:tc>
          <w:tcPr>
            <w:tcW w:w="68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(repayments) borrowings under revolving credit facilities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27,204</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(38,725)</w:t>
            </w:r>
          </w:p>
        </w:tc>
        <w:tc>
          <w:tcPr>
            <w:tcW w:w="0" w:type="dxa"/>
            <w:vAlign w:val="bottom"/>
          </w:tcPr>
          <w:p>
            <w:pPr>
              <w:spacing w:after="0"/>
              <w:rPr>
                <w:sz w:val="1"/>
                <w:szCs w:val="1"/>
                <w:color w:val="auto"/>
              </w:rPr>
            </w:pP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Repayment of long-term debt</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(28,200)</w:t>
            </w:r>
          </w:p>
        </w:tc>
        <w:tc>
          <w:tcPr>
            <w:tcW w:w="22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issuance of common stock</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3,321</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5,711</w:t>
            </w:r>
          </w:p>
        </w:tc>
        <w:tc>
          <w:tcPr>
            <w:tcW w:w="0" w:type="dxa"/>
            <w:vAlign w:val="bottom"/>
          </w:tcPr>
          <w:p>
            <w:pPr>
              <w:spacing w:after="0"/>
              <w:rPr>
                <w:sz w:val="1"/>
                <w:szCs w:val="1"/>
                <w:color w:val="auto"/>
              </w:rPr>
            </w:pP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Distributions to minority shareholder</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(1,225)</w:t>
            </w:r>
          </w:p>
        </w:tc>
        <w:tc>
          <w:tcPr>
            <w:tcW w:w="22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Dividends paid to shareholders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(1,047)</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Repurchase of common stock</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(5,273)</w:t>
            </w:r>
          </w:p>
        </w:tc>
        <w:tc>
          <w:tcPr>
            <w:tcW w:w="22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Excess tax benefits from share-based compensation arrangements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745</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3,959</w:t>
            </w:r>
          </w:p>
        </w:tc>
        <w:tc>
          <w:tcPr>
            <w:tcW w:w="0" w:type="dxa"/>
            <w:vAlign w:val="bottom"/>
          </w:tcPr>
          <w:p>
            <w:pPr>
              <w:spacing w:after="0"/>
              <w:rPr>
                <w:sz w:val="1"/>
                <w:szCs w:val="1"/>
                <w:color w:val="auto"/>
              </w:rPr>
            </w:pP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(278)</w:t>
            </w:r>
          </w:p>
        </w:tc>
        <w:tc>
          <w:tcPr>
            <w:tcW w:w="22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82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b w:val="1"/>
                <w:bCs w:val="1"/>
                <w:color w:val="auto"/>
              </w:rPr>
              <w:t>NET CASH FROM FINANCING ACTIVITIES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(4,753)</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(32,876)</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8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(4,361)</w:t>
            </w:r>
          </w:p>
        </w:tc>
        <w:tc>
          <w:tcPr>
            <w:tcW w:w="22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89"/>
        </w:trPr>
        <w:tc>
          <w:tcPr>
            <w:tcW w:w="6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AND CASH EQUIVALENTS, BEGINNING OF PERIOD</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51,108</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46,215</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46,747</w:t>
            </w:r>
          </w:p>
        </w:tc>
        <w:tc>
          <w:tcPr>
            <w:tcW w:w="4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46,184</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9879"/>
      </w:cols>
      <w:pgMar w:left="580" w:top="9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2019-12-14T02:11:22Z</dcterms:created>
  <dcterms:modified xsi:type="dcterms:W3CDTF">2019-12-14T02:11:22Z</dcterms:modified>
</cp:coreProperties>
</file>