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ind w:left="4020" w:right="2080" w:hanging="4012"/>
        <w:spacing w:after="0" w:line="532" w:lineRule="auto"/>
        <w:tabs>
          <w:tab w:leader="none" w:pos="648"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March 26, 2011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4460" w:right="2060" w:hanging="4452"/>
        <w:spacing w:after="0" w:line="51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TRANSITION REPORT PURSUANT TO SECTION 13 OR 15(d) OF THE SECURITIES EXCHANGE ACT OF 1934 Commission File Number </w:t>
      </w:r>
      <w:r>
        <w:rPr>
          <w:rFonts w:ascii="Arial" w:cs="Arial" w:eastAsia="Arial" w:hAnsi="Arial"/>
          <w:sz w:val="18"/>
          <w:szCs w:val="18"/>
          <w:u w:val="single" w:color="auto"/>
          <w:color w:val="auto"/>
        </w:rPr>
        <w:t>0-22684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UNIVERSAL FOREST PRODUCTS, INC.</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52" w:lineRule="exact"/>
        <w:rPr>
          <w:sz w:val="24"/>
          <w:szCs w:val="24"/>
          <w:color w:val="auto"/>
        </w:rPr>
      </w:pPr>
    </w:p>
    <w:tbl>
      <w:tblPr>
        <w:tblLayout w:type="fixed"/>
        <w:tblInd w:w="1160" w:type="dxa"/>
        <w:tblCellMar>
          <w:top w:w="0" w:type="dxa"/>
          <w:left w:w="0" w:type="dxa"/>
          <w:bottom w:w="0" w:type="dxa"/>
          <w:right w:w="0" w:type="dxa"/>
        </w:tblCellMar>
      </w:tblPr>
      <w:tr>
        <w:trPr>
          <w:trHeight w:val="230"/>
        </w:trPr>
        <w:tc>
          <w:tcPr>
            <w:tcW w:w="4440" w:type="dxa"/>
            <w:vAlign w:val="bottom"/>
          </w:tcPr>
          <w:p>
            <w:pPr>
              <w:jc w:val="center"/>
              <w:spacing w:after="0"/>
              <w:rPr>
                <w:sz w:val="20"/>
                <w:szCs w:val="20"/>
                <w:color w:val="auto"/>
              </w:rPr>
            </w:pPr>
            <w:r>
              <w:rPr>
                <w:rFonts w:ascii="Arial" w:cs="Arial" w:eastAsia="Arial" w:hAnsi="Arial"/>
                <w:sz w:val="18"/>
                <w:szCs w:val="18"/>
                <w:color w:val="auto"/>
                <w:w w:val="97"/>
              </w:rPr>
              <w:t>Michigan</w:t>
            </w:r>
          </w:p>
        </w:tc>
        <w:tc>
          <w:tcPr>
            <w:tcW w:w="4680" w:type="dxa"/>
            <w:vAlign w:val="bottom"/>
            <w:gridSpan w:val="2"/>
          </w:tcPr>
          <w:p>
            <w:pPr>
              <w:jc w:val="right"/>
              <w:ind w:right="1710"/>
              <w:spacing w:after="0"/>
              <w:rPr>
                <w:sz w:val="20"/>
                <w:szCs w:val="20"/>
                <w:color w:val="auto"/>
              </w:rPr>
            </w:pPr>
            <w:r>
              <w:rPr>
                <w:rFonts w:ascii="Arial" w:cs="Arial" w:eastAsia="Arial" w:hAnsi="Arial"/>
                <w:sz w:val="18"/>
                <w:szCs w:val="18"/>
                <w:color w:val="auto"/>
              </w:rPr>
              <w:t>38-1465835</w:t>
            </w:r>
          </w:p>
        </w:tc>
      </w:tr>
      <w:tr>
        <w:trPr>
          <w:trHeight w:val="224"/>
        </w:trPr>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20" w:type="dxa"/>
            <w:vAlign w:val="bottom"/>
          </w:tcPr>
          <w:p>
            <w:pPr>
              <w:spacing w:after="0"/>
              <w:rPr>
                <w:sz w:val="19"/>
                <w:szCs w:val="19"/>
                <w:color w:val="auto"/>
              </w:rPr>
            </w:pPr>
          </w:p>
        </w:tc>
        <w:tc>
          <w:tcPr>
            <w:tcW w:w="4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418"/>
        </w:trPr>
        <w:tc>
          <w:tcPr>
            <w:tcW w:w="4440" w:type="dxa"/>
            <w:vAlign w:val="bottom"/>
          </w:tcPr>
          <w:p>
            <w:pPr>
              <w:jc w:val="center"/>
              <w:spacing w:after="0"/>
              <w:rPr>
                <w:sz w:val="20"/>
                <w:szCs w:val="20"/>
                <w:color w:val="auto"/>
              </w:rPr>
            </w:pPr>
            <w:r>
              <w:rPr>
                <w:rFonts w:ascii="Arial" w:cs="Arial" w:eastAsia="Arial" w:hAnsi="Arial"/>
                <w:sz w:val="18"/>
                <w:szCs w:val="18"/>
                <w:color w:val="auto"/>
                <w:w w:val="92"/>
              </w:rPr>
              <w:t>2801 East Beltline NE, Grand Rapids, Michigan</w:t>
            </w:r>
          </w:p>
        </w:tc>
        <w:tc>
          <w:tcPr>
            <w:tcW w:w="4680" w:type="dxa"/>
            <w:vAlign w:val="bottom"/>
            <w:gridSpan w:val="2"/>
          </w:tcPr>
          <w:p>
            <w:pPr>
              <w:jc w:val="right"/>
              <w:ind w:right="1930"/>
              <w:spacing w:after="0"/>
              <w:rPr>
                <w:sz w:val="20"/>
                <w:szCs w:val="20"/>
                <w:color w:val="auto"/>
              </w:rPr>
            </w:pPr>
            <w:r>
              <w:rPr>
                <w:rFonts w:ascii="Arial" w:cs="Arial" w:eastAsia="Arial" w:hAnsi="Arial"/>
                <w:sz w:val="18"/>
                <w:szCs w:val="18"/>
                <w:color w:val="auto"/>
              </w:rPr>
              <w:t>49525</w:t>
            </w:r>
          </w:p>
        </w:tc>
      </w:tr>
      <w:tr>
        <w:trPr>
          <w:trHeight w:val="224"/>
        </w:trPr>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19"/>
                <w:szCs w:val="19"/>
                <w:color w:val="auto"/>
              </w:rPr>
            </w:pPr>
          </w:p>
        </w:tc>
        <w:tc>
          <w:tcPr>
            <w:tcW w:w="4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(616) 364-6161</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1805940</wp:posOffset>
            </wp:positionH>
            <wp:positionV relativeFrom="paragraph">
              <wp:posOffset>83185</wp:posOffset>
            </wp:positionV>
            <wp:extent cx="36449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20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12" w:right="239" w:bottom="1440" w:gutter="0" w:footer="0" w:header="0"/>
        </w:sectPr>
      </w:pPr>
    </w:p>
    <w:p>
      <w:pPr>
        <w:spacing w:after="0" w:line="19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4">
            <w:col w:w="2880" w:space="720"/>
            <w:col w:w="1960" w:space="720"/>
            <w:col w:w="1940" w:space="720"/>
            <w:col w:w="2480"/>
          </w:cols>
          <w:pgMar w:left="240" w:top="312" w:right="239" w:bottom="1440" w:gutter="0" w:footer="0" w:header="0"/>
          <w:type w:val="continuous"/>
        </w:sectPr>
      </w:pPr>
    </w:p>
    <w:p>
      <w:pPr>
        <w:spacing w:after="0" w:line="7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checkmark whether the registrant is a shell company (as defined by Rule 12b-2 of the Exchange Act). Yes 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7"/>
          <w:szCs w:val="17"/>
          <w:color w:val="auto"/>
        </w:rPr>
        <w:t>No x</w:t>
      </w:r>
    </w:p>
    <w:p>
      <w:pPr>
        <w:spacing w:after="0" w:line="200" w:lineRule="exact"/>
        <w:rPr>
          <w:sz w:val="24"/>
          <w:szCs w:val="24"/>
          <w:color w:val="auto"/>
        </w:rPr>
      </w:pPr>
    </w:p>
    <w:p>
      <w:pPr>
        <w:sectPr>
          <w:pgSz w:w="11900" w:h="16838" w:orient="portrait"/>
          <w:cols w:equalWidth="0" w:num="2">
            <w:col w:w="8660" w:space="220"/>
            <w:col w:w="2540"/>
          </w:cols>
          <w:pgMar w:left="240" w:top="312" w:right="23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Class</w:t>
            </w:r>
          </w:p>
        </w:tc>
        <w:tc>
          <w:tcPr>
            <w:tcW w:w="460" w:type="dxa"/>
            <w:vAlign w:val="bottom"/>
          </w:tcPr>
          <w:p>
            <w:pPr>
              <w:spacing w:after="0"/>
              <w:rPr>
                <w:sz w:val="20"/>
                <w:szCs w:val="20"/>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Outstanding as of March 26, 2011</w:t>
            </w:r>
          </w:p>
        </w:tc>
        <w:tc>
          <w:tcPr>
            <w:tcW w:w="900" w:type="dxa"/>
            <w:vAlign w:val="bottom"/>
          </w:tcPr>
          <w:p>
            <w:pPr>
              <w:spacing w:after="0"/>
              <w:rPr>
                <w:sz w:val="20"/>
                <w:szCs w:val="20"/>
                <w:color w:val="auto"/>
              </w:rPr>
            </w:pPr>
          </w:p>
        </w:tc>
      </w:tr>
      <w:tr>
        <w:trPr>
          <w:trHeight w:val="224"/>
        </w:trPr>
        <w:tc>
          <w:tcPr>
            <w:tcW w:w="920" w:type="dxa"/>
            <w:vAlign w:val="bottom"/>
          </w:tcPr>
          <w:p>
            <w:pPr>
              <w:spacing w:after="0"/>
              <w:rPr>
                <w:sz w:val="19"/>
                <w:szCs w:val="19"/>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0"/>
              </w:rPr>
              <w:t>Common stock, no par value</w:t>
            </w:r>
          </w:p>
        </w:tc>
        <w:tc>
          <w:tcPr>
            <w:tcW w:w="460" w:type="dxa"/>
            <w:vAlign w:val="bottom"/>
          </w:tcPr>
          <w:p>
            <w:pPr>
              <w:spacing w:after="0"/>
              <w:rPr>
                <w:sz w:val="19"/>
                <w:szCs w:val="19"/>
                <w:color w:val="auto"/>
              </w:rPr>
            </w:pPr>
          </w:p>
        </w:tc>
        <w:tc>
          <w:tcPr>
            <w:tcW w:w="4560" w:type="dxa"/>
            <w:vAlign w:val="bottom"/>
          </w:tcPr>
          <w:p>
            <w:pPr>
              <w:jc w:val="right"/>
              <w:ind w:right="1790"/>
              <w:spacing w:after="0"/>
              <w:rPr>
                <w:sz w:val="20"/>
                <w:szCs w:val="20"/>
                <w:color w:val="auto"/>
              </w:rPr>
            </w:pPr>
            <w:r>
              <w:rPr>
                <w:rFonts w:ascii="Arial" w:cs="Arial" w:eastAsia="Arial" w:hAnsi="Arial"/>
                <w:sz w:val="18"/>
                <w:szCs w:val="18"/>
                <w:color w:val="auto"/>
              </w:rPr>
              <w:t>19,524,953</w:t>
            </w:r>
          </w:p>
        </w:tc>
        <w:tc>
          <w:tcPr>
            <w:tcW w:w="900" w:type="dxa"/>
            <w:vAlign w:val="bottom"/>
          </w:tcPr>
          <w:p>
            <w:pPr>
              <w:spacing w:after="0"/>
              <w:rPr>
                <w:sz w:val="19"/>
                <w:szCs w:val="19"/>
                <w:color w:val="auto"/>
              </w:rPr>
            </w:pPr>
          </w:p>
        </w:tc>
      </w:tr>
      <w:tr>
        <w:trPr>
          <w:trHeight w:val="104"/>
        </w:trPr>
        <w:tc>
          <w:tcPr>
            <w:tcW w:w="9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5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71"/>
        </w:trPr>
        <w:tc>
          <w:tcPr>
            <w:tcW w:w="920" w:type="dxa"/>
            <w:vAlign w:val="bottom"/>
            <w:shd w:val="clear" w:color="auto" w:fill="808080"/>
          </w:tcPr>
          <w:p>
            <w:pPr>
              <w:spacing w:after="0"/>
              <w:rPr>
                <w:sz w:val="6"/>
                <w:szCs w:val="6"/>
                <w:color w:val="auto"/>
              </w:rPr>
            </w:pPr>
          </w:p>
        </w:tc>
        <w:tc>
          <w:tcPr>
            <w:tcW w:w="4580" w:type="dxa"/>
            <w:vAlign w:val="bottom"/>
            <w:shd w:val="clear" w:color="auto" w:fill="808080"/>
          </w:tcPr>
          <w:p>
            <w:pPr>
              <w:spacing w:after="0"/>
              <w:rPr>
                <w:sz w:val="6"/>
                <w:szCs w:val="6"/>
                <w:color w:val="auto"/>
              </w:rPr>
            </w:pPr>
          </w:p>
        </w:tc>
        <w:tc>
          <w:tcPr>
            <w:tcW w:w="460" w:type="dxa"/>
            <w:vAlign w:val="bottom"/>
            <w:shd w:val="clear" w:color="auto" w:fill="808080"/>
          </w:tcPr>
          <w:p>
            <w:pPr>
              <w:spacing w:after="0"/>
              <w:rPr>
                <w:sz w:val="6"/>
                <w:szCs w:val="6"/>
                <w:color w:val="auto"/>
              </w:rPr>
            </w:pPr>
          </w:p>
        </w:tc>
        <w:tc>
          <w:tcPr>
            <w:tcW w:w="4560" w:type="dxa"/>
            <w:vAlign w:val="bottom"/>
            <w:shd w:val="clear" w:color="auto" w:fill="808080"/>
          </w:tcPr>
          <w:p>
            <w:pPr>
              <w:spacing w:after="0"/>
              <w:rPr>
                <w:sz w:val="6"/>
                <w:szCs w:val="6"/>
                <w:color w:val="auto"/>
              </w:rPr>
            </w:pPr>
          </w:p>
        </w:tc>
        <w:tc>
          <w:tcPr>
            <w:tcW w:w="900" w:type="dxa"/>
            <w:vAlign w:val="bottom"/>
            <w:shd w:val="clear" w:color="auto" w:fill="808080"/>
          </w:tcPr>
          <w:p>
            <w:pPr>
              <w:spacing w:after="0"/>
              <w:rPr>
                <w:sz w:val="6"/>
                <w:szCs w:val="6"/>
                <w:color w:val="auto"/>
              </w:rPr>
            </w:pPr>
          </w:p>
        </w:tc>
      </w:tr>
      <w:tr>
        <w:trPr>
          <w:trHeight w:val="510"/>
        </w:trPr>
        <w:tc>
          <w:tcPr>
            <w:tcW w:w="92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1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360" w:type="dxa"/>
            <w:vAlign w:val="bottom"/>
            <w:gridSpan w:val="9"/>
          </w:tcPr>
          <w:p>
            <w:pPr>
              <w:jc w:val="center"/>
              <w:ind w:right="2040"/>
              <w:spacing w:after="0"/>
              <w:rPr>
                <w:sz w:val="20"/>
                <w:szCs w:val="20"/>
                <w:color w:val="auto"/>
              </w:rPr>
            </w:pPr>
            <w:r>
              <w:rPr>
                <w:rFonts w:ascii="Arial" w:cs="Arial" w:eastAsia="Arial" w:hAnsi="Arial"/>
                <w:sz w:val="18"/>
                <w:szCs w:val="18"/>
                <w:b w:val="1"/>
                <w:bCs w:val="1"/>
                <w:color w:val="auto"/>
                <w:w w:val="99"/>
              </w:rPr>
              <w:t>UNIVERSAL FOREST PRODUCTS, INC.</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360" w:type="dxa"/>
            <w:vAlign w:val="bottom"/>
            <w:gridSpan w:val="9"/>
          </w:tcPr>
          <w:p>
            <w:pPr>
              <w:jc w:val="center"/>
              <w:ind w:right="2040"/>
              <w:spacing w:after="0"/>
              <w:rPr>
                <w:sz w:val="20"/>
                <w:szCs w:val="20"/>
                <w:color w:val="auto"/>
              </w:rPr>
            </w:pPr>
            <w:r>
              <w:rPr>
                <w:rFonts w:ascii="Arial" w:cs="Arial" w:eastAsia="Arial" w:hAnsi="Arial"/>
                <w:sz w:val="18"/>
                <w:szCs w:val="18"/>
                <w:b w:val="1"/>
                <w:bCs w:val="1"/>
                <w:color w:val="auto"/>
                <w:w w:val="98"/>
              </w:rPr>
              <w:t>TABLE OF CONTENTS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8"/>
                <w:szCs w:val="18"/>
                <w:b w:val="1"/>
                <w:bCs w:val="1"/>
                <w:color w:val="auto"/>
                <w:w w:val="88"/>
              </w:rPr>
              <w:t>Page No.</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360" w:type="dxa"/>
            <w:vAlign w:val="bottom"/>
            <w:gridSpan w:val="13"/>
          </w:tcPr>
          <w:p>
            <w:pPr>
              <w:ind w:left="200"/>
              <w:spacing w:after="0"/>
              <w:rPr>
                <w:sz w:val="20"/>
                <w:szCs w:val="20"/>
                <w:color w:val="auto"/>
              </w:rPr>
            </w:pPr>
            <w:r>
              <w:rPr>
                <w:rFonts w:ascii="Arial" w:cs="Arial" w:eastAsia="Arial" w:hAnsi="Arial"/>
                <w:sz w:val="18"/>
                <w:szCs w:val="18"/>
                <w:b w:val="1"/>
                <w:bCs w:val="1"/>
                <w:color w:val="auto"/>
              </w:rPr>
              <w:t>FINANCIAL INFORMATION.</w:t>
            </w: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Item 1.</w:t>
            </w:r>
          </w:p>
        </w:tc>
        <w:tc>
          <w:tcPr>
            <w:tcW w:w="9360" w:type="dxa"/>
            <w:vAlign w:val="bottom"/>
            <w:gridSpan w:val="13"/>
            <w:shd w:val="clear" w:color="auto" w:fill="CCEEFF"/>
          </w:tcPr>
          <w:p>
            <w:pPr>
              <w:ind w:left="200"/>
              <w:spacing w:after="0"/>
              <w:rPr>
                <w:sz w:val="20"/>
                <w:szCs w:val="20"/>
                <w:color w:val="auto"/>
              </w:rPr>
            </w:pPr>
            <w:r>
              <w:rPr>
                <w:rFonts w:ascii="Arial" w:cs="Arial" w:eastAsia="Arial" w:hAnsi="Arial"/>
                <w:sz w:val="18"/>
                <w:szCs w:val="18"/>
                <w:color w:val="auto"/>
              </w:rPr>
              <w:t>Financial Statements.</w:t>
            </w: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360" w:type="dxa"/>
            <w:vAlign w:val="bottom"/>
            <w:gridSpan w:val="13"/>
            <w:shd w:val="clear" w:color="auto" w:fill="CCEEFF"/>
          </w:tcPr>
          <w:p>
            <w:pPr>
              <w:ind w:left="2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Condensed Balance Sheets at March 26, 2011, December 25, 2010 and March 27, 2010.</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360" w:type="dxa"/>
            <w:vAlign w:val="bottom"/>
            <w:gridSpan w:val="13"/>
            <w:shd w:val="clear" w:color="auto" w:fill="CCEEFF"/>
          </w:tcPr>
          <w:p>
            <w:pPr>
              <w:ind w:left="200"/>
              <w:spacing w:after="0" w:line="176" w:lineRule="exact"/>
              <w:rPr>
                <w:rFonts w:ascii="Arial" w:cs="Arial" w:eastAsia="Arial" w:hAnsi="Arial"/>
                <w:sz w:val="18"/>
                <w:szCs w:val="18"/>
                <w:color w:val="0000EE"/>
                <w:w w:val="98"/>
              </w:rPr>
            </w:pPr>
            <w:hyperlink w:anchor="page4">
              <w:r>
                <w:rPr>
                  <w:rFonts w:ascii="Arial" w:cs="Arial" w:eastAsia="Arial" w:hAnsi="Arial"/>
                  <w:sz w:val="18"/>
                  <w:szCs w:val="18"/>
                  <w:color w:val="0000EE"/>
                  <w:w w:val="98"/>
                </w:rPr>
                <w:t>Consolidated Condensed Statements of Earnings for the Three Months Ended March 26, 2011 and March 27, 2010.</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360" w:type="dxa"/>
            <w:vAlign w:val="bottom"/>
            <w:gridSpan w:val="13"/>
            <w:shd w:val="clear" w:color="auto" w:fill="CCEEFF"/>
          </w:tcPr>
          <w:p>
            <w:pPr>
              <w:ind w:left="20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Condensed Statements of Equity for the Three Months Ended March 26, 2011 and March 27, 2010.</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360" w:type="dxa"/>
            <w:vAlign w:val="bottom"/>
            <w:gridSpan w:val="13"/>
            <w:shd w:val="clear" w:color="auto" w:fill="CCEEFF"/>
          </w:tcPr>
          <w:p>
            <w:pPr>
              <w:ind w:left="200"/>
              <w:spacing w:after="0" w:line="17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Consolidated Condensed Statements of Cash Flows for the Three Months Ended March 26, 2011 and March 27, 2010.</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360" w:type="dxa"/>
            <w:vAlign w:val="bottom"/>
            <w:gridSpan w:val="13"/>
            <w:shd w:val="clear" w:color="auto" w:fill="CCEEFF"/>
          </w:tcPr>
          <w:p>
            <w:pPr>
              <w:ind w:left="20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Consolidated Condensed Financial Statements.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7 - 14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13"/>
            <w:shd w:val="clear" w:color="auto" w:fill="CCEEFF"/>
          </w:tcPr>
          <w:p>
            <w:pPr>
              <w:ind w:left="20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15 -25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Item 3.</w:t>
            </w:r>
          </w:p>
        </w:tc>
        <w:tc>
          <w:tcPr>
            <w:tcW w:w="9360" w:type="dxa"/>
            <w:vAlign w:val="bottom"/>
            <w:gridSpan w:val="13"/>
            <w:shd w:val="clear" w:color="auto" w:fill="CCEEFF"/>
          </w:tcPr>
          <w:p>
            <w:pPr>
              <w:ind w:left="20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Item 4.</w:t>
            </w:r>
          </w:p>
        </w:tc>
        <w:tc>
          <w:tcPr>
            <w:tcW w:w="9360" w:type="dxa"/>
            <w:vAlign w:val="bottom"/>
            <w:gridSpan w:val="13"/>
            <w:shd w:val="clear" w:color="auto" w:fill="CCEEFF"/>
          </w:tcPr>
          <w:p>
            <w:pPr>
              <w:ind w:left="20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360" w:type="dxa"/>
            <w:vAlign w:val="bottom"/>
            <w:gridSpan w:val="13"/>
            <w:shd w:val="clear" w:color="auto" w:fill="CCEEFF"/>
          </w:tcPr>
          <w:p>
            <w:pPr>
              <w:ind w:left="200"/>
              <w:spacing w:after="0"/>
              <w:rPr>
                <w:sz w:val="20"/>
                <w:szCs w:val="20"/>
                <w:color w:val="auto"/>
              </w:rPr>
            </w:pPr>
            <w:r>
              <w:rPr>
                <w:rFonts w:ascii="Arial" w:cs="Arial" w:eastAsia="Arial" w:hAnsi="Arial"/>
                <w:sz w:val="18"/>
                <w:szCs w:val="18"/>
                <w:b w:val="1"/>
                <w:bCs w:val="1"/>
                <w:color w:val="auto"/>
              </w:rPr>
              <w:t>OTHER INFORMATION.</w:t>
            </w: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Item 1.</w:t>
            </w:r>
          </w:p>
        </w:tc>
        <w:tc>
          <w:tcPr>
            <w:tcW w:w="9360" w:type="dxa"/>
            <w:vAlign w:val="bottom"/>
            <w:gridSpan w:val="13"/>
            <w:shd w:val="clear" w:color="auto" w:fill="CCEEFF"/>
          </w:tcPr>
          <w:p>
            <w:pPr>
              <w:ind w:left="200"/>
              <w:spacing w:after="0"/>
              <w:rPr>
                <w:sz w:val="20"/>
                <w:szCs w:val="20"/>
                <w:color w:val="auto"/>
              </w:rPr>
            </w:pPr>
            <w:r>
              <w:rPr>
                <w:rFonts w:ascii="Arial" w:cs="Arial" w:eastAsia="Arial" w:hAnsi="Arial"/>
                <w:sz w:val="18"/>
                <w:szCs w:val="18"/>
                <w:color w:val="auto"/>
              </w:rPr>
              <w:t>Legal Proceedings - NONE.</w:t>
            </w: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Item 1A.</w:t>
            </w:r>
          </w:p>
        </w:tc>
        <w:tc>
          <w:tcPr>
            <w:tcW w:w="9360" w:type="dxa"/>
            <w:vAlign w:val="bottom"/>
            <w:gridSpan w:val="13"/>
            <w:shd w:val="clear" w:color="auto" w:fill="CCEEFF"/>
          </w:tcPr>
          <w:p>
            <w:pPr>
              <w:ind w:left="200"/>
              <w:spacing w:after="0"/>
              <w:rPr>
                <w:sz w:val="20"/>
                <w:szCs w:val="20"/>
                <w:color w:val="auto"/>
              </w:rPr>
            </w:pPr>
            <w:r>
              <w:rPr>
                <w:rFonts w:ascii="Arial" w:cs="Arial" w:eastAsia="Arial" w:hAnsi="Arial"/>
                <w:sz w:val="18"/>
                <w:szCs w:val="18"/>
                <w:color w:val="auto"/>
              </w:rPr>
              <w:t>Risk Factors - NONE.</w:t>
            </w: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13"/>
            <w:shd w:val="clear" w:color="auto" w:fill="CCEEFF"/>
          </w:tcPr>
          <w:p>
            <w:pPr>
              <w:ind w:left="20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Item 3.</w:t>
            </w:r>
          </w:p>
        </w:tc>
        <w:tc>
          <w:tcPr>
            <w:tcW w:w="9360" w:type="dxa"/>
            <w:vAlign w:val="bottom"/>
            <w:gridSpan w:val="13"/>
            <w:shd w:val="clear" w:color="auto" w:fill="CCEEFF"/>
          </w:tcPr>
          <w:p>
            <w:pPr>
              <w:ind w:left="200"/>
              <w:spacing w:after="0"/>
              <w:rPr>
                <w:sz w:val="20"/>
                <w:szCs w:val="20"/>
                <w:color w:val="auto"/>
              </w:rPr>
            </w:pPr>
            <w:r>
              <w:rPr>
                <w:rFonts w:ascii="Arial" w:cs="Arial" w:eastAsia="Arial" w:hAnsi="Arial"/>
                <w:sz w:val="18"/>
                <w:szCs w:val="18"/>
                <w:color w:val="auto"/>
              </w:rPr>
              <w:t>Defaults Upon Senior Securities - NONE.</w:t>
            </w: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Item 4.</w:t>
            </w:r>
          </w:p>
        </w:tc>
        <w:tc>
          <w:tcPr>
            <w:tcW w:w="9360" w:type="dxa"/>
            <w:vAlign w:val="bottom"/>
            <w:gridSpan w:val="13"/>
            <w:shd w:val="clear" w:color="auto" w:fill="CCEEFF"/>
          </w:tcPr>
          <w:p>
            <w:pPr>
              <w:ind w:left="200"/>
              <w:spacing w:after="0"/>
              <w:rPr>
                <w:sz w:val="20"/>
                <w:szCs w:val="20"/>
                <w:color w:val="auto"/>
              </w:rPr>
            </w:pPr>
            <w:r>
              <w:rPr>
                <w:rFonts w:ascii="Arial" w:cs="Arial" w:eastAsia="Arial" w:hAnsi="Arial"/>
                <w:sz w:val="18"/>
                <w:szCs w:val="18"/>
                <w:color w:val="auto"/>
              </w:rPr>
              <w:t>(Removed and Reserved).</w:t>
            </w: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Item 5.</w:t>
            </w:r>
          </w:p>
        </w:tc>
        <w:tc>
          <w:tcPr>
            <w:tcW w:w="9360" w:type="dxa"/>
            <w:vAlign w:val="bottom"/>
            <w:gridSpan w:val="13"/>
            <w:shd w:val="clear" w:color="auto" w:fill="CCEEFF"/>
          </w:tcPr>
          <w:p>
            <w:pPr>
              <w:ind w:left="20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Item 6.</w:t>
            </w:r>
          </w:p>
        </w:tc>
        <w:tc>
          <w:tcPr>
            <w:tcW w:w="9360" w:type="dxa"/>
            <w:vAlign w:val="bottom"/>
            <w:gridSpan w:val="13"/>
            <w:shd w:val="clear" w:color="auto" w:fill="CCEEFF"/>
          </w:tcPr>
          <w:p>
            <w:pPr>
              <w:ind w:left="20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1360" w:type="dxa"/>
            <w:vAlign w:val="bottom"/>
            <w:tcBorders>
              <w:top w:val="single" w:sz="8" w:color="CCEEFF"/>
              <w:bottom w:val="single" w:sz="8" w:color="808080"/>
            </w:tcBorders>
          </w:tcPr>
          <w:p>
            <w:pPr>
              <w:spacing w:after="0"/>
              <w:rPr>
                <w:sz w:val="24"/>
                <w:szCs w:val="24"/>
                <w:color w:val="auto"/>
              </w:rPr>
            </w:pPr>
          </w:p>
        </w:tc>
        <w:tc>
          <w:tcPr>
            <w:tcW w:w="200" w:type="dxa"/>
            <w:vAlign w:val="bottom"/>
            <w:tcBorders>
              <w:top w:val="single" w:sz="8" w:color="CCEEFF"/>
              <w:bottom w:val="single" w:sz="8" w:color="808080"/>
            </w:tcBorders>
          </w:tcPr>
          <w:p>
            <w:pPr>
              <w:spacing w:after="0"/>
              <w:rPr>
                <w:sz w:val="24"/>
                <w:szCs w:val="24"/>
                <w:color w:val="auto"/>
              </w:rPr>
            </w:pPr>
          </w:p>
        </w:tc>
        <w:tc>
          <w:tcPr>
            <w:tcW w:w="640" w:type="dxa"/>
            <w:vAlign w:val="bottom"/>
            <w:tcBorders>
              <w:top w:val="single" w:sz="8" w:color="0000EE"/>
              <w:bottom w:val="single" w:sz="8" w:color="808080"/>
            </w:tcBorders>
          </w:tcPr>
          <w:p>
            <w:pPr>
              <w:spacing w:after="0"/>
              <w:rPr>
                <w:sz w:val="24"/>
                <w:szCs w:val="24"/>
                <w:color w:val="auto"/>
              </w:rPr>
            </w:pPr>
          </w:p>
        </w:tc>
        <w:tc>
          <w:tcPr>
            <w:tcW w:w="720" w:type="dxa"/>
            <w:vAlign w:val="bottom"/>
            <w:tcBorders>
              <w:top w:val="single" w:sz="8" w:color="CCEEFF"/>
              <w:bottom w:val="single" w:sz="8" w:color="808080"/>
            </w:tcBorders>
          </w:tcPr>
          <w:p>
            <w:pPr>
              <w:spacing w:after="0"/>
              <w:rPr>
                <w:sz w:val="24"/>
                <w:szCs w:val="24"/>
                <w:color w:val="auto"/>
              </w:rPr>
            </w:pPr>
          </w:p>
        </w:tc>
        <w:tc>
          <w:tcPr>
            <w:tcW w:w="440" w:type="dxa"/>
            <w:vAlign w:val="bottom"/>
            <w:tcBorders>
              <w:top w:val="single" w:sz="8" w:color="CCEEFF"/>
              <w:bottom w:val="single" w:sz="8" w:color="808080"/>
            </w:tcBorders>
          </w:tcPr>
          <w:p>
            <w:pPr>
              <w:spacing w:after="0"/>
              <w:rPr>
                <w:sz w:val="24"/>
                <w:szCs w:val="24"/>
                <w:color w:val="auto"/>
              </w:rPr>
            </w:pPr>
          </w:p>
        </w:tc>
        <w:tc>
          <w:tcPr>
            <w:tcW w:w="2240" w:type="dxa"/>
            <w:vAlign w:val="bottom"/>
            <w:tcBorders>
              <w:top w:val="single" w:sz="8" w:color="CCEEFF"/>
              <w:bottom w:val="single" w:sz="8" w:color="808080"/>
            </w:tcBorders>
          </w:tcPr>
          <w:p>
            <w:pPr>
              <w:spacing w:after="0"/>
              <w:rPr>
                <w:sz w:val="24"/>
                <w:szCs w:val="24"/>
                <w:color w:val="auto"/>
              </w:rPr>
            </w:pPr>
          </w:p>
        </w:tc>
        <w:tc>
          <w:tcPr>
            <w:tcW w:w="340" w:type="dxa"/>
            <w:vAlign w:val="bottom"/>
            <w:tcBorders>
              <w:top w:val="single" w:sz="8" w:color="CCEEFF"/>
              <w:bottom w:val="single" w:sz="8" w:color="808080"/>
            </w:tcBorders>
          </w:tcPr>
          <w:p>
            <w:pPr>
              <w:spacing w:after="0"/>
              <w:rPr>
                <w:sz w:val="24"/>
                <w:szCs w:val="24"/>
                <w:color w:val="auto"/>
              </w:rPr>
            </w:pPr>
          </w:p>
        </w:tc>
        <w:tc>
          <w:tcPr>
            <w:tcW w:w="20" w:type="dxa"/>
            <w:vAlign w:val="bottom"/>
            <w:tcBorders>
              <w:top w:val="single" w:sz="8" w:color="CCEEFF"/>
              <w:bottom w:val="single" w:sz="8" w:color="808080"/>
            </w:tcBorders>
          </w:tcPr>
          <w:p>
            <w:pPr>
              <w:spacing w:after="0"/>
              <w:rPr>
                <w:sz w:val="24"/>
                <w:szCs w:val="24"/>
                <w:color w:val="auto"/>
              </w:rPr>
            </w:pPr>
          </w:p>
        </w:tc>
        <w:tc>
          <w:tcPr>
            <w:tcW w:w="2080" w:type="dxa"/>
            <w:vAlign w:val="bottom"/>
            <w:tcBorders>
              <w:top w:val="single" w:sz="8" w:color="CCEEFF"/>
              <w:bottom w:val="single" w:sz="8" w:color="808080"/>
            </w:tcBorders>
          </w:tcPr>
          <w:p>
            <w:pPr>
              <w:spacing w:after="0"/>
              <w:rPr>
                <w:sz w:val="24"/>
                <w:szCs w:val="24"/>
                <w:color w:val="auto"/>
              </w:rPr>
            </w:pPr>
          </w:p>
        </w:tc>
        <w:tc>
          <w:tcPr>
            <w:tcW w:w="860" w:type="dxa"/>
            <w:vAlign w:val="bottom"/>
            <w:tcBorders>
              <w:top w:val="single" w:sz="8" w:color="CCEEFF"/>
              <w:bottom w:val="single" w:sz="8" w:color="808080"/>
            </w:tcBorders>
          </w:tcPr>
          <w:p>
            <w:pPr>
              <w:spacing w:after="0"/>
              <w:rPr>
                <w:sz w:val="24"/>
                <w:szCs w:val="24"/>
                <w:color w:val="auto"/>
              </w:rPr>
            </w:pPr>
          </w:p>
        </w:tc>
        <w:tc>
          <w:tcPr>
            <w:tcW w:w="820" w:type="dxa"/>
            <w:vAlign w:val="bottom"/>
            <w:tcBorders>
              <w:top w:val="single" w:sz="8" w:color="CCEEFF"/>
              <w:bottom w:val="single" w:sz="8" w:color="808080"/>
            </w:tcBorders>
          </w:tcPr>
          <w:p>
            <w:pPr>
              <w:spacing w:after="0"/>
              <w:rPr>
                <w:sz w:val="24"/>
                <w:szCs w:val="24"/>
                <w:color w:val="auto"/>
              </w:rPr>
            </w:pPr>
          </w:p>
        </w:tc>
        <w:tc>
          <w:tcPr>
            <w:tcW w:w="160" w:type="dxa"/>
            <w:vAlign w:val="bottom"/>
            <w:tcBorders>
              <w:top w:val="single" w:sz="8" w:color="CCEEFF"/>
              <w:bottom w:val="single" w:sz="8" w:color="808080"/>
            </w:tcBorders>
          </w:tcPr>
          <w:p>
            <w:pPr>
              <w:spacing w:after="0"/>
              <w:rPr>
                <w:sz w:val="24"/>
                <w:szCs w:val="24"/>
                <w:color w:val="auto"/>
              </w:rPr>
            </w:pPr>
          </w:p>
        </w:tc>
        <w:tc>
          <w:tcPr>
            <w:tcW w:w="200" w:type="dxa"/>
            <w:vAlign w:val="bottom"/>
            <w:tcBorders>
              <w:top w:val="single" w:sz="8" w:color="CCEEFF"/>
              <w:bottom w:val="single" w:sz="8" w:color="808080"/>
            </w:tcBorders>
          </w:tcPr>
          <w:p>
            <w:pPr>
              <w:spacing w:after="0"/>
              <w:rPr>
                <w:sz w:val="24"/>
                <w:szCs w:val="24"/>
                <w:color w:val="auto"/>
              </w:rPr>
            </w:pPr>
          </w:p>
        </w:tc>
        <w:tc>
          <w:tcPr>
            <w:tcW w:w="640" w:type="dxa"/>
            <w:vAlign w:val="bottom"/>
            <w:tcBorders>
              <w:top w:val="single" w:sz="8" w:color="CCEEFF"/>
              <w:bottom w:val="single" w:sz="8" w:color="808080"/>
            </w:tcBorders>
          </w:tcPr>
          <w:p>
            <w:pPr>
              <w:spacing w:after="0"/>
              <w:rPr>
                <w:sz w:val="24"/>
                <w:szCs w:val="24"/>
                <w:color w:val="auto"/>
              </w:rPr>
            </w:pPr>
          </w:p>
        </w:tc>
        <w:tc>
          <w:tcPr>
            <w:tcW w:w="680" w:type="dxa"/>
            <w:vAlign w:val="bottom"/>
            <w:tcBorders>
              <w:top w:val="single" w:sz="8" w:color="CCEEFF"/>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(in thousands, except share data)</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March 26,</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December 25,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March 27,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43,363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182,841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126,780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187,625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Raw materials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146,435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113,049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77,341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243,639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190,390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207,786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 held for sale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Refundable income taxes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456,042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381,999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417,129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11,455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154,702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14,492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516,588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517,793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Accumulated depreciation and amortization</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(299,786)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(295,642)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(287,418)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222,151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227,269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856,076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788,580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820,635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66,612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59,481</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Compensation and benefits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34,821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43,909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14,606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15,135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 and capital lease obligations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190,686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119,894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145,980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LONG-TERM DEBT AND CAPITAL LEASE OBLIGATIONS, less current portion</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52,474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54,579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20,506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12,300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12,276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276,178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207,404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248,777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Controlling interest shareholders' equity:</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Preferred stock, no par value; shares authorized 1,000,000;issued and outstanding, none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320"/>
              <w:spacing w:after="0" w:line="201" w:lineRule="exact"/>
              <w:rPr>
                <w:sz w:val="20"/>
                <w:szCs w:val="20"/>
                <w:color w:val="auto"/>
              </w:rPr>
            </w:pPr>
            <w:r>
              <w:rPr>
                <w:rFonts w:ascii="Arial" w:cs="Arial" w:eastAsia="Arial" w:hAnsi="Arial"/>
                <w:sz w:val="18"/>
                <w:szCs w:val="18"/>
                <w:color w:val="auto"/>
                <w:w w:val="92"/>
              </w:rPr>
              <w:t>Common stock, no par value; shares authorized 40,000,000;issued and outstanding 19,524,953,</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19,333,122 and 19,361,407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19,525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19,333</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138,573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410,438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414,108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409,605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earnings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Employee stock notes receivable</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(1,493)</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573,257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574,509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6,641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6,667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6,493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EQUITY</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581,176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571,858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856,076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788,580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820,635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unaudited consolidated condensed financial statements.</w:t>
      </w:r>
    </w:p>
    <w:p>
      <w:pPr>
        <w:sectPr>
          <w:pgSz w:w="11900" w:h="16838" w:orient="portrait"/>
          <w:cols w:equalWidth="0" w:num="1">
            <w:col w:w="11420"/>
          </w:cols>
          <w:pgMar w:left="240" w:top="121" w:right="2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560" w:type="dxa"/>
            <w:vAlign w:val="bottom"/>
            <w:gridSpan w:val="3"/>
          </w:tcPr>
          <w:p>
            <w:pPr>
              <w:spacing w:after="0"/>
              <w:rPr>
                <w:rFonts w:ascii="Arial" w:cs="Arial" w:eastAsia="Arial" w:hAnsi="Arial"/>
                <w:sz w:val="14"/>
                <w:szCs w:val="14"/>
                <w:b w:val="1"/>
                <w:bCs w:val="1"/>
                <w:i w:val="1"/>
                <w:iCs w:val="1"/>
                <w:color w:val="0000EE"/>
              </w:rPr>
            </w:pPr>
            <w:hyperlink w:anchor="page2">
              <w:r>
                <w:rPr>
                  <w:rFonts w:ascii="Arial" w:cs="Arial" w:eastAsia="Arial" w:hAnsi="Arial"/>
                  <w:sz w:val="14"/>
                  <w:szCs w:val="14"/>
                  <w:b w:val="1"/>
                  <w:bCs w:val="1"/>
                  <w:i w:val="1"/>
                  <w:iCs w:val="1"/>
                  <w:color w:val="0000EE"/>
                </w:rPr>
                <w:t>Table of Contents</w:t>
              </w:r>
            </w:hyperlink>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7500" w:type="dxa"/>
            <w:vAlign w:val="bottom"/>
          </w:tcPr>
          <w:p>
            <w:pPr>
              <w:jc w:val="center"/>
              <w:ind w:left="1730"/>
              <w:spacing w:after="0"/>
              <w:rPr>
                <w:sz w:val="20"/>
                <w:szCs w:val="20"/>
                <w:color w:val="auto"/>
              </w:rPr>
            </w:pPr>
            <w:r>
              <w:rPr>
                <w:rFonts w:ascii="Arial" w:cs="Arial" w:eastAsia="Arial" w:hAnsi="Arial"/>
                <w:sz w:val="18"/>
                <w:szCs w:val="18"/>
                <w:b w:val="1"/>
                <w:bCs w:val="1"/>
                <w:color w:val="auto"/>
                <w:w w:val="99"/>
              </w:rPr>
              <w:t>UNIVERSAL FOREST PRODUCTS, INC.</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500" w:type="dxa"/>
            <w:vAlign w:val="bottom"/>
          </w:tcPr>
          <w:p>
            <w:pPr>
              <w:jc w:val="center"/>
              <w:ind w:left="1730"/>
              <w:spacing w:after="0"/>
              <w:rPr>
                <w:sz w:val="20"/>
                <w:szCs w:val="20"/>
                <w:color w:val="auto"/>
              </w:rPr>
            </w:pPr>
            <w:r>
              <w:rPr>
                <w:rFonts w:ascii="Arial" w:cs="Arial" w:eastAsia="Arial" w:hAnsi="Arial"/>
                <w:sz w:val="18"/>
                <w:szCs w:val="18"/>
                <w:b w:val="1"/>
                <w:bCs w:val="1"/>
                <w:color w:val="auto"/>
                <w:w w:val="99"/>
              </w:rPr>
              <w:t>CONSOLIDATED CONDENSED STATEMENTS OF EARNINGS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500" w:type="dxa"/>
            <w:vAlign w:val="bottom"/>
          </w:tcPr>
          <w:p>
            <w:pPr>
              <w:jc w:val="center"/>
              <w:ind w:left="1710"/>
              <w:spacing w:after="0"/>
              <w:rPr>
                <w:sz w:val="20"/>
                <w:szCs w:val="20"/>
                <w:color w:val="auto"/>
              </w:rPr>
            </w:pPr>
            <w:r>
              <w:rPr>
                <w:rFonts w:ascii="Arial" w:cs="Arial" w:eastAsia="Arial" w:hAnsi="Arial"/>
                <w:sz w:val="18"/>
                <w:szCs w:val="18"/>
                <w:b w:val="1"/>
                <w:bCs w:val="1"/>
                <w:color w:val="auto"/>
                <w:w w:val="93"/>
              </w:rPr>
              <w:t>(Unaudited)</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560" w:type="dxa"/>
            <w:vAlign w:val="bottom"/>
            <w:gridSpan w:val="3"/>
          </w:tcPr>
          <w:p>
            <w:pPr>
              <w:spacing w:after="0"/>
              <w:rPr>
                <w:sz w:val="20"/>
                <w:szCs w:val="20"/>
                <w:color w:val="auto"/>
              </w:rPr>
            </w:pPr>
            <w:r>
              <w:rPr>
                <w:rFonts w:ascii="Arial" w:cs="Arial" w:eastAsia="Arial" w:hAnsi="Arial"/>
                <w:sz w:val="18"/>
                <w:szCs w:val="18"/>
                <w:color w:val="auto"/>
              </w:rPr>
              <w:t>(in thousands, except per share data)</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6"/>
          </w:tcPr>
          <w:p>
            <w:pPr>
              <w:jc w:val="right"/>
              <w:ind w:right="6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280"/>
              <w:spacing w:after="0" w:line="201" w:lineRule="exact"/>
              <w:rPr>
                <w:sz w:val="20"/>
                <w:szCs w:val="20"/>
                <w:color w:val="auto"/>
              </w:rPr>
            </w:pPr>
            <w:r>
              <w:rPr>
                <w:rFonts w:ascii="Arial" w:cs="Arial" w:eastAsia="Arial" w:hAnsi="Arial"/>
                <w:sz w:val="18"/>
                <w:szCs w:val="18"/>
                <w:color w:val="auto"/>
                <w:w w:val="92"/>
              </w:rPr>
              <w:t>March 26,</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w w:val="97"/>
              </w:rPr>
              <w:t>March 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387,233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392,958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345,819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341,324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75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41,414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NET LOSS ON DISPOSITION OF ASSETS AND OTHER IMPAIRMENT AND EXIT CHARGES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EARNINGS (LOSS) FROM OPERATIONS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(5,081)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635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EARNINGS (LOSS) BEFORE INCOME TAXES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INCOME TAXES (BENEFIT)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NET EARNINGS (LOSS)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NET EARNINGS (LOSS) ATTRIBUTABLE TO CONTROLLING INTEREST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(3,670)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EARNINGS (LOSS) PER SHARE - BASIC</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(0.19)</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EARNINGS (LOSS) PER SHARE - DILUTED</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(0.19)</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spacing w:after="0"/>
              <w:rPr>
                <w:sz w:val="18"/>
                <w:szCs w:val="18"/>
                <w:color w:val="auto"/>
              </w:rPr>
            </w:pPr>
          </w:p>
        </w:tc>
        <w:tc>
          <w:tcPr>
            <w:tcW w:w="7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WEIGHTED AVERAGE SHARES OUTSTANDING FOR BASIC EARNINGS (LOSS)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19,306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19,258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WEIGHTED AVERAGE SHARES OUTSTANDING FOR DILUTED EARNINGS (LOSS)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19,306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19,517</w:t>
            </w:r>
          </w:p>
        </w:tc>
        <w:tc>
          <w:tcPr>
            <w:tcW w:w="0" w:type="dxa"/>
            <w:vAlign w:val="bottom"/>
          </w:tcPr>
          <w:p>
            <w:pPr>
              <w:spacing w:after="0"/>
              <w:rPr>
                <w:sz w:val="1"/>
                <w:szCs w:val="1"/>
                <w:color w:val="auto"/>
              </w:rPr>
            </w:pPr>
          </w:p>
        </w:tc>
      </w:tr>
      <w:tr>
        <w:trPr>
          <w:trHeight w:val="445"/>
        </w:trPr>
        <w:tc>
          <w:tcPr>
            <w:tcW w:w="8560" w:type="dxa"/>
            <w:vAlign w:val="bottom"/>
            <w:gridSpan w:val="3"/>
          </w:tcPr>
          <w:p>
            <w:pPr>
              <w:spacing w:after="0"/>
              <w:rPr>
                <w:sz w:val="20"/>
                <w:szCs w:val="20"/>
                <w:color w:val="auto"/>
              </w:rPr>
            </w:pPr>
            <w:r>
              <w:rPr>
                <w:rFonts w:ascii="Arial" w:cs="Arial" w:eastAsia="Arial" w:hAnsi="Arial"/>
                <w:sz w:val="18"/>
                <w:szCs w:val="18"/>
                <w:b w:val="1"/>
                <w:bCs w:val="1"/>
                <w:color w:val="auto"/>
              </w:rPr>
              <w:t>See notes to unaudited consolidated condensed financial statements.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gridSpan w:val="3"/>
          </w:tcPr>
          <w:p>
            <w:pPr>
              <w:spacing w:after="0"/>
              <w:rPr>
                <w:sz w:val="20"/>
                <w:szCs w:val="20"/>
                <w:color w:val="auto"/>
              </w:rPr>
            </w:pPr>
            <w:r>
              <w:rPr>
                <w:rFonts w:ascii="Arial" w:cs="Arial" w:eastAsia="Arial" w:hAnsi="Arial"/>
                <w:sz w:val="18"/>
                <w:szCs w:val="18"/>
                <w:color w:val="auto"/>
                <w:w w:val="88"/>
              </w:rPr>
              <w:t>(in thousands, except share and per share data)</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20" w:type="dxa"/>
            <w:vAlign w:val="bottom"/>
            <w:gridSpan w:val="9"/>
            <w:vMerge w:val="restart"/>
          </w:tcPr>
          <w:p>
            <w:pPr>
              <w:ind w:left="60"/>
              <w:spacing w:after="0"/>
              <w:rPr>
                <w:sz w:val="20"/>
                <w:szCs w:val="20"/>
                <w:color w:val="auto"/>
              </w:rPr>
            </w:pPr>
            <w:r>
              <w:rPr>
                <w:rFonts w:ascii="Arial" w:cs="Arial" w:eastAsia="Arial" w:hAnsi="Arial"/>
                <w:sz w:val="18"/>
                <w:szCs w:val="18"/>
                <w:color w:val="auto"/>
              </w:rPr>
              <w:t>Controlling Interest Shareholders' Equity</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9"/>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center"/>
              <w:ind w:right="100"/>
              <w:spacing w:after="0" w:line="201" w:lineRule="exact"/>
              <w:rPr>
                <w:sz w:val="20"/>
                <w:szCs w:val="20"/>
                <w:color w:val="auto"/>
              </w:rPr>
            </w:pPr>
            <w:r>
              <w:rPr>
                <w:rFonts w:ascii="Arial" w:cs="Arial" w:eastAsia="Arial" w:hAnsi="Arial"/>
                <w:sz w:val="18"/>
                <w:szCs w:val="18"/>
                <w:color w:val="auto"/>
                <w:w w:val="92"/>
              </w:rPr>
              <w:t>Accumulated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Additional</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Other</w:t>
            </w:r>
          </w:p>
        </w:tc>
        <w:tc>
          <w:tcPr>
            <w:tcW w:w="10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4"/>
              </w:rPr>
              <w:t>Employees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Common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Paid-In</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Retained</w:t>
            </w:r>
          </w:p>
        </w:tc>
        <w:tc>
          <w:tcPr>
            <w:tcW w:w="1300" w:type="dxa"/>
            <w:vAlign w:val="bottom"/>
            <w:gridSpan w:val="4"/>
          </w:tcPr>
          <w:p>
            <w:pPr>
              <w:ind w:left="80"/>
              <w:spacing w:after="0"/>
              <w:rPr>
                <w:sz w:val="20"/>
                <w:szCs w:val="20"/>
                <w:color w:val="auto"/>
              </w:rPr>
            </w:pPr>
            <w:r>
              <w:rPr>
                <w:rFonts w:ascii="Arial" w:cs="Arial" w:eastAsia="Arial" w:hAnsi="Arial"/>
                <w:sz w:val="18"/>
                <w:szCs w:val="18"/>
                <w:color w:val="auto"/>
                <w:w w:val="95"/>
              </w:rPr>
              <w:t>Comprehensive</w:t>
            </w:r>
          </w:p>
        </w:tc>
        <w:tc>
          <w:tcPr>
            <w:tcW w:w="10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color w:val="auto"/>
              </w:rPr>
              <w:t>Stock Notes</w:t>
            </w:r>
          </w:p>
        </w:tc>
        <w:tc>
          <w:tcPr>
            <w:tcW w:w="1300" w:type="dxa"/>
            <w:vAlign w:val="bottom"/>
            <w:gridSpan w:val="3"/>
          </w:tcPr>
          <w:p>
            <w:pPr>
              <w:spacing w:after="0"/>
              <w:rPr>
                <w:sz w:val="20"/>
                <w:szCs w:val="20"/>
                <w:color w:val="auto"/>
              </w:rPr>
            </w:pPr>
            <w:r>
              <w:rPr>
                <w:rFonts w:ascii="Arial" w:cs="Arial" w:eastAsia="Arial" w:hAnsi="Arial"/>
                <w:sz w:val="18"/>
                <w:szCs w:val="18"/>
                <w:color w:val="auto"/>
              </w:rPr>
              <w:t>Noncontrolling</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Stock</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Capital</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Earnings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Earnings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Receivable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Interest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26, 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19,285</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132,765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409,278</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3,633</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(1,743)</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5,728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568,946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w w:val="98"/>
              </w:rPr>
              <w:t>Foreign currency translation adjustment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comprehensive earnings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Distributions to noncontrolling interest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Issuance of 14,945 shares under employee</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plans</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tcPr>
          <w:p>
            <w:pPr>
              <w:spacing w:after="0" w:line="201" w:lineRule="exact"/>
              <w:rPr>
                <w:sz w:val="20"/>
                <w:szCs w:val="20"/>
                <w:color w:val="auto"/>
              </w:rPr>
            </w:pPr>
            <w:r>
              <w:rPr>
                <w:rFonts w:ascii="Arial" w:cs="Arial" w:eastAsia="Arial" w:hAnsi="Arial"/>
                <w:sz w:val="18"/>
                <w:szCs w:val="18"/>
                <w:color w:val="auto"/>
                <w:w w:val="92"/>
              </w:rPr>
              <w:t>Issuance of 76,045 shares under stock grant</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programs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5,830 shares under deferred</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 plans</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Repurchase of 20,000 shares</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benefits from non-qualified stock</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exercised</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tcPr>
          <w:p>
            <w:pPr>
              <w:spacing w:after="0" w:line="201" w:lineRule="exact"/>
              <w:rPr>
                <w:sz w:val="20"/>
                <w:szCs w:val="20"/>
                <w:color w:val="auto"/>
              </w:rPr>
            </w:pPr>
            <w:r>
              <w:rPr>
                <w:rFonts w:ascii="Arial" w:cs="Arial" w:eastAsia="Arial" w:hAnsi="Arial"/>
                <w:sz w:val="18"/>
                <w:szCs w:val="18"/>
                <w:color w:val="auto"/>
              </w:rPr>
              <w:t>Expense associated with share-based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compensation arrangements</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Accrued expense under deferred</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 plans</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Notes receivable adjustment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Payments received on employee stock notes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receivable</w:t>
            </w: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Balance at March 27, 2010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19,361</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134,109</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409,605</w:t>
            </w:r>
          </w:p>
        </w:tc>
        <w:tc>
          <w:tcPr>
            <w:tcW w:w="2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4,061</w:t>
            </w:r>
          </w:p>
        </w:tc>
        <w:tc>
          <w:tcPr>
            <w:tcW w:w="3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(1,771)</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6,493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571,858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Balance at December 25, 2010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19,333</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138,573</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414,108</w:t>
            </w:r>
          </w:p>
        </w:tc>
        <w:tc>
          <w:tcPr>
            <w:tcW w:w="2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4,165</w:t>
            </w:r>
          </w:p>
        </w:tc>
        <w:tc>
          <w:tcPr>
            <w:tcW w:w="3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(1,670)</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6,667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581,176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Net earnings (loss)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(3,670)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Foreign currency translation adjustment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Total comprehensive loss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 of additional noncontrolling</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tcPr>
          <w:p>
            <w:pPr>
              <w:spacing w:after="0" w:line="201" w:lineRule="exact"/>
              <w:rPr>
                <w:sz w:val="20"/>
                <w:szCs w:val="20"/>
                <w:color w:val="auto"/>
              </w:rPr>
            </w:pPr>
            <w:r>
              <w:rPr>
                <w:rFonts w:ascii="Arial" w:cs="Arial" w:eastAsia="Arial" w:hAnsi="Arial"/>
                <w:sz w:val="18"/>
                <w:szCs w:val="18"/>
                <w:color w:val="auto"/>
              </w:rPr>
              <w:t>Capital contribution from noncontrolling</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noncontrolling interest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tcPr>
          <w:p>
            <w:pPr>
              <w:spacing w:after="0" w:line="201" w:lineRule="exact"/>
              <w:rPr>
                <w:sz w:val="20"/>
                <w:szCs w:val="20"/>
                <w:color w:val="auto"/>
              </w:rPr>
            </w:pPr>
            <w:r>
              <w:rPr>
                <w:rFonts w:ascii="Arial" w:cs="Arial" w:eastAsia="Arial" w:hAnsi="Arial"/>
                <w:sz w:val="18"/>
                <w:szCs w:val="18"/>
                <w:color w:val="auto"/>
                <w:w w:val="95"/>
              </w:rPr>
              <w:t>Issuance of 24,738 shares under employee</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stock plans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164,201 shares under stock</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 programs</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tcPr>
          <w:p>
            <w:pPr>
              <w:spacing w:after="0" w:line="201" w:lineRule="exact"/>
              <w:rPr>
                <w:sz w:val="20"/>
                <w:szCs w:val="20"/>
                <w:color w:val="auto"/>
              </w:rPr>
            </w:pPr>
            <w:r>
              <w:rPr>
                <w:rFonts w:ascii="Arial" w:cs="Arial" w:eastAsia="Arial" w:hAnsi="Arial"/>
                <w:sz w:val="18"/>
                <w:szCs w:val="18"/>
                <w:color w:val="auto"/>
              </w:rPr>
              <w:t>Issuance of 3,213 shares under deferred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compensation plans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benefits from non-qualified stock</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exercised</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tcPr>
          <w:p>
            <w:pPr>
              <w:spacing w:after="0" w:line="201" w:lineRule="exact"/>
              <w:rPr>
                <w:sz w:val="20"/>
                <w:szCs w:val="20"/>
                <w:color w:val="auto"/>
              </w:rPr>
            </w:pPr>
            <w:r>
              <w:rPr>
                <w:rFonts w:ascii="Arial" w:cs="Arial" w:eastAsia="Arial" w:hAnsi="Arial"/>
                <w:sz w:val="18"/>
                <w:szCs w:val="18"/>
                <w:color w:val="auto"/>
              </w:rPr>
              <w:t>Expense associated with share-based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compensation arrangements</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Accrued expense under deferred</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 plans</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Notes receivable adjustment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Payments received on employee stock notes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receivable</w:t>
            </w: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Balance at March 26, 2011</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19,525</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140,083</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410,438</w:t>
            </w:r>
          </w:p>
        </w:tc>
        <w:tc>
          <w:tcPr>
            <w:tcW w:w="2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4,704</w:t>
            </w:r>
          </w:p>
        </w:tc>
        <w:tc>
          <w:tcPr>
            <w:tcW w:w="3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(1,493)</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6,641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579,898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unaudited consolidated condensed financial statements.</w:t>
      </w:r>
    </w:p>
    <w:p>
      <w:pPr>
        <w:sectPr>
          <w:pgSz w:w="11900" w:h="16838" w:orient="portrait"/>
          <w:cols w:equalWidth="0" w:num="1">
            <w:col w:w="11420"/>
          </w:cols>
          <w:pgMar w:left="240" w:top="122" w:right="2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620" w:type="dxa"/>
            <w:vAlign w:val="bottom"/>
            <w:gridSpan w:val="3"/>
          </w:tcPr>
          <w:p>
            <w:pPr>
              <w:spacing w:after="0"/>
              <w:rPr>
                <w:rFonts w:ascii="Arial" w:cs="Arial" w:eastAsia="Arial" w:hAnsi="Arial"/>
                <w:sz w:val="14"/>
                <w:szCs w:val="14"/>
                <w:b w:val="1"/>
                <w:bCs w:val="1"/>
                <w:i w:val="1"/>
                <w:iCs w:val="1"/>
                <w:color w:val="0000EE"/>
              </w:rPr>
            </w:pPr>
            <w:hyperlink w:anchor="page2">
              <w:r>
                <w:rPr>
                  <w:rFonts w:ascii="Arial" w:cs="Arial" w:eastAsia="Arial" w:hAnsi="Arial"/>
                  <w:sz w:val="14"/>
                  <w:szCs w:val="14"/>
                  <w:b w:val="1"/>
                  <w:bCs w:val="1"/>
                  <w:i w:val="1"/>
                  <w:iCs w:val="1"/>
                  <w:color w:val="0000EE"/>
                </w:rPr>
                <w:t>Table of Contents</w:t>
              </w:r>
            </w:hyperlink>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7560" w:type="dxa"/>
            <w:vAlign w:val="bottom"/>
          </w:tcPr>
          <w:p>
            <w:pPr>
              <w:jc w:val="center"/>
              <w:ind w:left="1670"/>
              <w:spacing w:after="0"/>
              <w:rPr>
                <w:sz w:val="20"/>
                <w:szCs w:val="20"/>
                <w:color w:val="auto"/>
              </w:rPr>
            </w:pPr>
            <w:r>
              <w:rPr>
                <w:rFonts w:ascii="Arial" w:cs="Arial" w:eastAsia="Arial" w:hAnsi="Arial"/>
                <w:sz w:val="18"/>
                <w:szCs w:val="18"/>
                <w:b w:val="1"/>
                <w:bCs w:val="1"/>
                <w:color w:val="auto"/>
                <w:w w:val="99"/>
              </w:rPr>
              <w:t>UNIVERSAL FOREST PRODUCTS, INC.</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560" w:type="dxa"/>
            <w:vAlign w:val="bottom"/>
          </w:tcPr>
          <w:p>
            <w:pPr>
              <w:jc w:val="center"/>
              <w:ind w:left="1670"/>
              <w:spacing w:after="0"/>
              <w:rPr>
                <w:sz w:val="20"/>
                <w:szCs w:val="20"/>
                <w:color w:val="auto"/>
              </w:rPr>
            </w:pPr>
            <w:r>
              <w:rPr>
                <w:rFonts w:ascii="Arial" w:cs="Arial" w:eastAsia="Arial" w:hAnsi="Arial"/>
                <w:sz w:val="18"/>
                <w:szCs w:val="18"/>
                <w:b w:val="1"/>
                <w:bCs w:val="1"/>
                <w:color w:val="auto"/>
                <w:w w:val="98"/>
              </w:rPr>
              <w:t>CONSOLIDATED CONDENSED STATEMENTS OF CASH FLOWS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560" w:type="dxa"/>
            <w:vAlign w:val="bottom"/>
          </w:tcPr>
          <w:p>
            <w:pPr>
              <w:jc w:val="center"/>
              <w:ind w:left="165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62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6"/>
            <w:vMerge w:val="restart"/>
          </w:tcPr>
          <w:p>
            <w:pPr>
              <w:jc w:val="right"/>
              <w:ind w:right="6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280"/>
              <w:spacing w:after="0" w:line="201" w:lineRule="exact"/>
              <w:rPr>
                <w:sz w:val="20"/>
                <w:szCs w:val="20"/>
                <w:color w:val="auto"/>
              </w:rPr>
            </w:pPr>
            <w:r>
              <w:rPr>
                <w:rFonts w:ascii="Arial" w:cs="Arial" w:eastAsia="Arial" w:hAnsi="Arial"/>
                <w:sz w:val="18"/>
                <w:szCs w:val="18"/>
                <w:color w:val="auto"/>
                <w:w w:val="92"/>
              </w:rPr>
              <w:t>March 26,</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w w:val="97"/>
              </w:rPr>
              <w:t>March 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(loss) attributable to controlling interest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Adjustments to reconcile net earnings (loss) attributable to controlling interest to net cash from operating activities: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6,902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Expense associated with share-based compensation arrangements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Excess tax benefits from share-based compensation arrangements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Deferred income tax credit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earnings attributable to noncontrolling interest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Net gain on sale or impairment of property, plant and equipment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(55,869)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(80,239)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7,035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liabilities and other</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NET CASH FROM OPERATING ACTIVITIES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(109,438)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(77,643)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Acquisitions, net of cash received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 of property, plant and equipment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Collections of notes receivable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NET CASH FROM INVESTING ACTIVITIES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(5,864)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(5,039)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borrowings under revolving credit facilities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71,817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Proceeds from issuance of common stock</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additional noncontrolling interest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Distributions to noncontrolling interest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contribution from noncontrolling interest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Repurchase of common stock</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Excess tax benefits from share-based compensation arrangements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CASH FROM FINANCING ACTIVITIES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71,939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75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(43,363)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43,363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67,410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SUPPLEMENTAL SCHEDULE OF CASH FLOW INFORMATION: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Interest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Common stock issued under deferred compensation plans</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unaudited consolidated condensed financial statements.</w:t>
      </w:r>
    </w:p>
    <w:p>
      <w:pPr>
        <w:sectPr>
          <w:pgSz w:w="11900" w:h="16838" w:orient="portrait"/>
          <w:cols w:equalWidth="0" w:num="1">
            <w:col w:w="11420"/>
          </w:cols>
          <w:pgMar w:left="240" w:top="114" w:right="2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6" w:name="page7"/>
    <w:bookmarkEnd w:id="6"/>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234"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56" w:lineRule="exact"/>
        <w:rPr>
          <w:rFonts w:ascii="Arial" w:cs="Arial" w:eastAsia="Arial" w:hAnsi="Arial"/>
          <w:sz w:val="18"/>
          <w:szCs w:val="18"/>
          <w:b w:val="1"/>
          <w:bCs w:val="1"/>
          <w:color w:val="auto"/>
        </w:rPr>
      </w:pPr>
    </w:p>
    <w:p>
      <w:pPr>
        <w:jc w:val="both"/>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of the information and footnotes normally included in the annual consolidated financial statements prepared in accordance with accounting principles generally accepted in the United States. All intercompany transactions and balances have been eliminated.</w:t>
      </w:r>
    </w:p>
    <w:p>
      <w:pPr>
        <w:spacing w:after="0" w:line="215"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25, 2010.</w:t>
      </w:r>
    </w:p>
    <w:p>
      <w:pPr>
        <w:spacing w:after="0" w:line="21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Certain prior year information has been reclassified to conform to the current year presentation.</w:t>
      </w:r>
    </w:p>
    <w:p>
      <w:pPr>
        <w:spacing w:after="0" w:line="248" w:lineRule="exact"/>
        <w:rPr>
          <w:rFonts w:ascii="Arial" w:cs="Arial" w:eastAsia="Arial" w:hAnsi="Arial"/>
          <w:sz w:val="18"/>
          <w:szCs w:val="18"/>
          <w:b w:val="1"/>
          <w:bCs w:val="1"/>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56"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 xml:space="preserve">We apply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assets and liabilities measured at fair value. Assets measured at fair value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color w:val="auto"/>
                <w:w w:val="91"/>
              </w:rPr>
              <w:t>March 26, 2011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8"/>
                <w:szCs w:val="18"/>
                <w:color w:val="auto"/>
                <w:w w:val="91"/>
              </w:rPr>
              <w:t>March 27, 2010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2"/>
        </w:trPr>
        <w:tc>
          <w:tcPr>
            <w:tcW w:w="5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240"/>
              <w:spacing w:after="0" w:line="201" w:lineRule="exact"/>
              <w:rPr>
                <w:sz w:val="20"/>
                <w:szCs w:val="20"/>
                <w:color w:val="auto"/>
              </w:rPr>
            </w:pPr>
            <w:r>
              <w:rPr>
                <w:rFonts w:ascii="Arial" w:cs="Arial" w:eastAsia="Arial" w:hAnsi="Arial"/>
                <w:sz w:val="18"/>
                <w:szCs w:val="18"/>
                <w:color w:val="auto"/>
                <w:w w:val="94"/>
              </w:rPr>
              <w:t>Prices with</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center"/>
              <w:ind w:right="340"/>
              <w:spacing w:after="0" w:line="201" w:lineRule="exact"/>
              <w:rPr>
                <w:sz w:val="20"/>
                <w:szCs w:val="20"/>
                <w:color w:val="auto"/>
              </w:rPr>
            </w:pPr>
            <w:r>
              <w:rPr>
                <w:rFonts w:ascii="Arial" w:cs="Arial" w:eastAsia="Arial" w:hAnsi="Arial"/>
                <w:sz w:val="18"/>
                <w:szCs w:val="18"/>
                <w:color w:val="auto"/>
                <w:w w:val="91"/>
              </w:rPr>
              <w:t>Prices with</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9"/>
              </w:rPr>
              <w:t>Quoted Prices</w:t>
            </w:r>
          </w:p>
        </w:tc>
        <w:tc>
          <w:tcPr>
            <w:tcW w:w="10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Other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7"/>
              </w:rPr>
              <w:t>Quoted Prices</w:t>
            </w:r>
          </w:p>
        </w:tc>
        <w:tc>
          <w:tcPr>
            <w:tcW w:w="100" w:type="dxa"/>
            <w:vAlign w:val="bottom"/>
          </w:tcPr>
          <w:p>
            <w:pPr>
              <w:spacing w:after="0"/>
              <w:rPr>
                <w:sz w:val="18"/>
                <w:szCs w:val="18"/>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8"/>
                <w:szCs w:val="18"/>
                <w:color w:val="auto"/>
                <w:w w:val="88"/>
              </w:rPr>
              <w:t>Other</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color w:val="auto"/>
                <w:w w:val="96"/>
              </w:rPr>
              <w:t>in Active</w:t>
            </w:r>
          </w:p>
        </w:tc>
        <w:tc>
          <w:tcPr>
            <w:tcW w:w="10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Observable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color w:val="auto"/>
                <w:w w:val="99"/>
              </w:rPr>
              <w:t>in Active</w:t>
            </w:r>
          </w:p>
        </w:tc>
        <w:tc>
          <w:tcPr>
            <w:tcW w:w="100" w:type="dxa"/>
            <w:vAlign w:val="bottom"/>
          </w:tcPr>
          <w:p>
            <w:pPr>
              <w:spacing w:after="0"/>
              <w:rPr>
                <w:sz w:val="18"/>
                <w:szCs w:val="18"/>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8"/>
                <w:szCs w:val="18"/>
                <w:color w:val="auto"/>
                <w:w w:val="89"/>
              </w:rPr>
              <w:t>Observable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color w:val="auto"/>
                <w:w w:val="93"/>
              </w:rPr>
              <w:t>Markets</w:t>
            </w:r>
          </w:p>
        </w:tc>
        <w:tc>
          <w:tcPr>
            <w:tcW w:w="10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Inputs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color w:val="auto"/>
                <w:w w:val="93"/>
              </w:rPr>
              <w:t>Markets</w:t>
            </w:r>
          </w:p>
        </w:tc>
        <w:tc>
          <w:tcPr>
            <w:tcW w:w="100" w:type="dxa"/>
            <w:vAlign w:val="bottom"/>
          </w:tcPr>
          <w:p>
            <w:pPr>
              <w:spacing w:after="0"/>
              <w:rPr>
                <w:sz w:val="18"/>
                <w:szCs w:val="18"/>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Inputs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7"/>
        </w:trPr>
        <w:tc>
          <w:tcPr>
            <w:tcW w:w="500" w:type="dxa"/>
            <w:vAlign w:val="bottom"/>
          </w:tcPr>
          <w:p>
            <w:pPr>
              <w:spacing w:after="0"/>
              <w:rPr>
                <w:sz w:val="20"/>
                <w:szCs w:val="20"/>
                <w:color w:val="auto"/>
              </w:rPr>
            </w:pPr>
          </w:p>
        </w:tc>
        <w:tc>
          <w:tcPr>
            <w:tcW w:w="2420" w:type="dxa"/>
            <w:vAlign w:val="bottom"/>
          </w:tcPr>
          <w:p>
            <w:pPr>
              <w:ind w:left="16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color w:val="auto"/>
                <w:w w:val="94"/>
              </w:rPr>
              <w:t>(Level 1)</w:t>
            </w:r>
          </w:p>
        </w:tc>
        <w:tc>
          <w:tcPr>
            <w:tcW w:w="100" w:type="dxa"/>
            <w:vAlign w:val="bottom"/>
          </w:tcPr>
          <w:p>
            <w:pPr>
              <w:spacing w:after="0"/>
              <w:rPr>
                <w:sz w:val="20"/>
                <w:szCs w:val="20"/>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(Level 2)</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color w:val="auto"/>
                <w:w w:val="97"/>
              </w:rPr>
              <w:t>(Level 1)</w:t>
            </w:r>
          </w:p>
        </w:tc>
        <w:tc>
          <w:tcPr>
            <w:tcW w:w="100" w:type="dxa"/>
            <w:vAlign w:val="bottom"/>
          </w:tcPr>
          <w:p>
            <w:pPr>
              <w:spacing w:after="0"/>
              <w:rPr>
                <w:sz w:val="20"/>
                <w:szCs w:val="20"/>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8"/>
                <w:szCs w:val="18"/>
                <w:color w:val="auto"/>
                <w:w w:val="94"/>
              </w:rPr>
              <w:t>(Level 2)</w:t>
            </w: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20"/>
                <w:szCs w:val="20"/>
                <w:color w:val="auto"/>
              </w:rPr>
            </w:pPr>
          </w:p>
        </w:tc>
      </w:tr>
      <w:tr>
        <w:trPr>
          <w:trHeight w:val="216"/>
        </w:trPr>
        <w:tc>
          <w:tcPr>
            <w:tcW w:w="2920" w:type="dxa"/>
            <w:vAlign w:val="bottom"/>
            <w:gridSpan w:val="2"/>
          </w:tcPr>
          <w:p>
            <w:pPr>
              <w:ind w:left="500"/>
              <w:spacing w:after="0"/>
              <w:rPr>
                <w:sz w:val="20"/>
                <w:szCs w:val="20"/>
                <w:color w:val="auto"/>
              </w:rPr>
            </w:pPr>
            <w:r>
              <w:rPr>
                <w:rFonts w:ascii="Arial" w:cs="Arial" w:eastAsia="Arial" w:hAnsi="Arial"/>
                <w:sz w:val="18"/>
                <w:szCs w:val="18"/>
                <w:color w:val="auto"/>
              </w:rPr>
              <w:t>Recurring:</w:t>
            </w: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320" w:type="dxa"/>
            <w:vAlign w:val="bottom"/>
            <w:tcBorders>
              <w:lef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420" w:type="dxa"/>
            <w:vAlign w:val="bottom"/>
          </w:tcPr>
          <w:p>
            <w:pPr>
              <w:ind w:left="160"/>
              <w:spacing w:after="0"/>
              <w:rPr>
                <w:sz w:val="20"/>
                <w:szCs w:val="20"/>
                <w:color w:val="auto"/>
              </w:rPr>
            </w:pPr>
            <w:r>
              <w:rPr>
                <w:rFonts w:ascii="Arial" w:cs="Arial" w:eastAsia="Arial" w:hAnsi="Arial"/>
                <w:sz w:val="18"/>
                <w:szCs w:val="18"/>
                <w:color w:val="auto"/>
              </w:rPr>
              <w:t>Mutual funds: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1,010</w:t>
            </w:r>
          </w:p>
        </w:tc>
        <w:tc>
          <w:tcPr>
            <w:tcW w:w="144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1,010</w:t>
            </w:r>
          </w:p>
        </w:tc>
        <w:tc>
          <w:tcPr>
            <w:tcW w:w="1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Domestic stock funds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lef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420" w:type="dxa"/>
            <w:vAlign w:val="bottom"/>
          </w:tcPr>
          <w:p>
            <w:pPr>
              <w:ind w:left="320"/>
              <w:spacing w:after="0"/>
              <w:rPr>
                <w:sz w:val="20"/>
                <w:szCs w:val="20"/>
                <w:color w:val="auto"/>
              </w:rPr>
            </w:pPr>
            <w:r>
              <w:rPr>
                <w:rFonts w:ascii="Arial" w:cs="Arial" w:eastAsia="Arial" w:hAnsi="Arial"/>
                <w:sz w:val="18"/>
                <w:szCs w:val="18"/>
                <w:color w:val="auto"/>
              </w:rPr>
              <w:t>International stock funds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Target funds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lef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420" w:type="dxa"/>
            <w:vAlign w:val="bottom"/>
          </w:tcPr>
          <w:p>
            <w:pPr>
              <w:ind w:left="320"/>
              <w:spacing w:after="0"/>
              <w:rPr>
                <w:sz w:val="20"/>
                <w:szCs w:val="20"/>
                <w:color w:val="auto"/>
              </w:rPr>
            </w:pPr>
            <w:r>
              <w:rPr>
                <w:rFonts w:ascii="Arial" w:cs="Arial" w:eastAsia="Arial" w:hAnsi="Arial"/>
                <w:sz w:val="18"/>
                <w:szCs w:val="18"/>
                <w:color w:val="auto"/>
              </w:rPr>
              <w:t>Bond funds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
        </w:trPr>
        <w:tc>
          <w:tcPr>
            <w:tcW w:w="5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500" w:type="dxa"/>
            <w:vAlign w:val="bottom"/>
          </w:tcPr>
          <w:p>
            <w:pPr>
              <w:spacing w:after="0"/>
              <w:rPr>
                <w:sz w:val="18"/>
                <w:szCs w:val="18"/>
                <w:color w:val="auto"/>
              </w:rPr>
            </w:pPr>
          </w:p>
        </w:tc>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mutual funds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Borders>
              <w:lef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lef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w:t>
            </w:r>
          </w:p>
        </w:tc>
        <w:tc>
          <w:tcPr>
            <w:tcW w:w="1100" w:type="dxa"/>
            <w:vAlign w:val="bottom"/>
          </w:tcPr>
          <w:p>
            <w:pPr>
              <w:spacing w:after="0"/>
              <w:rPr>
                <w:sz w:val="18"/>
                <w:szCs w:val="18"/>
                <w:color w:val="auto"/>
              </w:rPr>
            </w:pPr>
          </w:p>
        </w:tc>
      </w:tr>
      <w:tr>
        <w:trPr>
          <w:trHeight w:val="27"/>
        </w:trPr>
        <w:tc>
          <w:tcPr>
            <w:tcW w:w="500" w:type="dxa"/>
            <w:vAlign w:val="bottom"/>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5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1,378</w:t>
            </w:r>
          </w:p>
        </w:tc>
        <w:tc>
          <w:tcPr>
            <w:tcW w:w="13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1,010</w:t>
            </w:r>
          </w:p>
        </w:tc>
        <w:tc>
          <w:tcPr>
            <w:tcW w:w="144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1,010</w:t>
            </w:r>
          </w:p>
        </w:tc>
        <w:tc>
          <w:tcPr>
            <w:tcW w:w="1100" w:type="dxa"/>
            <w:vAlign w:val="bottom"/>
          </w:tcPr>
          <w:p>
            <w:pPr>
              <w:spacing w:after="0"/>
              <w:rPr>
                <w:sz w:val="18"/>
                <w:szCs w:val="18"/>
                <w:color w:val="auto"/>
              </w:rPr>
            </w:pPr>
          </w:p>
        </w:tc>
      </w:tr>
      <w:tr>
        <w:trPr>
          <w:trHeight w:val="21"/>
        </w:trPr>
        <w:tc>
          <w:tcPr>
            <w:tcW w:w="5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549"/>
        </w:trPr>
        <w:tc>
          <w:tcPr>
            <w:tcW w:w="5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752"/>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03"/>
        </w:trPr>
        <w:tc>
          <w:tcPr>
            <w:tcW w:w="500" w:type="dxa"/>
            <w:vAlign w:val="bottom"/>
            <w:tcBorders>
              <w:bottom w:val="single" w:sz="8" w:color="808080"/>
            </w:tcBorders>
          </w:tcPr>
          <w:p>
            <w:pPr>
              <w:spacing w:after="0"/>
              <w:rPr>
                <w:sz w:val="8"/>
                <w:szCs w:val="8"/>
                <w:color w:val="auto"/>
              </w:rPr>
            </w:pPr>
          </w:p>
        </w:tc>
        <w:tc>
          <w:tcPr>
            <w:tcW w:w="2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 xml:space="preserve">Mutual funds are valued at prices quoted in an active exchange market. We have elected not to apply the fair value option under ASC 825,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to any of our financial instruments except for those expressly required by U.S. GAAP.</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maintain any Level 3 assets or liabilities that would be based on significant unobservable inputs.</w:t>
      </w:r>
    </w:p>
    <w:p>
      <w:pPr>
        <w:spacing w:after="0" w:line="248"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56" w:lineRule="exact"/>
        <w:rPr>
          <w:rFonts w:ascii="Arial" w:cs="Arial" w:eastAsia="Arial" w:hAnsi="Arial"/>
          <w:sz w:val="18"/>
          <w:szCs w:val="18"/>
          <w:b w:val="1"/>
          <w:bCs w:val="1"/>
          <w:color w:val="auto"/>
        </w:rPr>
      </w:pPr>
    </w:p>
    <w:p>
      <w:pPr>
        <w:jc w:val="both"/>
        <w:ind w:left="50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Earnings on construction contracts are reflected in operations using either percentage-of-completion accounting, which includes the cost to cost and units of delivery methods, or completed contract accounting, depending on the nature of the business at individual operations. Under percentage-of-completion using the cost to cost method, revenues and related earnings on construction contracts are measured by the relationships of actual costs incurred related to the total estimated costs. Under percentage-of-completion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 Under the completed contract method, revenues and related earnings are recorded when the contracted work is complete and losses are charged to operations in their entirety when such losses become apparent.</w:t>
      </w:r>
    </w:p>
    <w:p>
      <w:pPr>
        <w:spacing w:after="0" w:line="208"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presents the balances of percentage-of-completion accounts which are included in “Other current assets” and “Accrued liabilities: Other”, respectively (in thousands):</w:t>
      </w:r>
    </w:p>
    <w:p>
      <w:pPr>
        <w:spacing w:after="0" w:line="197"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color w:val="auto"/>
              </w:rPr>
              <w:t>March 26,</w:t>
            </w:r>
          </w:p>
        </w:tc>
        <w:tc>
          <w:tcPr>
            <w:tcW w:w="8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auto"/>
              </w:rPr>
              <w:t>December 25,</w:t>
            </w:r>
          </w:p>
        </w:tc>
        <w:tc>
          <w:tcPr>
            <w:tcW w:w="14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March 27,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Cost and Earnings in Excess of Billings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4,927</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Billings in Excess of Cost and Earnings</w:t>
            </w:r>
          </w:p>
        </w:tc>
        <w:tc>
          <w:tcPr>
            <w:tcW w:w="1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1,820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2,126</w:t>
            </w:r>
          </w:p>
        </w:tc>
        <w:tc>
          <w:tcPr>
            <w:tcW w:w="1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8,297</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SHARE</w:t>
      </w:r>
    </w:p>
    <w:p>
      <w:pPr>
        <w:spacing w:after="0" w:line="256"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 reconciliation of the changes in the numerator and the denominator from the calculation of basic EPS to the calculation of diluted EPS follows (in thousands, except per share data):</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420" w:type="dxa"/>
            <w:vAlign w:val="bottom"/>
            <w:gridSpan w:val="3"/>
          </w:tcPr>
          <w:p>
            <w:pPr>
              <w:spacing w:after="0"/>
              <w:rPr>
                <w:rFonts w:ascii="Arial" w:cs="Arial" w:eastAsia="Arial" w:hAnsi="Arial"/>
                <w:sz w:val="14"/>
                <w:szCs w:val="14"/>
                <w:b w:val="1"/>
                <w:bCs w:val="1"/>
                <w:i w:val="1"/>
                <w:iCs w:val="1"/>
                <w:color w:val="0000EE"/>
              </w:rPr>
            </w:pPr>
            <w:hyperlink w:anchor="page2">
              <w:r>
                <w:rPr>
                  <w:rFonts w:ascii="Arial" w:cs="Arial" w:eastAsia="Arial" w:hAnsi="Arial"/>
                  <w:sz w:val="14"/>
                  <w:szCs w:val="14"/>
                  <w:b w:val="1"/>
                  <w:bCs w:val="1"/>
                  <w:i w:val="1"/>
                  <w:iCs w:val="1"/>
                  <w:color w:val="0000EE"/>
                </w:rPr>
                <w:t>Table of Contents</w:t>
              </w:r>
            </w:hyperlink>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5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00" w:type="dxa"/>
            <w:vAlign w:val="bottom"/>
            <w:gridSpan w:val="9"/>
          </w:tcPr>
          <w:p>
            <w:pPr>
              <w:ind w:left="280"/>
              <w:spacing w:after="0"/>
              <w:rPr>
                <w:sz w:val="20"/>
                <w:szCs w:val="20"/>
                <w:color w:val="auto"/>
              </w:rPr>
            </w:pPr>
            <w:r>
              <w:rPr>
                <w:rFonts w:ascii="Arial" w:cs="Arial" w:eastAsia="Arial" w:hAnsi="Arial"/>
                <w:sz w:val="18"/>
                <w:szCs w:val="18"/>
                <w:b w:val="1"/>
                <w:bCs w:val="1"/>
                <w:color w:val="auto"/>
              </w:rPr>
              <w:t>UNIVERSAL FOREST PRODUCTS, INC.</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80" w:type="dxa"/>
            <w:vAlign w:val="bottom"/>
            <w:gridSpan w:val="8"/>
          </w:tcPr>
          <w:p>
            <w:pPr>
              <w:jc w:val="center"/>
              <w:ind w:right="380"/>
              <w:spacing w:after="0"/>
              <w:rPr>
                <w:sz w:val="20"/>
                <w:szCs w:val="20"/>
                <w:color w:val="auto"/>
              </w:rPr>
            </w:pPr>
            <w:r>
              <w:rPr>
                <w:rFonts w:ascii="Arial" w:cs="Arial" w:eastAsia="Arial" w:hAnsi="Arial"/>
                <w:sz w:val="18"/>
                <w:szCs w:val="18"/>
                <w:color w:val="auto"/>
                <w:w w:val="90"/>
              </w:rPr>
              <w:t>Three Months Ended March 26, 2011</w:t>
            </w:r>
          </w:p>
        </w:tc>
        <w:tc>
          <w:tcPr>
            <w:tcW w:w="80" w:type="dxa"/>
            <w:vAlign w:val="bottom"/>
          </w:tcPr>
          <w:p>
            <w:pPr>
              <w:spacing w:after="0"/>
              <w:rPr>
                <w:sz w:val="24"/>
                <w:szCs w:val="24"/>
                <w:color w:val="auto"/>
              </w:rPr>
            </w:pPr>
          </w:p>
        </w:tc>
        <w:tc>
          <w:tcPr>
            <w:tcW w:w="3840" w:type="dxa"/>
            <w:vAlign w:val="bottom"/>
            <w:gridSpan w:val="7"/>
          </w:tcPr>
          <w:p>
            <w:pPr>
              <w:jc w:val="center"/>
              <w:ind w:right="180"/>
              <w:spacing w:after="0"/>
              <w:rPr>
                <w:sz w:val="20"/>
                <w:szCs w:val="20"/>
                <w:color w:val="auto"/>
              </w:rPr>
            </w:pPr>
            <w:r>
              <w:rPr>
                <w:rFonts w:ascii="Arial" w:cs="Arial" w:eastAsia="Arial" w:hAnsi="Arial"/>
                <w:sz w:val="18"/>
                <w:szCs w:val="18"/>
                <w:color w:val="auto"/>
                <w:w w:val="90"/>
              </w:rPr>
              <w:t>Three Months Ended March 27, 2010</w:t>
            </w:r>
          </w:p>
        </w:tc>
        <w:tc>
          <w:tcPr>
            <w:tcW w:w="0" w:type="dxa"/>
            <w:vAlign w:val="bottom"/>
          </w:tcPr>
          <w:p>
            <w:pPr>
              <w:spacing w:after="0"/>
              <w:rPr>
                <w:sz w:val="1"/>
                <w:szCs w:val="1"/>
                <w:color w:val="auto"/>
              </w:rPr>
            </w:pPr>
          </w:p>
        </w:tc>
      </w:tr>
      <w:tr>
        <w:trPr>
          <w:trHeight w:val="202"/>
        </w:trPr>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ind w:right="440"/>
              <w:spacing w:after="0" w:line="201" w:lineRule="exact"/>
              <w:rPr>
                <w:sz w:val="20"/>
                <w:szCs w:val="20"/>
                <w:color w:val="auto"/>
              </w:rPr>
            </w:pPr>
            <w:r>
              <w:rPr>
                <w:rFonts w:ascii="Arial" w:cs="Arial" w:eastAsia="Arial" w:hAnsi="Arial"/>
                <w:sz w:val="18"/>
                <w:szCs w:val="18"/>
                <w:color w:val="auto"/>
              </w:rPr>
              <w:t>Income</w:t>
            </w:r>
          </w:p>
        </w:tc>
        <w:tc>
          <w:tcPr>
            <w:tcW w:w="1260" w:type="dxa"/>
            <w:vAlign w:val="bottom"/>
            <w:tcBorders>
              <w:top w:val="single" w:sz="8" w:color="auto"/>
            </w:tcBorders>
            <w:gridSpan w:val="2"/>
          </w:tcPr>
          <w:p>
            <w:pPr>
              <w:jc w:val="center"/>
              <w:ind w:right="60"/>
              <w:spacing w:after="0" w:line="201" w:lineRule="exact"/>
              <w:rPr>
                <w:sz w:val="20"/>
                <w:szCs w:val="20"/>
                <w:color w:val="auto"/>
              </w:rPr>
            </w:pPr>
            <w:r>
              <w:rPr>
                <w:rFonts w:ascii="Arial" w:cs="Arial" w:eastAsia="Arial" w:hAnsi="Arial"/>
                <w:sz w:val="18"/>
                <w:szCs w:val="18"/>
                <w:color w:val="auto"/>
                <w:w w:val="84"/>
              </w:rPr>
              <w:t>Shares</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88"/>
              </w:rPr>
              <w:t>Per Share</w:t>
            </w: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300"/>
              <w:spacing w:after="0" w:line="201" w:lineRule="exact"/>
              <w:rPr>
                <w:sz w:val="20"/>
                <w:szCs w:val="20"/>
                <w:color w:val="auto"/>
              </w:rPr>
            </w:pPr>
            <w:r>
              <w:rPr>
                <w:rFonts w:ascii="Arial" w:cs="Arial" w:eastAsia="Arial" w:hAnsi="Arial"/>
                <w:sz w:val="18"/>
                <w:szCs w:val="18"/>
                <w:color w:val="auto"/>
                <w:w w:val="91"/>
              </w:rPr>
              <w:t>Income</w:t>
            </w:r>
          </w:p>
        </w:tc>
        <w:tc>
          <w:tcPr>
            <w:tcW w:w="1440" w:type="dxa"/>
            <w:vAlign w:val="bottom"/>
            <w:tcBorders>
              <w:top w:val="single" w:sz="8" w:color="auto"/>
            </w:tcBorders>
            <w:gridSpan w:val="2"/>
          </w:tcPr>
          <w:p>
            <w:pPr>
              <w:jc w:val="center"/>
              <w:ind w:right="240"/>
              <w:spacing w:after="0" w:line="201" w:lineRule="exact"/>
              <w:rPr>
                <w:sz w:val="20"/>
                <w:szCs w:val="20"/>
                <w:color w:val="auto"/>
              </w:rPr>
            </w:pPr>
            <w:r>
              <w:rPr>
                <w:rFonts w:ascii="Arial" w:cs="Arial" w:eastAsia="Arial" w:hAnsi="Arial"/>
                <w:sz w:val="18"/>
                <w:szCs w:val="18"/>
                <w:color w:val="auto"/>
                <w:w w:val="84"/>
              </w:rPr>
              <w:t>Shares</w:t>
            </w: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86"/>
              </w:rPr>
              <w:t>Per Share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(Numerator)</w:t>
            </w:r>
          </w:p>
        </w:tc>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(Denominator)</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(Numerator)</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(Denominator)</w:t>
            </w:r>
          </w:p>
        </w:tc>
        <w:tc>
          <w:tcPr>
            <w:tcW w:w="14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Amount</w:t>
            </w: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 w:type="dxa"/>
            <w:vAlign w:val="bottom"/>
            <w:vMerge w:val="continue"/>
          </w:tcPr>
          <w:p>
            <w:pPr>
              <w:spacing w:after="0"/>
              <w:rPr>
                <w:sz w:val="17"/>
                <w:szCs w:val="17"/>
                <w:color w:val="auto"/>
              </w:rPr>
            </w:pPr>
          </w:p>
        </w:tc>
        <w:tc>
          <w:tcPr>
            <w:tcW w:w="19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(Loss) Earnings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9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Attributable to</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9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Controlling Interest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(3,670)</w:t>
            </w: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987</w:t>
            </w: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0" w:type="dxa"/>
            <w:vAlign w:val="bottom"/>
            <w:vMerge w:val="continue"/>
          </w:tcPr>
          <w:p>
            <w:pPr>
              <w:spacing w:after="0"/>
              <w:rPr>
                <w:sz w:val="17"/>
                <w:szCs w:val="17"/>
                <w:color w:val="auto"/>
              </w:rPr>
            </w:pP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EPS – Basic</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available to</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00" w:type="dxa"/>
            <w:vAlign w:val="bottom"/>
          </w:tcPr>
          <w:p>
            <w:pPr>
              <w:spacing w:after="0"/>
              <w:rPr>
                <w:sz w:val="23"/>
                <w:szCs w:val="23"/>
                <w:color w:val="auto"/>
              </w:rPr>
            </w:pPr>
          </w:p>
        </w:tc>
        <w:tc>
          <w:tcPr>
            <w:tcW w:w="1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common stockholders</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(3,670)</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19,306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(0.19)</w:t>
            </w:r>
          </w:p>
        </w:tc>
        <w:tc>
          <w:tcPr>
            <w:tcW w:w="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19,258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0"/>
        </w:trPr>
        <w:tc>
          <w:tcPr>
            <w:tcW w:w="500" w:type="dxa"/>
            <w:vAlign w:val="bottom"/>
            <w:vMerge w:val="restart"/>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 w:type="dxa"/>
            <w:vAlign w:val="bottom"/>
            <w:vMerge w:val="continue"/>
          </w:tcPr>
          <w:p>
            <w:pPr>
              <w:spacing w:after="0"/>
              <w:rPr>
                <w:sz w:val="17"/>
                <w:szCs w:val="17"/>
                <w:color w:val="auto"/>
              </w:rPr>
            </w:pPr>
          </w:p>
        </w:tc>
        <w:tc>
          <w:tcPr>
            <w:tcW w:w="19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Effect of dilutive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00" w:type="dxa"/>
            <w:vAlign w:val="bottom"/>
          </w:tcPr>
          <w:p>
            <w:pPr>
              <w:spacing w:after="0"/>
              <w:rPr>
                <w:sz w:val="19"/>
                <w:szCs w:val="19"/>
                <w:color w:val="auto"/>
              </w:rPr>
            </w:pPr>
          </w:p>
        </w:tc>
        <w:tc>
          <w:tcPr>
            <w:tcW w:w="19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securities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0" w:type="dxa"/>
            <w:vAlign w:val="bottom"/>
            <w:vMerge w:val="continue"/>
          </w:tcPr>
          <w:p>
            <w:pPr>
              <w:spacing w:after="0"/>
              <w:rPr>
                <w:sz w:val="17"/>
                <w:szCs w:val="17"/>
                <w:color w:val="auto"/>
              </w:rPr>
            </w:pP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EPS - Diluted</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available to</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common stockholders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assumed options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00" w:type="dxa"/>
            <w:vAlign w:val="bottom"/>
          </w:tcPr>
          <w:p>
            <w:pPr>
              <w:spacing w:after="0"/>
              <w:rPr>
                <w:sz w:val="21"/>
                <w:szCs w:val="21"/>
                <w:color w:val="auto"/>
              </w:rPr>
            </w:pPr>
          </w:p>
        </w:tc>
        <w:tc>
          <w:tcPr>
            <w:tcW w:w="1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(3,670)</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19,306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Options to purchase shares and certain other shares of common stock were not included in the computation of diluted EPS because they were anti-dilutive given the net loss for the quarter ended March 26, 2011.</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options were excluded from the computation of diluted EPS for the quarter ended March 27, 2010.</w:t>
      </w:r>
    </w:p>
    <w:p>
      <w:pPr>
        <w:spacing w:after="0" w:line="248"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ASSETS HELD FOR SALE AND NET LOSS ON DISPOSITION OF ASSETS AND OTHER IMPAIRMENTS AND EXIT CHARGES</w:t>
      </w:r>
    </w:p>
    <w:p>
      <w:pPr>
        <w:spacing w:after="0" w:line="256" w:lineRule="exact"/>
        <w:rPr>
          <w:rFonts w:ascii="Arial" w:cs="Arial" w:eastAsia="Arial" w:hAnsi="Arial"/>
          <w:sz w:val="18"/>
          <w:szCs w:val="18"/>
          <w:b w:val="1"/>
          <w:bCs w:val="1"/>
          <w:color w:val="auto"/>
        </w:rPr>
      </w:pPr>
    </w:p>
    <w:p>
      <w:pPr>
        <w:jc w:val="both"/>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Included in “Assets held for sale” on our Consolidated Condensed Balance Sheets are certain property, plant and equipment totaling $7.5 million on March 26, 2011. The assets held for sale consist of certain vacant land and facilities we closed to better align manufacturing capacity with the current business environment. The fair values were determined based on appraisals or recent offers to acquire assets. These and other idle assets were evaluated based on the requirements of ASC 360, which resulted in impairment and other exit charges included in “Net loss on disposition of assets and other impairment and exit charges” for the periods presented below. These amounts include the following, separated by reporting segment (in thousands):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2220" w:type="dxa"/>
            <w:vAlign w:val="bottom"/>
            <w:gridSpan w:val="3"/>
          </w:tcPr>
          <w:p>
            <w:pPr>
              <w:spacing w:after="0"/>
              <w:rPr>
                <w:rFonts w:ascii="Arial" w:cs="Arial" w:eastAsia="Arial" w:hAnsi="Arial"/>
                <w:sz w:val="14"/>
                <w:szCs w:val="14"/>
                <w:b w:val="1"/>
                <w:bCs w:val="1"/>
                <w:i w:val="1"/>
                <w:iCs w:val="1"/>
                <w:color w:val="0000EE"/>
              </w:rPr>
            </w:pPr>
            <w:hyperlink w:anchor="page2">
              <w:r>
                <w:rPr>
                  <w:rFonts w:ascii="Arial" w:cs="Arial" w:eastAsia="Arial" w:hAnsi="Arial"/>
                  <w:sz w:val="14"/>
                  <w:szCs w:val="14"/>
                  <w:b w:val="1"/>
                  <w:bCs w:val="1"/>
                  <w:i w:val="1"/>
                  <w:iCs w:val="1"/>
                  <w:color w:val="0000EE"/>
                </w:rPr>
                <w:t>Table of Contents</w:t>
              </w:r>
            </w:hyperlink>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53"/>
        </w:trPr>
        <w:tc>
          <w:tcPr>
            <w:tcW w:w="5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00" w:type="dxa"/>
            <w:vAlign w:val="bottom"/>
            <w:gridSpan w:val="9"/>
          </w:tcPr>
          <w:p>
            <w:pPr>
              <w:ind w:left="60"/>
              <w:spacing w:after="0"/>
              <w:rPr>
                <w:sz w:val="20"/>
                <w:szCs w:val="20"/>
                <w:color w:val="auto"/>
              </w:rPr>
            </w:pPr>
            <w:r>
              <w:rPr>
                <w:rFonts w:ascii="Arial" w:cs="Arial" w:eastAsia="Arial" w:hAnsi="Arial"/>
                <w:sz w:val="18"/>
                <w:szCs w:val="18"/>
                <w:b w:val="1"/>
                <w:bCs w:val="1"/>
                <w:color w:val="auto"/>
              </w:rPr>
              <w:t>UNIVERSAL FOREST PRODUCTS, INC.</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60" w:type="dxa"/>
            <w:vAlign w:val="bottom"/>
            <w:gridSpan w:val="3"/>
          </w:tcPr>
          <w:p>
            <w:pPr>
              <w:spacing w:after="0"/>
              <w:rPr>
                <w:sz w:val="21"/>
                <w:szCs w:val="21"/>
                <w:color w:val="auto"/>
              </w:rPr>
            </w:pPr>
          </w:p>
        </w:tc>
        <w:tc>
          <w:tcPr>
            <w:tcW w:w="220" w:type="dxa"/>
            <w:vAlign w:val="bottom"/>
            <w:gridSpan w:val="2"/>
          </w:tcPr>
          <w:p>
            <w:pPr>
              <w:spacing w:after="0"/>
              <w:rPr>
                <w:sz w:val="21"/>
                <w:szCs w:val="21"/>
                <w:color w:val="auto"/>
              </w:rPr>
            </w:pPr>
          </w:p>
        </w:tc>
        <w:tc>
          <w:tcPr>
            <w:tcW w:w="1320" w:type="dxa"/>
            <w:vAlign w:val="bottom"/>
            <w:gridSpan w:val="3"/>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112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3"/>
          </w:tcPr>
          <w:p>
            <w:pPr>
              <w:spacing w:after="0"/>
              <w:rPr>
                <w:sz w:val="21"/>
                <w:szCs w:val="21"/>
                <w:color w:val="auto"/>
              </w:rPr>
            </w:pPr>
          </w:p>
        </w:tc>
      </w:tr>
      <w:tr>
        <w:trPr>
          <w:trHeight w:val="223"/>
        </w:trPr>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780" w:type="dxa"/>
            <w:vAlign w:val="bottom"/>
            <w:tcBorders>
              <w:top w:val="single" w:sz="8" w:color="auto"/>
            </w:tcBorders>
            <w:gridSpan w:val="9"/>
          </w:tcPr>
          <w:p>
            <w:pPr>
              <w:ind w:left="380"/>
              <w:spacing w:after="0"/>
              <w:rPr>
                <w:sz w:val="20"/>
                <w:szCs w:val="20"/>
                <w:color w:val="auto"/>
              </w:rPr>
            </w:pPr>
            <w:r>
              <w:rPr>
                <w:rFonts w:ascii="Arial" w:cs="Arial" w:eastAsia="Arial" w:hAnsi="Arial"/>
                <w:sz w:val="18"/>
                <w:szCs w:val="18"/>
                <w:color w:val="auto"/>
              </w:rPr>
              <w:t>Three Months Ended March 26, 2011</w:t>
            </w:r>
          </w:p>
        </w:tc>
        <w:tc>
          <w:tcPr>
            <w:tcW w:w="120" w:type="dxa"/>
            <w:vAlign w:val="bottom"/>
            <w:tcBorders>
              <w:top w:val="single" w:sz="8" w:color="auto"/>
            </w:tcBorders>
          </w:tcPr>
          <w:p>
            <w:pPr>
              <w:spacing w:after="0"/>
              <w:rPr>
                <w:sz w:val="19"/>
                <w:szCs w:val="19"/>
                <w:color w:val="auto"/>
              </w:rPr>
            </w:pPr>
          </w:p>
        </w:tc>
        <w:tc>
          <w:tcPr>
            <w:tcW w:w="3640" w:type="dxa"/>
            <w:vAlign w:val="bottom"/>
            <w:tcBorders>
              <w:top w:val="single" w:sz="8" w:color="auto"/>
            </w:tcBorders>
            <w:gridSpan w:val="9"/>
          </w:tcPr>
          <w:p>
            <w:pPr>
              <w:jc w:val="center"/>
              <w:ind w:right="30"/>
              <w:spacing w:after="0"/>
              <w:rPr>
                <w:sz w:val="20"/>
                <w:szCs w:val="20"/>
                <w:color w:val="auto"/>
              </w:rPr>
            </w:pPr>
            <w:r>
              <w:rPr>
                <w:rFonts w:ascii="Arial" w:cs="Arial" w:eastAsia="Arial" w:hAnsi="Arial"/>
                <w:sz w:val="18"/>
                <w:szCs w:val="18"/>
                <w:color w:val="auto"/>
                <w:w w:val="91"/>
              </w:rPr>
              <w:t>Three Months Ended March 27, 2010</w:t>
            </w:r>
          </w:p>
        </w:tc>
        <w:tc>
          <w:tcPr>
            <w:tcW w:w="100" w:type="dxa"/>
            <w:vAlign w:val="bottom"/>
          </w:tcPr>
          <w:p>
            <w:pPr>
              <w:spacing w:after="0"/>
              <w:rPr>
                <w:sz w:val="19"/>
                <w:szCs w:val="19"/>
                <w:color w:val="auto"/>
              </w:rPr>
            </w:pPr>
          </w:p>
        </w:tc>
      </w:tr>
      <w:tr>
        <w:trPr>
          <w:trHeight w:val="202"/>
        </w:trPr>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280"/>
              <w:spacing w:after="0" w:line="201" w:lineRule="exact"/>
              <w:rPr>
                <w:sz w:val="20"/>
                <w:szCs w:val="20"/>
                <w:color w:val="auto"/>
              </w:rPr>
            </w:pPr>
            <w:r>
              <w:rPr>
                <w:rFonts w:ascii="Arial" w:cs="Arial" w:eastAsia="Arial" w:hAnsi="Arial"/>
                <w:sz w:val="18"/>
                <w:szCs w:val="18"/>
                <w:color w:val="auto"/>
                <w:w w:val="86"/>
              </w:rPr>
              <w:t>Eastern and</w:t>
            </w: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240"/>
              <w:spacing w:after="0" w:line="201" w:lineRule="exact"/>
              <w:rPr>
                <w:sz w:val="20"/>
                <w:szCs w:val="20"/>
                <w:color w:val="auto"/>
              </w:rPr>
            </w:pPr>
            <w:r>
              <w:rPr>
                <w:rFonts w:ascii="Arial" w:cs="Arial" w:eastAsia="Arial" w:hAnsi="Arial"/>
                <w:sz w:val="18"/>
                <w:szCs w:val="18"/>
                <w:color w:val="auto"/>
                <w:w w:val="86"/>
              </w:rPr>
              <w:t>Eastern and</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Western</w:t>
            </w:r>
          </w:p>
        </w:tc>
        <w:tc>
          <w:tcPr>
            <w:tcW w:w="16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Atlantic</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Western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8"/>
                <w:szCs w:val="18"/>
                <w:color w:val="auto"/>
                <w:w w:val="98"/>
              </w:rPr>
              <w:t>Atlantic</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7"/>
              </w:rPr>
              <w:t>Divisions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Division</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All Other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4"/>
              </w:rPr>
              <w:t>Divisions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8"/>
              </w:rPr>
              <w:t>Division</w:t>
            </w:r>
          </w:p>
        </w:tc>
        <w:tc>
          <w:tcPr>
            <w:tcW w:w="220" w:type="dxa"/>
            <w:vAlign w:val="bottom"/>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7"/>
              </w:rPr>
              <w:t>All Other</w:t>
            </w:r>
          </w:p>
        </w:tc>
        <w:tc>
          <w:tcPr>
            <w:tcW w:w="100" w:type="dxa"/>
            <w:vAlign w:val="bottom"/>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02"/>
        </w:trPr>
        <w:tc>
          <w:tcPr>
            <w:tcW w:w="500" w:type="dxa"/>
            <w:vAlign w:val="bottom"/>
          </w:tcPr>
          <w:p>
            <w:pPr>
              <w:spacing w:after="0"/>
              <w:rPr>
                <w:sz w:val="17"/>
                <w:szCs w:val="17"/>
                <w:color w:val="auto"/>
              </w:rPr>
            </w:pPr>
          </w:p>
        </w:tc>
        <w:tc>
          <w:tcPr>
            <w:tcW w:w="1720" w:type="dxa"/>
            <w:vAlign w:val="bottom"/>
            <w:gridSpan w:val="2"/>
          </w:tcPr>
          <w:p>
            <w:pPr>
              <w:spacing w:after="0" w:line="201" w:lineRule="exact"/>
              <w:rPr>
                <w:sz w:val="20"/>
                <w:szCs w:val="20"/>
                <w:color w:val="auto"/>
              </w:rPr>
            </w:pPr>
            <w:r>
              <w:rPr>
                <w:rFonts w:ascii="Arial" w:cs="Arial" w:eastAsia="Arial" w:hAnsi="Arial"/>
                <w:sz w:val="18"/>
                <w:szCs w:val="18"/>
                <w:color w:val="auto"/>
              </w:rPr>
              <w:t>Property, plant and</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00" w:type="dxa"/>
            <w:vAlign w:val="bottom"/>
          </w:tcPr>
          <w:p>
            <w:pPr>
              <w:spacing w:after="0"/>
              <w:rPr>
                <w:sz w:val="20"/>
                <w:szCs w:val="20"/>
                <w:color w:val="auto"/>
              </w:rPr>
            </w:pPr>
          </w:p>
        </w:tc>
        <w:tc>
          <w:tcPr>
            <w:tcW w:w="1720" w:type="dxa"/>
            <w:vAlign w:val="bottom"/>
            <w:gridSpan w:val="2"/>
          </w:tcPr>
          <w:p>
            <w:pPr>
              <w:ind w:left="160"/>
              <w:spacing w:after="0"/>
              <w:rPr>
                <w:sz w:val="20"/>
                <w:szCs w:val="20"/>
                <w:color w:val="auto"/>
              </w:rPr>
            </w:pPr>
            <w:r>
              <w:rPr>
                <w:rFonts w:ascii="Arial" w:cs="Arial" w:eastAsia="Arial" w:hAnsi="Arial"/>
                <w:sz w:val="18"/>
                <w:szCs w:val="18"/>
                <w:color w:val="auto"/>
              </w:rPr>
              <w:t>equipment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459"/>
        </w:trPr>
        <w:tc>
          <w:tcPr>
            <w:tcW w:w="5080" w:type="dxa"/>
            <w:vAlign w:val="bottom"/>
            <w:gridSpan w:val="10"/>
          </w:tcPr>
          <w:p>
            <w:pPr>
              <w:ind w:left="500"/>
              <w:spacing w:after="0"/>
              <w:rPr>
                <w:sz w:val="20"/>
                <w:szCs w:val="20"/>
                <w:color w:val="auto"/>
              </w:rPr>
            </w:pPr>
            <w:r>
              <w:rPr>
                <w:rFonts w:ascii="Arial" w:cs="Arial" w:eastAsia="Arial" w:hAnsi="Arial"/>
                <w:sz w:val="18"/>
                <w:szCs w:val="18"/>
                <w:color w:val="auto"/>
                <w:w w:val="89"/>
              </w:rPr>
              <w:t>The changes in assets held for sale are as follows in thousands: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Net Book</w:t>
            </w:r>
          </w:p>
        </w:tc>
      </w:tr>
      <w:tr>
        <w:trPr>
          <w:trHeight w:val="237"/>
        </w:trPr>
        <w:tc>
          <w:tcPr>
            <w:tcW w:w="5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ind w:left="340"/>
              <w:spacing w:after="0"/>
              <w:rPr>
                <w:sz w:val="20"/>
                <w:szCs w:val="20"/>
                <w:color w:val="auto"/>
              </w:rPr>
            </w:pPr>
            <w:r>
              <w:rPr>
                <w:rFonts w:ascii="Arial" w:cs="Arial" w:eastAsia="Arial" w:hAnsi="Arial"/>
                <w:sz w:val="18"/>
                <w:szCs w:val="18"/>
                <w:color w:val="auto"/>
              </w:rPr>
              <w:t>Description</w:t>
            </w: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33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1"/>
              </w:rPr>
              <w:t>Assets held for sale as of December 25, 2010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w:t>
            </w:r>
          </w:p>
        </w:tc>
      </w:tr>
      <w:tr>
        <w:trPr>
          <w:trHeight w:val="223"/>
        </w:trPr>
        <w:tc>
          <w:tcPr>
            <w:tcW w:w="50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5,082</w:t>
            </w:r>
          </w:p>
        </w:tc>
        <w:tc>
          <w:tcPr>
            <w:tcW w:w="100" w:type="dxa"/>
            <w:vAlign w:val="bottom"/>
          </w:tcPr>
          <w:p>
            <w:pPr>
              <w:spacing w:after="0"/>
              <w:rPr>
                <w:sz w:val="19"/>
                <w:szCs w:val="19"/>
                <w:color w:val="auto"/>
              </w:rPr>
            </w:pPr>
          </w:p>
        </w:tc>
      </w:tr>
      <w:tr>
        <w:trPr>
          <w:trHeight w:val="257"/>
        </w:trPr>
        <w:tc>
          <w:tcPr>
            <w:tcW w:w="500" w:type="dxa"/>
            <w:vAlign w:val="bottom"/>
          </w:tcPr>
          <w:p>
            <w:pPr>
              <w:spacing w:after="0"/>
              <w:rPr>
                <w:sz w:val="22"/>
                <w:szCs w:val="22"/>
                <w:color w:val="auto"/>
              </w:rPr>
            </w:pPr>
          </w:p>
        </w:tc>
        <w:tc>
          <w:tcPr>
            <w:tcW w:w="334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Assets held for sale as of March 26, 2011</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256"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are self-insured for environmental impairment liability, including certain liabilities which are insured through a wholly owned subsidiary, UFP Insurance Ltd., a licensed captive insurance company.</w:t>
      </w:r>
    </w:p>
    <w:p>
      <w:pPr>
        <w:spacing w:after="0" w:line="197" w:lineRule="exact"/>
        <w:rPr>
          <w:rFonts w:ascii="Arial" w:cs="Arial" w:eastAsia="Arial" w:hAnsi="Arial"/>
          <w:sz w:val="18"/>
          <w:szCs w:val="18"/>
          <w:b w:val="1"/>
          <w:bCs w:val="1"/>
          <w:color w:val="auto"/>
        </w:rPr>
      </w:pPr>
    </w:p>
    <w:p>
      <w:pPr>
        <w:jc w:val="both"/>
        <w:ind w:left="50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Environmental reserves, calculated with no discount rate, have been established to cover remediation activities at our affiliates’ wood preservation facilities in Stockertown, PA; Elizabeth City, NC; Auburndale, FL; Gordon, PA; Janesville, WI; and Medley, FL. In addition, a reserve was established for our affiliate’s facility in Thornton, CA to remove certain lead containing materials which existed on the property at the time of purchase. During 2009, a subsidiary entered into a consent order with the State of Florida to conduct additional testing at the Auburndale, FL facility. We admitted no liability and the costs are not expected to be material.</w:t>
      </w:r>
    </w:p>
    <w:p>
      <w:pPr>
        <w:spacing w:after="0" w:line="205" w:lineRule="exact"/>
        <w:rPr>
          <w:rFonts w:ascii="Arial" w:cs="Arial" w:eastAsia="Arial" w:hAnsi="Arial"/>
          <w:sz w:val="18"/>
          <w:szCs w:val="18"/>
          <w:b w:val="1"/>
          <w:bCs w:val="1"/>
          <w:color w:val="auto"/>
        </w:rPr>
      </w:pPr>
    </w:p>
    <w:p>
      <w:pPr>
        <w:ind w:left="5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On a consolidated basis, we have reserved approximately $3.4 million on March 26, 2011 and $4.2 million on March 27, 2010, representing the estimated costs to complete future remediation efforts. These amounts have not been reduced by an insurance receivable.</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0" w:name="page11"/>
    <w:bookmarkEnd w:id="10"/>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From time to time, various special interest environmental groups have petitioned certain states requesting restrictions on the use or disposal of CCA treated products. The wood preservation industry trade groups are working with the individual states and their regulatory agencies to provide an accurate, factual background which demonstrates that the present method of uses and disposal is scientifically supported. Our affiliates market a modest amount of CCA treated products for permitted, non-residential applications.</w:t>
      </w:r>
    </w:p>
    <w:p>
      <w:pPr>
        <w:spacing w:after="0" w:line="214"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color w:val="auto"/>
        </w:rPr>
        <w:t>We have not accrued for any potential loss related to the contingencies above. However, potential liabilities of this nature are not conducive to precise estimates and are subject to change.</w:t>
      </w:r>
    </w:p>
    <w:p>
      <w:pPr>
        <w:spacing w:after="0" w:line="197"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In addition, on March 26, 2011,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March 26, 2011, we had outstanding purchase commitments on capital projects of approximately $4.9 million.</w:t>
      </w:r>
    </w:p>
    <w:p>
      <w:pPr>
        <w:spacing w:after="0" w:line="252"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We provide a variety of warranties for products we manufacture. Historically, warranty claims have not been material. We distribute products manufactured by other companies, some of which are no longer in business. While we do not warrant these products, we have received claims as a distributor of these products when the manufacturer no longer exists or has the ability to pay. Historically, these costs have not had a material affect on our consolidated financial statements.</w:t>
      </w:r>
    </w:p>
    <w:p>
      <w:pPr>
        <w:spacing w:after="0" w:line="214" w:lineRule="exact"/>
        <w:rPr>
          <w:sz w:val="20"/>
          <w:szCs w:val="20"/>
          <w:color w:val="auto"/>
        </w:rPr>
      </w:pPr>
    </w:p>
    <w:p>
      <w:pPr>
        <w:jc w:val="both"/>
        <w:ind w:left="500"/>
        <w:spacing w:after="0" w:line="297" w:lineRule="auto"/>
        <w:rPr>
          <w:sz w:val="20"/>
          <w:szCs w:val="20"/>
          <w:color w:val="auto"/>
        </w:rPr>
      </w:pPr>
      <w:r>
        <w:rPr>
          <w:rFonts w:ascii="Arial" w:cs="Arial" w:eastAsia="Arial" w:hAnsi="Arial"/>
          <w:sz w:val="16"/>
          <w:szCs w:val="16"/>
          <w:color w:val="auto"/>
        </w:rPr>
        <w:t>In certain cases we supply building materials and labor to site-built construction projects or we jointly bid on contracts with framing companies for such projects. In some instances we are required to post payment and performance bonds to insure the owner that the products and installation services are completed in accordance with our contractual obligations. We have agreed to indemnify the surety for claims made against the bonds. As of March 26, 2011, we had approximately $15.0 million in outstanding payment and performance bonds, which expire during the next two years. In addition, approximately $21.5 million in payment and performance bonds are outstanding for completed projects which are still under warranty.</w:t>
      </w:r>
    </w:p>
    <w:p>
      <w:pPr>
        <w:spacing w:after="0" w:line="185" w:lineRule="exact"/>
        <w:rPr>
          <w:sz w:val="20"/>
          <w:szCs w:val="20"/>
          <w:color w:val="auto"/>
        </w:rPr>
      </w:pPr>
    </w:p>
    <w:p>
      <w:pPr>
        <w:jc w:val="both"/>
        <w:ind w:left="500"/>
        <w:spacing w:after="0" w:line="279" w:lineRule="auto"/>
        <w:rPr>
          <w:sz w:val="20"/>
          <w:szCs w:val="20"/>
          <w:color w:val="auto"/>
        </w:rPr>
      </w:pPr>
      <w:r>
        <w:rPr>
          <w:rFonts w:ascii="Arial" w:cs="Arial" w:eastAsia="Arial" w:hAnsi="Arial"/>
          <w:sz w:val="17"/>
          <w:szCs w:val="17"/>
          <w:color w:val="auto"/>
        </w:rPr>
        <w:t>We have entered into operating leases for certain assets that include a guarantee of a portion of the residual value of the leased assets. If, at the expiration of the initial lease term we do not exercise our option to purchase the leased assets and these assets are sold by the lessor for a price below a predetermined amount, we will reimburse the lessor for a certain portion of the shortfall. These operating leases will expire periodically over the next three years. The estimated maximum aggregate exposure of these guarantees is approximately $0.6 million.</w:t>
      </w:r>
    </w:p>
    <w:p>
      <w:pPr>
        <w:spacing w:after="0" w:line="198"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On March 26, 2011, we had outstanding letters of credit totaling $31.6 million, primarily related to certain insurance contracts and industrial development revenue bonds described further below.</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In lieu of cash deposits, we provide irrevocable letters of credit in favor of our insurers to guarantee our performance under certain insurance contracts. We currently have irrevocable letters of credit outstanding totaling approximately $19.2 million for these types of insurance arrangements. We have reserves recorded on our balance sheet, in accrued liabilities, that reflect our expected future liabilities under these insurance arrangements.</w:t>
      </w:r>
    </w:p>
    <w:p>
      <w:pPr>
        <w:spacing w:after="0" w:line="214"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We are required to provide irrevocable letters of credit in favor of the bond trustees for all of the industrial development revenue bonds that we have issued. These letters of credit guarantee principal and interest payments to the bondholders. We currently have irrevocable letters of credit outstanding totaling approximately $12.4 million related to our outstanding industrial development revenue bonds. These letters of credit have varying terms but may be renewed at the option of the issuing banks.</w:t>
      </w:r>
    </w:p>
    <w:p>
      <w:pPr>
        <w:spacing w:after="0" w:line="214"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color w:val="auto"/>
        </w:rPr>
        <w:t>Certain wholly owned domestic subsidiaries have guaranteed the indebtedness of Universal Forest Products, Inc. in certain debt agreements, including the Series 2002-A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93" w:lineRule="exact"/>
        <w:rPr>
          <w:sz w:val="20"/>
          <w:szCs w:val="20"/>
          <w:color w:val="auto"/>
        </w:rPr>
      </w:pPr>
    </w:p>
    <w:p>
      <w:pPr>
        <w:jc w:val="both"/>
        <w:ind w:left="500"/>
        <w:spacing w:after="0" w:line="293" w:lineRule="auto"/>
        <w:rPr>
          <w:sz w:val="20"/>
          <w:szCs w:val="20"/>
          <w:color w:val="auto"/>
        </w:rPr>
      </w:pPr>
      <w:r>
        <w:rPr>
          <w:rFonts w:ascii="Arial" w:cs="Arial" w:eastAsia="Arial" w:hAnsi="Arial"/>
          <w:sz w:val="16"/>
          <w:szCs w:val="16"/>
          <w:color w:val="auto"/>
        </w:rPr>
        <w:t>Many of our wood treating operations utilize "Subpart W" drip pads, defined as hazardous waste management units by the EPA. The rules regulating drip pads require that the pad be “closed” at the point that it is no longer intended to be used for wood treating operations or to manage hazardous waste. Closure involves identification and disposal of contaminants which are required to be removed from the facility. The cost of closure is dependent upon a number of factors including, but not limited to, identification and removal of contaminants, cleanup standards that vary from state to state, and the time period over which the cleanup would be completed. Based on our present knowledge of existing circumstances, it is considered probable that these costs will approximate $0.7 million. As a result, this amount is recorded in other long-term liabilities on March 26, 2011.</w:t>
      </w:r>
    </w:p>
    <w:p>
      <w:pPr>
        <w:spacing w:after="0" w:line="192"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We did not enter into any new guarantee arrangements during the first quarter of 2011 which would require us to recognize a liability on our balance sheet.</w:t>
      </w:r>
    </w:p>
    <w:p>
      <w:pPr>
        <w:spacing w:after="0" w:line="193"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56" w:lineRule="exact"/>
        <w:rPr>
          <w:rFonts w:ascii="Arial" w:cs="Arial" w:eastAsia="Arial" w:hAnsi="Arial"/>
          <w:sz w:val="18"/>
          <w:szCs w:val="18"/>
          <w:b w:val="1"/>
          <w:bCs w:val="1"/>
          <w:color w:val="auto"/>
        </w:rPr>
      </w:pPr>
    </w:p>
    <w:p>
      <w:pPr>
        <w:ind w:left="5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business combinations were completed in fiscal 2011. We completed the following business combinations in fiscal 2010 which were accounted for using the purchase method (in millions):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1800" w:type="dxa"/>
            <w:vAlign w:val="bottom"/>
            <w:gridSpan w:val="3"/>
          </w:tcPr>
          <w:p>
            <w:pPr>
              <w:spacing w:after="0"/>
              <w:rPr>
                <w:rFonts w:ascii="Arial" w:cs="Arial" w:eastAsia="Arial" w:hAnsi="Arial"/>
                <w:sz w:val="14"/>
                <w:szCs w:val="14"/>
                <w:b w:val="1"/>
                <w:bCs w:val="1"/>
                <w:i w:val="1"/>
                <w:iCs w:val="1"/>
                <w:color w:val="0000EE"/>
              </w:rPr>
            </w:pPr>
            <w:hyperlink w:anchor="page2">
              <w:r>
                <w:rPr>
                  <w:rFonts w:ascii="Arial" w:cs="Arial" w:eastAsia="Arial" w:hAnsi="Arial"/>
                  <w:sz w:val="14"/>
                  <w:szCs w:val="14"/>
                  <w:b w:val="1"/>
                  <w:bCs w:val="1"/>
                  <w:i w:val="1"/>
                  <w:iCs w:val="1"/>
                  <w:color w:val="0000EE"/>
                </w:rPr>
                <w:t>Table of Contents</w:t>
              </w:r>
            </w:hyperlink>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140" w:type="dxa"/>
            <w:vAlign w:val="bottom"/>
            <w:gridSpan w:val="4"/>
          </w:tcPr>
          <w:p>
            <w:pPr>
              <w:ind w:left="1000"/>
              <w:spacing w:after="0"/>
              <w:rPr>
                <w:sz w:val="20"/>
                <w:szCs w:val="20"/>
                <w:color w:val="auto"/>
              </w:rPr>
            </w:pPr>
            <w:r>
              <w:rPr>
                <w:rFonts w:ascii="Arial" w:cs="Arial" w:eastAsia="Arial" w:hAnsi="Arial"/>
                <w:sz w:val="18"/>
                <w:szCs w:val="18"/>
                <w:b w:val="1"/>
                <w:bCs w:val="1"/>
                <w:color w:val="auto"/>
              </w:rPr>
              <w:t>UNIVERSAL FOREST PRODUCTS, INC.</w:t>
            </w:r>
          </w:p>
        </w:tc>
        <w:tc>
          <w:tcPr>
            <w:tcW w:w="2120" w:type="dxa"/>
            <w:vAlign w:val="bottom"/>
          </w:tcPr>
          <w:p>
            <w:pPr>
              <w:spacing w:after="0"/>
              <w:rPr>
                <w:sz w:val="24"/>
                <w:szCs w:val="24"/>
                <w:color w:val="auto"/>
              </w:rPr>
            </w:pPr>
          </w:p>
        </w:tc>
      </w:tr>
      <w:tr>
        <w:trPr>
          <w:trHeight w:val="267"/>
        </w:trPr>
        <w:tc>
          <w:tcPr>
            <w:tcW w:w="52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spacing w:after="0"/>
              <w:rPr>
                <w:sz w:val="23"/>
                <w:szCs w:val="23"/>
                <w:color w:val="auto"/>
              </w:rPr>
            </w:pPr>
          </w:p>
        </w:tc>
      </w:tr>
      <w:tr>
        <w:trPr>
          <w:trHeight w:val="195"/>
        </w:trPr>
        <w:tc>
          <w:tcPr>
            <w:tcW w:w="52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gridSpan w:val="2"/>
          </w:tcPr>
          <w:p>
            <w:pPr>
              <w:ind w:left="240"/>
              <w:spacing w:after="0" w:line="195" w:lineRule="exact"/>
              <w:rPr>
                <w:sz w:val="20"/>
                <w:szCs w:val="20"/>
                <w:color w:val="auto"/>
              </w:rPr>
            </w:pPr>
            <w:r>
              <w:rPr>
                <w:rFonts w:ascii="Arial" w:cs="Arial" w:eastAsia="Arial" w:hAnsi="Arial"/>
                <w:sz w:val="18"/>
                <w:szCs w:val="18"/>
                <w:b w:val="1"/>
                <w:bCs w:val="1"/>
                <w:color w:val="auto"/>
              </w:rPr>
              <w:t>Company</w:t>
            </w:r>
          </w:p>
        </w:tc>
        <w:tc>
          <w:tcPr>
            <w:tcW w:w="1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9"/>
              </w:rPr>
              <w:t>Acquisition</w:t>
            </w:r>
          </w:p>
        </w:tc>
        <w:tc>
          <w:tcPr>
            <w:tcW w:w="13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jc w:val="right"/>
              <w:ind w:right="170"/>
              <w:spacing w:after="0" w:line="195" w:lineRule="exact"/>
              <w:rPr>
                <w:sz w:val="20"/>
                <w:szCs w:val="20"/>
                <w:color w:val="auto"/>
              </w:rPr>
            </w:pPr>
            <w:r>
              <w:rPr>
                <w:rFonts w:ascii="Arial" w:cs="Arial" w:eastAsia="Arial" w:hAnsi="Arial"/>
                <w:sz w:val="18"/>
                <w:szCs w:val="18"/>
                <w:b w:val="1"/>
                <w:bCs w:val="1"/>
                <w:color w:val="auto"/>
              </w:rPr>
              <w:t>Intangible</w:t>
            </w:r>
          </w:p>
        </w:tc>
        <w:tc>
          <w:tcPr>
            <w:tcW w:w="1300" w:type="dxa"/>
            <w:vAlign w:val="bottom"/>
            <w:tcBorders>
              <w:right w:val="single" w:sz="8" w:color="auto"/>
            </w:tcBorders>
          </w:tcPr>
          <w:p>
            <w:pPr>
              <w:jc w:val="right"/>
              <w:ind w:right="90"/>
              <w:spacing w:after="0" w:line="195" w:lineRule="exact"/>
              <w:rPr>
                <w:sz w:val="20"/>
                <w:szCs w:val="20"/>
                <w:color w:val="auto"/>
              </w:rPr>
            </w:pPr>
            <w:r>
              <w:rPr>
                <w:rFonts w:ascii="Arial" w:cs="Arial" w:eastAsia="Arial" w:hAnsi="Arial"/>
                <w:sz w:val="18"/>
                <w:szCs w:val="18"/>
                <w:b w:val="1"/>
                <w:bCs w:val="1"/>
                <w:color w:val="auto"/>
              </w:rPr>
              <w:t>Net Tangible</w:t>
            </w:r>
          </w:p>
        </w:tc>
        <w:tc>
          <w:tcPr>
            <w:tcW w:w="128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b w:val="1"/>
                <w:bCs w:val="1"/>
                <w:color w:val="auto"/>
              </w:rPr>
              <w:t>Operating</w:t>
            </w:r>
          </w:p>
        </w:tc>
        <w:tc>
          <w:tcPr>
            <w:tcW w:w="2120" w:type="dxa"/>
            <w:vAlign w:val="bottom"/>
            <w:tcBorders>
              <w:right w:val="single" w:sz="8" w:color="auto"/>
            </w:tcBorders>
          </w:tcPr>
          <w:p>
            <w:pPr>
              <w:spacing w:after="0"/>
              <w:rPr>
                <w:sz w:val="16"/>
                <w:szCs w:val="16"/>
                <w:color w:val="auto"/>
              </w:rPr>
            </w:pPr>
          </w:p>
        </w:tc>
      </w:tr>
      <w:tr>
        <w:trPr>
          <w:trHeight w:val="255"/>
        </w:trPr>
        <w:tc>
          <w:tcPr>
            <w:tcW w:w="520" w:type="dxa"/>
            <w:vAlign w:val="bottom"/>
            <w:tcBorders>
              <w:right w:val="single" w:sz="8" w:color="auto"/>
            </w:tcBorders>
          </w:tcPr>
          <w:p>
            <w:pPr>
              <w:spacing w:after="0"/>
              <w:rPr>
                <w:sz w:val="22"/>
                <w:szCs w:val="22"/>
                <w:color w:val="auto"/>
              </w:rPr>
            </w:pPr>
          </w:p>
        </w:tc>
        <w:tc>
          <w:tcPr>
            <w:tcW w:w="1280" w:type="dxa"/>
            <w:vAlign w:val="bottom"/>
            <w:tcBorders>
              <w:bottom w:val="single" w:sz="8" w:color="auto"/>
              <w:right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rPr>
              <w:t>Name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w w:val="92"/>
              </w:rPr>
              <w:t>Purchase Price</w:t>
            </w:r>
          </w:p>
        </w:tc>
        <w:tc>
          <w:tcPr>
            <w:tcW w:w="126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Assets</w:t>
            </w:r>
          </w:p>
        </w:tc>
        <w:tc>
          <w:tcPr>
            <w:tcW w:w="130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Assets</w:t>
            </w:r>
          </w:p>
        </w:tc>
        <w:tc>
          <w:tcPr>
            <w:tcW w:w="128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Segment</w:t>
            </w:r>
          </w:p>
        </w:tc>
        <w:tc>
          <w:tcPr>
            <w:tcW w:w="2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w w:val="99"/>
              </w:rPr>
              <w:t>Business Description</w:t>
            </w:r>
          </w:p>
        </w:tc>
      </w:tr>
      <w:tr>
        <w:trPr>
          <w:trHeight w:val="215"/>
        </w:trPr>
        <w:tc>
          <w:tcPr>
            <w:tcW w:w="5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Shepherd</w:t>
            </w:r>
          </w:p>
        </w:tc>
        <w:tc>
          <w:tcPr>
            <w:tcW w:w="12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29, 2010</w:t>
            </w:r>
          </w:p>
        </w:tc>
        <w:tc>
          <w:tcPr>
            <w:tcW w:w="13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$5.9 (asset</w:t>
            </w:r>
          </w:p>
        </w:tc>
        <w:tc>
          <w:tcPr>
            <w:tcW w:w="1260" w:type="dxa"/>
            <w:vAlign w:val="bottom"/>
            <w:tcBorders>
              <w:right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85"/>
              </w:rPr>
              <w:t>$2.2</w:t>
            </w:r>
          </w:p>
        </w:tc>
        <w:tc>
          <w:tcPr>
            <w:tcW w:w="1300" w:type="dxa"/>
            <w:vAlign w:val="bottom"/>
            <w:tcBorders>
              <w:right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85"/>
              </w:rPr>
              <w:t>$3.7</w:t>
            </w:r>
          </w:p>
        </w:tc>
        <w:tc>
          <w:tcPr>
            <w:tcW w:w="12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Distribution</w:t>
            </w:r>
          </w:p>
        </w:tc>
        <w:tc>
          <w:tcPr>
            <w:tcW w:w="21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Distributes shingle</w:t>
            </w:r>
          </w:p>
        </w:tc>
      </w:tr>
      <w:tr>
        <w:trPr>
          <w:trHeight w:val="216"/>
        </w:trPr>
        <w:tc>
          <w:tcPr>
            <w:tcW w:w="5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Distribution Co.</w:t>
            </w:r>
          </w:p>
        </w:tc>
        <w:tc>
          <w:tcPr>
            <w:tcW w:w="1260" w:type="dxa"/>
            <w:vAlign w:val="bottom"/>
            <w:tcBorders>
              <w:right w:val="single" w:sz="8" w:color="auto"/>
            </w:tcBorders>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purchase)</w:t>
            </w:r>
          </w:p>
        </w:tc>
        <w:tc>
          <w:tcPr>
            <w:tcW w:w="1260" w:type="dxa"/>
            <w:vAlign w:val="bottom"/>
            <w:tcBorders>
              <w:right w:val="single" w:sz="8" w:color="auto"/>
            </w:tcBorders>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Division</w:t>
            </w:r>
          </w:p>
        </w:tc>
        <w:tc>
          <w:tcPr>
            <w:tcW w:w="21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underlayment, bottom board,</w:t>
            </w:r>
          </w:p>
        </w:tc>
      </w:tr>
      <w:tr>
        <w:trPr>
          <w:trHeight w:val="216"/>
        </w:trPr>
        <w:tc>
          <w:tcPr>
            <w:tcW w:w="5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(“Shepherd”)</w:t>
            </w:r>
          </w:p>
        </w:tc>
        <w:tc>
          <w:tcPr>
            <w:tcW w:w="1260" w:type="dxa"/>
            <w:vAlign w:val="bottom"/>
            <w:tcBorders>
              <w:right w:val="single" w:sz="8" w:color="auto"/>
            </w:tcBorders>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21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house wrap, siding, poly</w:t>
            </w:r>
          </w:p>
        </w:tc>
      </w:tr>
      <w:tr>
        <w:trPr>
          <w:trHeight w:val="216"/>
        </w:trPr>
        <w:tc>
          <w:tcPr>
            <w:tcW w:w="520" w:type="dxa"/>
            <w:vAlign w:val="bottom"/>
            <w:tcBorders>
              <w:right w:val="single" w:sz="8" w:color="auto"/>
            </w:tcBorders>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21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film and other products to</w:t>
            </w:r>
          </w:p>
        </w:tc>
      </w:tr>
      <w:tr>
        <w:trPr>
          <w:trHeight w:val="216"/>
        </w:trPr>
        <w:tc>
          <w:tcPr>
            <w:tcW w:w="520" w:type="dxa"/>
            <w:vAlign w:val="bottom"/>
            <w:tcBorders>
              <w:right w:val="single" w:sz="8" w:color="auto"/>
            </w:tcBorders>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21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manufactured housing and</w:t>
            </w:r>
          </w:p>
        </w:tc>
      </w:tr>
      <w:tr>
        <w:trPr>
          <w:trHeight w:val="216"/>
        </w:trPr>
        <w:tc>
          <w:tcPr>
            <w:tcW w:w="520" w:type="dxa"/>
            <w:vAlign w:val="bottom"/>
            <w:tcBorders>
              <w:right w:val="single" w:sz="8" w:color="auto"/>
            </w:tcBorders>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21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RV</w:t>
            </w:r>
          </w:p>
        </w:tc>
      </w:tr>
      <w:tr>
        <w:trPr>
          <w:trHeight w:val="216"/>
        </w:trPr>
        <w:tc>
          <w:tcPr>
            <w:tcW w:w="520" w:type="dxa"/>
            <w:vAlign w:val="bottom"/>
            <w:tcBorders>
              <w:right w:val="single" w:sz="8" w:color="auto"/>
            </w:tcBorders>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21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customers. Headquartered</w:t>
            </w:r>
          </w:p>
        </w:tc>
      </w:tr>
      <w:tr>
        <w:trPr>
          <w:trHeight w:val="216"/>
        </w:trPr>
        <w:tc>
          <w:tcPr>
            <w:tcW w:w="520" w:type="dxa"/>
            <w:vAlign w:val="bottom"/>
            <w:tcBorders>
              <w:right w:val="single" w:sz="8" w:color="auto"/>
            </w:tcBorders>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21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in Elkhart, Indiana, it has</w:t>
            </w:r>
          </w:p>
        </w:tc>
      </w:tr>
      <w:tr>
        <w:trPr>
          <w:trHeight w:val="216"/>
        </w:trPr>
        <w:tc>
          <w:tcPr>
            <w:tcW w:w="520" w:type="dxa"/>
            <w:vAlign w:val="bottom"/>
            <w:tcBorders>
              <w:right w:val="single" w:sz="8" w:color="auto"/>
            </w:tcBorders>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21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distribution capabilities</w:t>
            </w:r>
          </w:p>
        </w:tc>
      </w:tr>
      <w:tr>
        <w:trPr>
          <w:trHeight w:val="216"/>
        </w:trPr>
        <w:tc>
          <w:tcPr>
            <w:tcW w:w="520" w:type="dxa"/>
            <w:vAlign w:val="bottom"/>
            <w:tcBorders>
              <w:right w:val="single" w:sz="8" w:color="auto"/>
            </w:tcBorders>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21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throughout the United</w:t>
            </w:r>
          </w:p>
        </w:tc>
      </w:tr>
      <w:tr>
        <w:trPr>
          <w:trHeight w:val="251"/>
        </w:trPr>
        <w:tc>
          <w:tcPr>
            <w:tcW w:w="520" w:type="dxa"/>
            <w:vAlign w:val="bottom"/>
            <w:tcBorders>
              <w:right w:val="single" w:sz="8" w:color="auto"/>
            </w:tcBorders>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right w:val="single" w:sz="8" w:color="auto"/>
            </w:tcBorders>
            <w:shd w:val="clear" w:color="auto" w:fill="CCEEFF"/>
          </w:tcPr>
          <w:p>
            <w:pPr>
              <w:spacing w:after="0"/>
              <w:rPr>
                <w:sz w:val="21"/>
                <w:szCs w:val="21"/>
                <w:color w:val="auto"/>
              </w:rPr>
            </w:pPr>
          </w:p>
        </w:tc>
        <w:tc>
          <w:tcPr>
            <w:tcW w:w="1260" w:type="dxa"/>
            <w:vAlign w:val="bottom"/>
            <w:tcBorders>
              <w:bottom w:val="single" w:sz="8" w:color="auto"/>
              <w:right w:val="single" w:sz="8" w:color="auto"/>
            </w:tcBorders>
            <w:shd w:val="clear" w:color="auto" w:fill="CCEEFF"/>
          </w:tcPr>
          <w:p>
            <w:pPr>
              <w:spacing w:after="0"/>
              <w:rPr>
                <w:sz w:val="21"/>
                <w:szCs w:val="21"/>
                <w:color w:val="auto"/>
              </w:rPr>
            </w:pPr>
          </w:p>
        </w:tc>
        <w:tc>
          <w:tcPr>
            <w:tcW w:w="1300" w:type="dxa"/>
            <w:vAlign w:val="bottom"/>
            <w:tcBorders>
              <w:bottom w:val="single" w:sz="8" w:color="auto"/>
              <w:right w:val="single" w:sz="8" w:color="auto"/>
            </w:tcBorders>
            <w:shd w:val="clear" w:color="auto" w:fill="CCEEFF"/>
          </w:tcPr>
          <w:p>
            <w:pPr>
              <w:spacing w:after="0"/>
              <w:rPr>
                <w:sz w:val="21"/>
                <w:szCs w:val="21"/>
                <w:color w:val="auto"/>
              </w:rPr>
            </w:pPr>
          </w:p>
        </w:tc>
        <w:tc>
          <w:tcPr>
            <w:tcW w:w="1260" w:type="dxa"/>
            <w:vAlign w:val="bottom"/>
            <w:tcBorders>
              <w:bottom w:val="single" w:sz="8" w:color="auto"/>
              <w:right w:val="single" w:sz="8" w:color="auto"/>
            </w:tcBorders>
            <w:shd w:val="clear" w:color="auto" w:fill="CCEEFF"/>
          </w:tcPr>
          <w:p>
            <w:pPr>
              <w:spacing w:after="0"/>
              <w:rPr>
                <w:sz w:val="21"/>
                <w:szCs w:val="21"/>
                <w:color w:val="auto"/>
              </w:rPr>
            </w:pPr>
          </w:p>
        </w:tc>
        <w:tc>
          <w:tcPr>
            <w:tcW w:w="1300" w:type="dxa"/>
            <w:vAlign w:val="bottom"/>
            <w:tcBorders>
              <w:bottom w:val="single" w:sz="8" w:color="auto"/>
              <w:right w:val="single" w:sz="8" w:color="auto"/>
            </w:tcBorders>
            <w:shd w:val="clear" w:color="auto" w:fill="CCEEFF"/>
          </w:tcPr>
          <w:p>
            <w:pPr>
              <w:spacing w:after="0"/>
              <w:rPr>
                <w:sz w:val="21"/>
                <w:szCs w:val="21"/>
                <w:color w:val="auto"/>
              </w:rPr>
            </w:pPr>
          </w:p>
        </w:tc>
        <w:tc>
          <w:tcPr>
            <w:tcW w:w="1280" w:type="dxa"/>
            <w:vAlign w:val="bottom"/>
            <w:tcBorders>
              <w:bottom w:val="single" w:sz="8" w:color="auto"/>
              <w:right w:val="single" w:sz="8" w:color="auto"/>
            </w:tcBorders>
            <w:shd w:val="clear" w:color="auto" w:fill="CCEEFF"/>
          </w:tcPr>
          <w:p>
            <w:pPr>
              <w:spacing w:after="0"/>
              <w:rPr>
                <w:sz w:val="21"/>
                <w:szCs w:val="21"/>
                <w:color w:val="auto"/>
              </w:rPr>
            </w:pPr>
          </w:p>
        </w:tc>
        <w:tc>
          <w:tcPr>
            <w:tcW w:w="21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States.</w:t>
            </w:r>
          </w:p>
        </w:tc>
      </w:tr>
      <w:tr>
        <w:trPr>
          <w:trHeight w:val="215"/>
        </w:trPr>
        <w:tc>
          <w:tcPr>
            <w:tcW w:w="5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7"/>
              </w:rPr>
              <w:t>Service  Supply</w:t>
            </w:r>
          </w:p>
        </w:tc>
        <w:tc>
          <w:tcPr>
            <w:tcW w:w="12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March 8, 2010</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$0.6 (asset</w:t>
            </w:r>
          </w:p>
        </w:tc>
        <w:tc>
          <w:tcPr>
            <w:tcW w:w="1260" w:type="dxa"/>
            <w:vAlign w:val="bottom"/>
            <w:tcBorders>
              <w:right w:val="single" w:sz="8" w:color="auto"/>
            </w:tcBorders>
          </w:tcPr>
          <w:p>
            <w:pPr>
              <w:jc w:val="right"/>
              <w:ind w:right="850"/>
              <w:spacing w:after="0"/>
              <w:rPr>
                <w:sz w:val="20"/>
                <w:szCs w:val="20"/>
                <w:color w:val="auto"/>
              </w:rPr>
            </w:pPr>
            <w:r>
              <w:rPr>
                <w:rFonts w:ascii="Arial" w:cs="Arial" w:eastAsia="Arial" w:hAnsi="Arial"/>
                <w:sz w:val="18"/>
                <w:szCs w:val="18"/>
                <w:color w:val="auto"/>
                <w:w w:val="85"/>
              </w:rPr>
              <w:t>$0.0</w:t>
            </w:r>
          </w:p>
        </w:tc>
        <w:tc>
          <w:tcPr>
            <w:tcW w:w="1300" w:type="dxa"/>
            <w:vAlign w:val="bottom"/>
            <w:tcBorders>
              <w:right w:val="single" w:sz="8" w:color="auto"/>
            </w:tcBorders>
          </w:tcPr>
          <w:p>
            <w:pPr>
              <w:jc w:val="right"/>
              <w:ind w:right="890"/>
              <w:spacing w:after="0"/>
              <w:rPr>
                <w:sz w:val="20"/>
                <w:szCs w:val="20"/>
                <w:color w:val="auto"/>
              </w:rPr>
            </w:pPr>
            <w:r>
              <w:rPr>
                <w:rFonts w:ascii="Arial" w:cs="Arial" w:eastAsia="Arial" w:hAnsi="Arial"/>
                <w:sz w:val="18"/>
                <w:szCs w:val="18"/>
                <w:color w:val="auto"/>
                <w:w w:val="85"/>
              </w:rPr>
              <w:t>$0.6</w:t>
            </w:r>
          </w:p>
        </w:tc>
        <w:tc>
          <w:tcPr>
            <w:tcW w:w="1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Distribution</w:t>
            </w: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Distributes certain</w:t>
            </w:r>
          </w:p>
        </w:tc>
      </w:tr>
      <w:tr>
        <w:trPr>
          <w:trHeight w:val="216"/>
        </w:trPr>
        <w:tc>
          <w:tcPr>
            <w:tcW w:w="5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Distribution,</w:t>
            </w:r>
          </w:p>
        </w:tc>
        <w:tc>
          <w:tcPr>
            <w:tcW w:w="12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purchase)</w:t>
            </w:r>
          </w:p>
        </w:tc>
        <w:tc>
          <w:tcPr>
            <w:tcW w:w="12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Division</w:t>
            </w: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plumbing, electrical,</w:t>
            </w:r>
          </w:p>
        </w:tc>
      </w:tr>
      <w:tr>
        <w:trPr>
          <w:trHeight w:val="216"/>
        </w:trPr>
        <w:tc>
          <w:tcPr>
            <w:tcW w:w="5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Inc.</w:t>
            </w:r>
          </w:p>
        </w:tc>
        <w:tc>
          <w:tcPr>
            <w:tcW w:w="12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adhesives, flooring, paint</w:t>
            </w:r>
          </w:p>
        </w:tc>
      </w:tr>
      <w:tr>
        <w:trPr>
          <w:trHeight w:val="216"/>
        </w:trPr>
        <w:tc>
          <w:tcPr>
            <w:tcW w:w="5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(“Service</w:t>
            </w:r>
          </w:p>
        </w:tc>
        <w:tc>
          <w:tcPr>
            <w:tcW w:w="12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and other products to</w:t>
            </w:r>
          </w:p>
        </w:tc>
      </w:tr>
      <w:tr>
        <w:trPr>
          <w:trHeight w:val="216"/>
        </w:trPr>
        <w:tc>
          <w:tcPr>
            <w:tcW w:w="5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Supply”)</w:t>
            </w:r>
          </w:p>
        </w:tc>
        <w:tc>
          <w:tcPr>
            <w:tcW w:w="12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manufactured housing and</w:t>
            </w:r>
          </w:p>
        </w:tc>
      </w:tr>
      <w:tr>
        <w:trPr>
          <w:trHeight w:val="216"/>
        </w:trPr>
        <w:tc>
          <w:tcPr>
            <w:tcW w:w="52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RV</w:t>
            </w:r>
          </w:p>
        </w:tc>
      </w:tr>
      <w:tr>
        <w:trPr>
          <w:trHeight w:val="216"/>
        </w:trPr>
        <w:tc>
          <w:tcPr>
            <w:tcW w:w="52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customers. Headquartered</w:t>
            </w:r>
          </w:p>
        </w:tc>
      </w:tr>
      <w:tr>
        <w:trPr>
          <w:trHeight w:val="216"/>
        </w:trPr>
        <w:tc>
          <w:tcPr>
            <w:tcW w:w="52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in Cordele, Georgia, it has</w:t>
            </w:r>
          </w:p>
        </w:tc>
      </w:tr>
      <w:tr>
        <w:trPr>
          <w:trHeight w:val="216"/>
        </w:trPr>
        <w:tc>
          <w:tcPr>
            <w:tcW w:w="52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distribution capabilities</w:t>
            </w:r>
          </w:p>
        </w:tc>
      </w:tr>
      <w:tr>
        <w:trPr>
          <w:trHeight w:val="216"/>
        </w:trPr>
        <w:tc>
          <w:tcPr>
            <w:tcW w:w="52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throughout the United</w:t>
            </w:r>
          </w:p>
        </w:tc>
      </w:tr>
      <w:tr>
        <w:trPr>
          <w:trHeight w:val="251"/>
        </w:trPr>
        <w:tc>
          <w:tcPr>
            <w:tcW w:w="520" w:type="dxa"/>
            <w:vAlign w:val="bottom"/>
            <w:tcBorders>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States.</w:t>
            </w:r>
          </w:p>
        </w:tc>
      </w:tr>
    </w:tbl>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business combinations mentioned above were not significant to our operating results individually or in aggregate, and thus pro forma results are not presented.</w:t>
      </w:r>
    </w:p>
    <w:p>
      <w:pPr>
        <w:spacing w:after="0" w:line="193"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56" w:lineRule="exact"/>
        <w:rPr>
          <w:rFonts w:ascii="Arial" w:cs="Arial" w:eastAsia="Arial" w:hAnsi="Arial"/>
          <w:sz w:val="18"/>
          <w:szCs w:val="18"/>
          <w:b w:val="1"/>
          <w:bCs w:val="1"/>
          <w:color w:val="auto"/>
        </w:rPr>
      </w:pPr>
    </w:p>
    <w:p>
      <w:pPr>
        <w:ind w:left="5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 xml:space="preserve">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150" w:lineRule="exact"/>
        <w:rPr>
          <w:rFonts w:ascii="Arial" w:cs="Arial" w:eastAsia="Arial" w:hAnsi="Arial"/>
          <w:sz w:val="18"/>
          <w:szCs w:val="18"/>
          <w:b w:val="1"/>
          <w:bCs w:val="1"/>
          <w:color w:val="auto"/>
        </w:rPr>
      </w:pPr>
    </w:p>
    <w:p>
      <w:pPr>
        <w:jc w:val="both"/>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Our operating segments consist of Eastern, Western, Atlantic, Consumer Products and Distribution divisions. In accordance with ASC 280, due to similar economic characteristics, nature of products, distribution methods, and customers, we have aggregated our Eastern and Western operating segments into one reportable segment. The Atlantic division is considered a separate reportable segment. Our other divisions do not collectively form a reportable segment because their respective operations are dissimilar and they do not meet the applicable quantitative requirements. These operations have been included in the “All Other” column of the table below.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8"/>
          </w:tcPr>
          <w:p>
            <w:pPr>
              <w:jc w:val="right"/>
              <w:ind w:right="720"/>
              <w:spacing w:after="0"/>
              <w:rPr>
                <w:sz w:val="20"/>
                <w:szCs w:val="20"/>
                <w:color w:val="auto"/>
              </w:rPr>
            </w:pPr>
            <w:r>
              <w:rPr>
                <w:rFonts w:ascii="Arial" w:cs="Arial" w:eastAsia="Arial" w:hAnsi="Arial"/>
                <w:sz w:val="18"/>
                <w:szCs w:val="18"/>
                <w:color w:val="auto"/>
              </w:rPr>
              <w:t>Three Months Ended March 26, 2011</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2"/>
        </w:trPr>
        <w:tc>
          <w:tcPr>
            <w:tcW w:w="5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86"/>
              </w:rPr>
              <w:t>Eastern and</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Western</w:t>
            </w:r>
          </w:p>
        </w:tc>
        <w:tc>
          <w:tcPr>
            <w:tcW w:w="16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8"/>
              </w:rPr>
              <w:t>Atlantic</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7"/>
        </w:trPr>
        <w:tc>
          <w:tcPr>
            <w:tcW w:w="5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4"/>
              </w:rPr>
              <w:t>Divisions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53"/>
              <w:spacing w:after="0"/>
              <w:rPr>
                <w:sz w:val="20"/>
                <w:szCs w:val="20"/>
                <w:color w:val="auto"/>
              </w:rPr>
            </w:pPr>
            <w:r>
              <w:rPr>
                <w:rFonts w:ascii="Arial" w:cs="Arial" w:eastAsia="Arial" w:hAnsi="Arial"/>
                <w:sz w:val="18"/>
                <w:szCs w:val="18"/>
                <w:color w:val="auto"/>
                <w:w w:val="98"/>
              </w:rPr>
              <w:t>Division</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Corporate</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All Other</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270,283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86,108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30,842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387,233</w:t>
            </w:r>
          </w:p>
        </w:tc>
        <w:tc>
          <w:tcPr>
            <w:tcW w:w="1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Intersegment net sales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16,841</w:t>
            </w: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9,610</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8,537</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34,988</w:t>
            </w:r>
          </w:p>
        </w:tc>
        <w:tc>
          <w:tcPr>
            <w:tcW w:w="1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(5,081)</w:t>
            </w:r>
          </w:p>
        </w:tc>
        <w:tc>
          <w:tcPr>
            <w:tcW w:w="1100" w:type="dxa"/>
            <w:vAlign w:val="bottom"/>
          </w:tcPr>
          <w:p>
            <w:pPr>
              <w:spacing w:after="0"/>
              <w:rPr>
                <w:sz w:val="18"/>
                <w:szCs w:val="18"/>
                <w:color w:val="auto"/>
              </w:rPr>
            </w:pPr>
          </w:p>
        </w:tc>
      </w:tr>
      <w:tr>
        <w:trPr>
          <w:trHeight w:val="555"/>
        </w:trPr>
        <w:tc>
          <w:tcPr>
            <w:tcW w:w="5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center"/>
              <w:ind w:right="53"/>
              <w:spacing w:after="0"/>
              <w:rPr>
                <w:sz w:val="20"/>
                <w:szCs w:val="20"/>
                <w:color w:val="auto"/>
              </w:rPr>
            </w:pPr>
            <w:r>
              <w:rPr>
                <w:rFonts w:ascii="Arial" w:cs="Arial" w:eastAsia="Arial" w:hAnsi="Arial"/>
                <w:sz w:val="14"/>
                <w:szCs w:val="14"/>
                <w:color w:val="auto"/>
                <w:w w:val="89"/>
              </w:rPr>
              <w:t>13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03"/>
        </w:trPr>
        <w:tc>
          <w:tcPr>
            <w:tcW w:w="50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rFonts w:ascii="Arial" w:cs="Arial" w:eastAsia="Arial" w:hAnsi="Arial"/>
                <w:sz w:val="14"/>
                <w:szCs w:val="14"/>
                <w:b w:val="1"/>
                <w:bCs w:val="1"/>
                <w:i w:val="1"/>
                <w:iCs w:val="1"/>
                <w:color w:val="0000EE"/>
              </w:rPr>
            </w:pPr>
            <w:hyperlink w:anchor="page2">
              <w:r>
                <w:rPr>
                  <w:rFonts w:ascii="Arial" w:cs="Arial" w:eastAsia="Arial" w:hAnsi="Arial"/>
                  <w:sz w:val="14"/>
                  <w:szCs w:val="14"/>
                  <w:b w:val="1"/>
                  <w:bCs w:val="1"/>
                  <w:i w:val="1"/>
                  <w:iCs w:val="1"/>
                  <w:color w:val="0000EE"/>
                </w:rPr>
                <w:t>Table of Contents</w:t>
              </w:r>
            </w:hyperlink>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53"/>
        </w:trPr>
        <w:tc>
          <w:tcPr>
            <w:tcW w:w="5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gridSpan w:val="9"/>
          </w:tcPr>
          <w:p>
            <w:pPr>
              <w:jc w:val="center"/>
              <w:ind w:right="480"/>
              <w:spacing w:after="0"/>
              <w:rPr>
                <w:sz w:val="20"/>
                <w:szCs w:val="20"/>
                <w:color w:val="auto"/>
              </w:rPr>
            </w:pPr>
            <w:r>
              <w:rPr>
                <w:rFonts w:ascii="Arial" w:cs="Arial" w:eastAsia="Arial" w:hAnsi="Arial"/>
                <w:sz w:val="18"/>
                <w:szCs w:val="18"/>
                <w:b w:val="1"/>
                <w:bCs w:val="1"/>
                <w:color w:val="auto"/>
                <w:w w:val="99"/>
              </w:rPr>
              <w:t>UNIVERSAL FOREST PRODUCTS, INC.</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8"/>
          </w:tcPr>
          <w:p>
            <w:pPr>
              <w:ind w:left="380"/>
              <w:spacing w:after="0"/>
              <w:rPr>
                <w:sz w:val="20"/>
                <w:szCs w:val="20"/>
                <w:color w:val="auto"/>
              </w:rPr>
            </w:pPr>
            <w:r>
              <w:rPr>
                <w:rFonts w:ascii="Arial" w:cs="Arial" w:eastAsia="Arial" w:hAnsi="Arial"/>
                <w:sz w:val="18"/>
                <w:szCs w:val="18"/>
                <w:color w:val="auto"/>
              </w:rPr>
              <w:t>Three Months Ended March 27, 2010</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86"/>
              </w:rPr>
              <w:t>Eastern and</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Western</w:t>
            </w:r>
          </w:p>
        </w:tc>
        <w:tc>
          <w:tcPr>
            <w:tcW w:w="16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8"/>
              </w:rPr>
              <w:t>Atlantic</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4"/>
              </w:rPr>
              <w:t>Divisions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8"/>
              </w:rPr>
              <w:t>Division</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Corporate</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All Other</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276,431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89,972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26,555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392,958</w:t>
            </w:r>
          </w:p>
        </w:tc>
      </w:tr>
      <w:tr>
        <w:trPr>
          <w:trHeight w:val="216"/>
        </w:trPr>
        <w:tc>
          <w:tcPr>
            <w:tcW w:w="50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Intersegment net sales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20,160</w:t>
            </w: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7,628</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14,201</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41,989</w:t>
            </w:r>
          </w:p>
        </w:tc>
      </w:tr>
      <w:tr>
        <w:trPr>
          <w:trHeight w:val="216"/>
        </w:trPr>
        <w:tc>
          <w:tcPr>
            <w:tcW w:w="50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 profit (loss)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6,131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2,973</w:t>
            </w:r>
          </w:p>
        </w:tc>
      </w:tr>
    </w:tbl>
    <w:p>
      <w:pPr>
        <w:spacing w:after="0" w:line="225"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rFonts w:ascii="Arial" w:cs="Arial" w:eastAsia="Arial" w:hAnsi="Arial"/>
          <w:sz w:val="18"/>
          <w:szCs w:val="18"/>
          <w:b w:val="1"/>
          <w:bCs w:val="1"/>
          <w:color w:val="auto"/>
        </w:rPr>
      </w:pPr>
    </w:p>
    <w:p>
      <w:pPr>
        <w:jc w:val="both"/>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Our effective tax rate was a benefit of 40.0% for the first quarter 2011, which exceeded our statutory rate of 35%, primarily due to permanent tax differences between book and tax income and the effect of the state income taxes. Our effective tax rate was 22.1% for the first quarter 2010, which is well below our statutory rate, primarily due to the profits of our Canadian subsidiary and a partnership in which we own a 50% interest and present on a consolidated basis in our financial statements. These entities comprised over half of our pre-tax profits for the quarter. Since our Canadian subsidiary has a net operating loss carry-forward and we have a full valuation allowance against this deferred tax asset, these profits had no related income tax expense in the first quarter of 2010.</w:t>
      </w:r>
    </w:p>
    <w:p>
      <w:pPr>
        <w:spacing w:after="0" w:line="216" w:lineRule="exact"/>
        <w:rPr>
          <w:rFonts w:ascii="Arial" w:cs="Arial" w:eastAsia="Arial" w:hAnsi="Arial"/>
          <w:sz w:val="18"/>
          <w:szCs w:val="18"/>
          <w:b w:val="1"/>
          <w:bCs w:val="1"/>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6"/>
          <w:szCs w:val="16"/>
          <w:color w:val="auto"/>
        </w:rPr>
        <w:t>On April 13, 2011, our Board approved a semi-annual dividend of $0.20 per share, payable on June 15, 2011 to shareholders of record on June 1, 2011.</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4" w:name="page15"/>
    <w:bookmarkEnd w:id="14"/>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Please be aware that: Any statements included in this report that are not historical facts are forward-looking statements within the meaning of Section 21E of the Securities Exchange Act of 1934, as amended. Such forward-looking statements are based on the beliefs of the Company's management as well as on assumptions made by, and information currently available to, the Company at the time such statements were made. The Company does not undertake to update forward-looking statements to reflect facts, circumstances, assumptions or events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adverse lumber market trends, competitive activity, negative economic trends, government regulations and weather. Certain of these risk factors and additional information are included in the Company's reports on Form 10-K and 10-Q on file with the Securities and Exchange Commission. We are pleased to present this overview of 2011.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results for the first quarter of 2011 were impacted by the following:</w:t>
      </w:r>
    </w:p>
    <w:p>
      <w:pPr>
        <w:spacing w:after="0" w:line="252" w:lineRule="exact"/>
        <w:rPr>
          <w:sz w:val="20"/>
          <w:szCs w:val="20"/>
          <w:color w:val="auto"/>
        </w:rPr>
      </w:pPr>
    </w:p>
    <w:p>
      <w:pPr>
        <w:jc w:val="both"/>
        <w:ind w:left="180" w:hanging="172"/>
        <w:spacing w:after="0" w:line="273" w:lineRule="auto"/>
        <w:tabs>
          <w:tab w:leader="none" w:pos="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overall unit sales decreased 1% compared to the first quarter of 2010 due to a decline in sales to our site-built, DIY/retail and manufactured housing markets, offset by a significant increase in unit sales to our industrial market. We believe we gained additional share of the industrial and manufactured housing markets we serve. Share gains in our industrial market were achieved by adding many new customers and increased demand of existing customers, while share gains in manufactured housing were achieved by acquiring distribution operations. We believe we have maintained our share of the DIY/retail market. Finally, we recently closed several plants that supply the site-built housing market in order to achieve profitability and cash flow goals. Consequently, we believe that these actions may temporarily cause us to lose some market share.</w:t>
      </w:r>
    </w:p>
    <w:p>
      <w:pPr>
        <w:spacing w:after="0" w:line="205" w:lineRule="exact"/>
        <w:rPr>
          <w:rFonts w:ascii="Arial" w:cs="Arial" w:eastAsia="Arial" w:hAnsi="Arial"/>
          <w:sz w:val="17"/>
          <w:szCs w:val="17"/>
          <w:color w:val="auto"/>
        </w:rPr>
      </w:pPr>
    </w:p>
    <w:p>
      <w:pPr>
        <w:ind w:left="180" w:hanging="172"/>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Lumber Market was up 0.7% in the quarter compared to the same period of 2010. Therefore, lumber prices had a minor impact on the change in our sales comparing the first quarter of 2011 and 2010.</w:t>
      </w:r>
    </w:p>
    <w:p>
      <w:pPr>
        <w:spacing w:after="0" w:line="197" w:lineRule="exact"/>
        <w:rPr>
          <w:rFonts w:ascii="Arial" w:cs="Arial" w:eastAsia="Arial" w:hAnsi="Arial"/>
          <w:sz w:val="18"/>
          <w:szCs w:val="18"/>
          <w:color w:val="auto"/>
        </w:rPr>
      </w:pPr>
    </w:p>
    <w:p>
      <w:pPr>
        <w:ind w:left="180" w:hanging="172"/>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National housing starts decreased approximately 10% in the period from December through February of 2011 (our sales trail housing starts by about a month), compared to the same period of 2010, likely due to the expiration of certain government tax credits in 2010.</w:t>
      </w:r>
    </w:p>
    <w:p>
      <w:pPr>
        <w:spacing w:after="0" w:line="197" w:lineRule="exact"/>
        <w:rPr>
          <w:rFonts w:ascii="Arial" w:cs="Arial" w:eastAsia="Arial" w:hAnsi="Arial"/>
          <w:sz w:val="18"/>
          <w:szCs w:val="18"/>
          <w:color w:val="auto"/>
        </w:rPr>
      </w:pPr>
    </w:p>
    <w:p>
      <w:pPr>
        <w:ind w:left="180" w:hanging="172"/>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Shipments of HUD code manufactured homes were down 14% in January and February of 2011, compared to the same period of 2010. Shipments of manufactured homes were also positively impacted by certain tax credits in 2010 that have now expired.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jc w:val="both"/>
        <w:ind w:left="180" w:hanging="172"/>
        <w:spacing w:after="0" w:line="270" w:lineRule="auto"/>
        <w:tabs>
          <w:tab w:leader="none" w:pos="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gross profit percentage decreased to 10.7% from 13.1% comparing the first quarter of 2011 with the same period of 2010. In addition, our gross profit dollars decreased by 20% comparing the first quarter of 2011 with the same period of 2010, which compares unfavorably to our 1% decrease in unit sales. The decline in our gross margin and profitability this quarter was due to several factors. Most notably, gross margins on sales to the DIY/retail market declined 330 basis points for the quarter resulting from an increase in material costs as a percentage of sales to this market. This was primarily due to the Lumber Market, which was increasing during the first quarter of 2010, and as a result, improved margins on products whose prices were indexed to the current Lumber Market. Also, competitive pricing pressure adversely impacted 2011 margins. In addition, a decline in sales to our DIY/retail, site-built, and manufactured housing markets adversely impacted our margins due to fixed manufacturing costs. Major winter storms in January and February impacted transportation and production in many parts of the country which caused us to lose approximately 219 production days to weather nation-wide during the quarter. As a result, unfavorable cost variances increased by $3.4 million this year due to lost sales volume and lost production days due to inclement weather.</w:t>
      </w:r>
    </w:p>
    <w:p>
      <w:pPr>
        <w:spacing w:after="0" w:line="204" w:lineRule="exact"/>
        <w:rPr>
          <w:rFonts w:ascii="Arial" w:cs="Arial" w:eastAsia="Arial" w:hAnsi="Arial"/>
          <w:sz w:val="17"/>
          <w:szCs w:val="17"/>
          <w:color w:val="auto"/>
        </w:rPr>
      </w:pPr>
    </w:p>
    <w:p>
      <w:pPr>
        <w:jc w:val="both"/>
        <w:ind w:left="180" w:hanging="172"/>
        <w:spacing w:after="0" w:line="264"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cash flow used in operating activities increased to $109 million in the first quarter of 2011 compared to $78 million last year, reflecting much higher inventory levels in 2011. We currently anticipate achieving strong cash flows from operations for the balance of the year as we move beyond our seasonal peak for working capital requirements.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180" w:type="dxa"/>
            <w:vAlign w:val="bottom"/>
          </w:tcPr>
          <w:p>
            <w:pPr>
              <w:jc w:val="center"/>
              <w:ind w:left="2850"/>
              <w:spacing w:after="0"/>
              <w:rPr>
                <w:sz w:val="20"/>
                <w:szCs w:val="20"/>
                <w:color w:val="auto"/>
              </w:rPr>
            </w:pPr>
            <w:r>
              <w:rPr>
                <w:rFonts w:ascii="Arial" w:cs="Arial" w:eastAsia="Arial" w:hAnsi="Arial"/>
                <w:sz w:val="18"/>
                <w:szCs w:val="18"/>
                <w:b w:val="1"/>
                <w:bCs w:val="1"/>
                <w:color w:val="auto"/>
              </w:rPr>
              <w:t>HISTORICAL LUMBER PRICES</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340" w:type="dxa"/>
            <w:vAlign w:val="bottom"/>
            <w:gridSpan w:val="2"/>
          </w:tcPr>
          <w:p>
            <w:pPr>
              <w:spacing w:after="0"/>
              <w:rPr>
                <w:sz w:val="20"/>
                <w:szCs w:val="20"/>
                <w:color w:val="auto"/>
              </w:rPr>
            </w:pPr>
            <w:r>
              <w:rPr>
                <w:rFonts w:ascii="Arial" w:cs="Arial" w:eastAsia="Arial" w:hAnsi="Arial"/>
                <w:sz w:val="18"/>
                <w:szCs w:val="18"/>
                <w:color w:val="auto"/>
              </w:rPr>
              <w:t>The following table presents the Random Lengths framing lumber composite price:</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6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gridSpan w:val="7"/>
          </w:tcPr>
          <w:p>
            <w:pPr>
              <w:ind w:left="240"/>
              <w:spacing w:after="0"/>
              <w:rPr>
                <w:sz w:val="20"/>
                <w:szCs w:val="20"/>
                <w:color w:val="auto"/>
              </w:rPr>
            </w:pPr>
            <w:r>
              <w:rPr>
                <w:rFonts w:ascii="Arial" w:cs="Arial" w:eastAsia="Arial" w:hAnsi="Arial"/>
                <w:sz w:val="18"/>
                <w:szCs w:val="18"/>
                <w:color w:val="auto"/>
              </w:rPr>
              <w:t>Random Lengths Composite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8"/>
                <w:szCs w:val="18"/>
                <w:color w:val="auto"/>
              </w:rPr>
              <w:t>Average $/MBF</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2011</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2010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10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February</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296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First quarter average</w:t>
            </w:r>
          </w:p>
        </w:tc>
        <w:tc>
          <w:tcPr>
            <w:tcW w:w="10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First quarter percentage change from 2010</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5"/>
        </w:trPr>
        <w:tc>
          <w:tcPr>
            <w:tcW w:w="7340" w:type="dxa"/>
            <w:vAlign w:val="bottom"/>
            <w:gridSpan w:val="2"/>
          </w:tcPr>
          <w:p>
            <w:pPr>
              <w:jc w:val="right"/>
              <w:ind w:right="1470"/>
              <w:spacing w:after="0"/>
              <w:rPr>
                <w:sz w:val="20"/>
                <w:szCs w:val="20"/>
                <w:color w:val="auto"/>
              </w:rPr>
            </w:pPr>
            <w:r>
              <w:rPr>
                <w:rFonts w:ascii="Arial" w:cs="Arial" w:eastAsia="Arial" w:hAnsi="Arial"/>
                <w:sz w:val="14"/>
                <w:szCs w:val="14"/>
                <w:color w:val="auto"/>
              </w:rPr>
              <w:t>16</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160" w:type="dxa"/>
            <w:vAlign w:val="bottom"/>
            <w:tcBorders>
              <w:bottom w:val="single" w:sz="8" w:color="808080"/>
            </w:tcBorders>
          </w:tcPr>
          <w:p>
            <w:pPr>
              <w:spacing w:after="0"/>
              <w:rPr>
                <w:sz w:val="8"/>
                <w:szCs w:val="8"/>
                <w:color w:val="auto"/>
              </w:rPr>
            </w:pPr>
          </w:p>
        </w:tc>
        <w:tc>
          <w:tcPr>
            <w:tcW w:w="6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 Southern Yellow Pine ("SYP") composite price, which we prepare and use, is presented below. Sales of products produced using this species, which primarily consists of our preservative-treated products, may comprise up to 50% of our sales volume.</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60" w:type="dxa"/>
            <w:vAlign w:val="bottom"/>
            <w:gridSpan w:val="5"/>
          </w:tcPr>
          <w:p>
            <w:pPr>
              <w:jc w:val="right"/>
              <w:ind w:right="160"/>
              <w:spacing w:after="0"/>
              <w:rPr>
                <w:sz w:val="20"/>
                <w:szCs w:val="20"/>
                <w:color w:val="auto"/>
              </w:rPr>
            </w:pPr>
            <w:r>
              <w:rPr>
                <w:rFonts w:ascii="Arial" w:cs="Arial" w:eastAsia="Arial" w:hAnsi="Arial"/>
                <w:sz w:val="18"/>
                <w:szCs w:val="18"/>
                <w:color w:val="auto"/>
              </w:rPr>
              <w:t>Random Lengths SYP</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6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8"/>
                <w:szCs w:val="18"/>
                <w:color w:val="auto"/>
              </w:rPr>
              <w:t>Average $/MBF</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2010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24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February</w:t>
            </w:r>
          </w:p>
        </w:tc>
        <w:tc>
          <w:tcPr>
            <w:tcW w:w="1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289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1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First quarter average</w:t>
            </w:r>
          </w:p>
        </w:tc>
        <w:tc>
          <w:tcPr>
            <w:tcW w:w="24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First quarter percentage change from 2010</w:t>
            </w:r>
          </w:p>
        </w:tc>
        <w:tc>
          <w:tcPr>
            <w:tcW w:w="1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(8.0%)</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IMPACT OF THE LUMBER MARKET ON OUR OPERATING RESULTS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experience significant fluctuations in the cost of commodity lumber products from primary producers ("Lumber Market"). We generally try to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are a significant percentage of our cost of goods sold.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Our gross margins are impacted by both (1) the relative </w:t>
      </w:r>
      <w:r>
        <w:rPr>
          <w:rFonts w:ascii="Arial" w:cs="Arial" w:eastAsia="Arial" w:hAnsi="Arial"/>
          <w:sz w:val="16"/>
          <w:szCs w:val="16"/>
          <w:u w:val="single" w:color="auto"/>
          <w:color w:val="auto"/>
        </w:rPr>
        <w:t>level</w:t>
      </w:r>
      <w:r>
        <w:rPr>
          <w:rFonts w:ascii="Arial" w:cs="Arial" w:eastAsia="Arial" w:hAnsi="Arial"/>
          <w:sz w:val="16"/>
          <w:szCs w:val="16"/>
          <w:color w:val="auto"/>
        </w:rPr>
        <w:t xml:space="preserve"> of the Lumber Market (i.e. whether prices are higher or lower from comparative periods), and</w:t>
      </w:r>
    </w:p>
    <w:p>
      <w:pPr>
        <w:spacing w:after="0" w:line="46" w:lineRule="exact"/>
        <w:rPr>
          <w:sz w:val="20"/>
          <w:szCs w:val="20"/>
          <w:color w:val="auto"/>
        </w:rPr>
      </w:pPr>
    </w:p>
    <w:p>
      <w:pPr>
        <w:jc w:val="both"/>
        <w:ind w:firstLine="8"/>
        <w:spacing w:after="0" w:line="254"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the Lumber Market impact our products differently.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jc w:val="both"/>
        <w:ind w:left="180" w:hanging="172"/>
        <w:spacing w:after="0" w:line="297" w:lineRule="auto"/>
        <w:tabs>
          <w:tab w:leader="none" w:pos="18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Products with fixed selling prices.</w:t>
      </w:r>
      <w:r>
        <w:rPr>
          <w:rFonts w:ascii="Arial" w:cs="Arial" w:eastAsia="Arial" w:hAnsi="Arial"/>
          <w:sz w:val="16"/>
          <w:szCs w:val="16"/>
          <w:color w:val="auto"/>
        </w:rPr>
        <w:t xml:space="preserve"> These products include value-added products such as decking and fencing sold to DIY/retail customers, as well as trusses, wall panels and other components sold to the site-built construction market, and most industrial packaging products. Prices for these products are generally fixed at the time of the sales quotation for a specified period of time or are based upon a specific quantity. In order to maintain margins and reduce any exposure to adverse </w:t>
      </w:r>
      <w:r>
        <w:rPr>
          <w:rFonts w:ascii="Arial" w:cs="Arial" w:eastAsia="Arial" w:hAnsi="Arial"/>
          <w:sz w:val="16"/>
          <w:szCs w:val="16"/>
          <w:u w:val="single" w:color="auto"/>
          <w:color w:val="auto"/>
        </w:rPr>
        <w:t>trends</w:t>
      </w:r>
      <w:r>
        <w:rPr>
          <w:rFonts w:ascii="Arial" w:cs="Arial" w:eastAsia="Arial" w:hAnsi="Arial"/>
          <w:sz w:val="16"/>
          <w:szCs w:val="16"/>
          <w:color w:val="auto"/>
        </w:rPr>
        <w:t xml:space="preserve"> in the price of component lumber products, we attempt to lock in costs for these sales commitments with our suppliers. Also, the time period and quantity limitations generally allow us to re-price our products for changes in lumber costs from our suppliers.</w:t>
      </w:r>
    </w:p>
    <w:p>
      <w:pPr>
        <w:spacing w:after="0" w:line="185" w:lineRule="exact"/>
        <w:rPr>
          <w:rFonts w:ascii="Arial" w:cs="Arial" w:eastAsia="Arial" w:hAnsi="Arial"/>
          <w:sz w:val="16"/>
          <w:szCs w:val="16"/>
          <w:color w:val="auto"/>
        </w:rPr>
      </w:pPr>
    </w:p>
    <w:p>
      <w:pPr>
        <w:jc w:val="both"/>
        <w:ind w:left="180" w:hanging="172"/>
        <w:spacing w:after="0" w:line="273" w:lineRule="auto"/>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Products with selling prices indexed to the reported Lumber Market with a fixed dollar "adder" to cover conversion costs and profits.</w:t>
      </w:r>
      <w:r>
        <w:rPr>
          <w:rFonts w:ascii="Arial" w:cs="Arial" w:eastAsia="Arial" w:hAnsi="Arial"/>
          <w:sz w:val="17"/>
          <w:szCs w:val="17"/>
          <w:color w:val="auto"/>
        </w:rPr>
        <w:t xml:space="preserve"> These products primarily include treated lumber, remanufactured lumber, and trusses sold to the manufactured housing industry. For these products, we estimate the customers' needs and carry anticipated levels of inventory. Because lumber costs are incurred in advance of final sale prices, subsequent increases or decreases in the market price of lumber impact our gross margins. For these products, our margins are exposed to changes in the </w:t>
      </w:r>
      <w:r>
        <w:rPr>
          <w:rFonts w:ascii="Arial" w:cs="Arial" w:eastAsia="Arial" w:hAnsi="Arial"/>
          <w:sz w:val="17"/>
          <w:szCs w:val="17"/>
          <w:u w:val="single" w:color="auto"/>
          <w:color w:val="auto"/>
        </w:rPr>
        <w:t>trend</w:t>
      </w:r>
      <w:r>
        <w:rPr>
          <w:rFonts w:ascii="Arial" w:cs="Arial" w:eastAsia="Arial" w:hAnsi="Arial"/>
          <w:sz w:val="17"/>
          <w:szCs w:val="17"/>
          <w:color w:val="auto"/>
        </w:rPr>
        <w:t xml:space="preserve"> of lumber prices. As a result of the decline in the housing market and our sales to site-built customers, a greater percentage of our sales fall into this general pricing category. Consequently, we believe our profitability may be impacted to a greater extent to changes in the trend of lumber prices.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lumber prices have their greatest impact on the following products:</w:t>
      </w:r>
    </w:p>
    <w:p>
      <w:pPr>
        <w:spacing w:after="0" w:line="252" w:lineRule="exact"/>
        <w:rPr>
          <w:sz w:val="20"/>
          <w:szCs w:val="20"/>
          <w:color w:val="auto"/>
        </w:rPr>
      </w:pPr>
    </w:p>
    <w:p>
      <w:pPr>
        <w:jc w:val="both"/>
        <w:ind w:left="180" w:hanging="172"/>
        <w:spacing w:after="0" w:line="255"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Products with significant inventory levels with low turnover rates, whose selling prices are indexed to the Lumber Market.</w:t>
      </w:r>
      <w:r>
        <w:rPr>
          <w:rFonts w:ascii="Arial" w:cs="Arial" w:eastAsia="Arial" w:hAnsi="Arial"/>
          <w:sz w:val="18"/>
          <w:szCs w:val="18"/>
          <w:color w:val="auto"/>
        </w:rPr>
        <w:t xml:space="preserve"> In other words, the longer the period of time these products remain in inventory, the greater the exposure to changes in the price of lumber. This would include treated lumber, which comprises approximately 17% of our total sales. This exposure is less significant with remanufactured lumber, trusses sold to the manufactured housing market, and other similar products, due to the higher rate of inventory turnover. We attempt to mitigate the risk associated with treated lumber through vendor consignment inventory programs. (</w:t>
      </w:r>
      <w:r>
        <w:rPr>
          <w:rFonts w:ascii="Arial" w:cs="Arial" w:eastAsia="Arial" w:hAnsi="Arial"/>
          <w:sz w:val="18"/>
          <w:szCs w:val="18"/>
          <w:i w:val="1"/>
          <w:iCs w:val="1"/>
          <w:color w:val="auto"/>
        </w:rPr>
        <w:t>Please refer to the “Risk Factors” section of our annual report on form 10-K, filed with the United States</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and Exchange Commission.</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ind w:left="180" w:right="20" w:hanging="172"/>
        <w:spacing w:after="0" w:line="277"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Products with fixed selling prices sold under long-term supply arrangements, particularly those involving multi-family construction projects.</w:t>
      </w:r>
      <w:r>
        <w:rPr>
          <w:rFonts w:ascii="Arial" w:cs="Arial" w:eastAsia="Arial" w:hAnsi="Arial"/>
          <w:sz w:val="18"/>
          <w:szCs w:val="18"/>
          <w:color w:val="auto"/>
        </w:rPr>
        <w:t xml:space="preserve"> We attempt to mitigate this risk through our purchasing practices by locking in costs.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addition to the impact of the Lumber Market </w:t>
      </w:r>
      <w:r>
        <w:rPr>
          <w:rFonts w:ascii="Arial" w:cs="Arial" w:eastAsia="Arial" w:hAnsi="Arial"/>
          <w:sz w:val="18"/>
          <w:szCs w:val="18"/>
          <w:u w:val="single" w:color="auto"/>
          <w:color w:val="auto"/>
        </w:rPr>
        <w:t>trends</w:t>
      </w:r>
      <w:r>
        <w:rPr>
          <w:rFonts w:ascii="Arial" w:cs="Arial" w:eastAsia="Arial" w:hAnsi="Arial"/>
          <w:sz w:val="18"/>
          <w:szCs w:val="18"/>
          <w:color w:val="auto"/>
        </w:rPr>
        <w:t xml:space="preserve"> on gross margins, changes in the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of the market cause fluctuations in gross margins when comparing operating results from period to period. This is explained in the following example, which assumes the price of lumber has increased from period one to period two, with no 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within each period.</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2620" w:type="dxa"/>
            <w:vAlign w:val="bottom"/>
            <w:gridSpan w:val="3"/>
          </w:tcPr>
          <w:p>
            <w:pPr>
              <w:spacing w:after="0"/>
              <w:rPr>
                <w:rFonts w:ascii="Arial" w:cs="Arial" w:eastAsia="Arial" w:hAnsi="Arial"/>
                <w:sz w:val="14"/>
                <w:szCs w:val="14"/>
                <w:b w:val="1"/>
                <w:bCs w:val="1"/>
                <w:i w:val="1"/>
                <w:iCs w:val="1"/>
                <w:color w:val="0000EE"/>
              </w:rPr>
            </w:pPr>
            <w:hyperlink w:anchor="page2">
              <w:r>
                <w:rPr>
                  <w:rFonts w:ascii="Arial" w:cs="Arial" w:eastAsia="Arial" w:hAnsi="Arial"/>
                  <w:sz w:val="14"/>
                  <w:szCs w:val="14"/>
                  <w:b w:val="1"/>
                  <w:bCs w:val="1"/>
                  <w:i w:val="1"/>
                  <w:iCs w:val="1"/>
                  <w:color w:val="0000EE"/>
                </w:rPr>
                <w:t>Table of Contents</w:t>
              </w:r>
            </w:hyperlink>
          </w:p>
        </w:tc>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518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UNIVERSAL FOREST PRODUCTS, INC.</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Period 1</w:t>
            </w:r>
          </w:p>
        </w:tc>
        <w:tc>
          <w:tcPr>
            <w:tcW w:w="180" w:type="dxa"/>
            <w:vAlign w:val="bottom"/>
          </w:tcPr>
          <w:p>
            <w:pPr>
              <w:spacing w:after="0"/>
              <w:rPr>
                <w:sz w:val="24"/>
                <w:szCs w:val="2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Period 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Lumber cost</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Conversion cost</w:t>
            </w:r>
          </w:p>
        </w:tc>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Product cost</w:t>
            </w:r>
          </w:p>
        </w:tc>
        <w:tc>
          <w:tcPr>
            <w:tcW w:w="3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Adder</w:t>
            </w:r>
          </w:p>
        </w:tc>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Sell price</w:t>
            </w:r>
          </w:p>
        </w:tc>
        <w:tc>
          <w:tcPr>
            <w:tcW w:w="37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3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As is apparent from the preceding example, the </w:t>
      </w:r>
      <w:r>
        <w:rPr>
          <w:rFonts w:ascii="Arial" w:cs="Arial" w:eastAsia="Arial" w:hAnsi="Arial"/>
          <w:sz w:val="17"/>
          <w:szCs w:val="17"/>
          <w:u w:val="single" w:color="auto"/>
          <w:color w:val="auto"/>
        </w:rPr>
        <w:t>level</w:t>
      </w:r>
      <w:r>
        <w:rPr>
          <w:rFonts w:ascii="Arial" w:cs="Arial" w:eastAsia="Arial" w:hAnsi="Arial"/>
          <w:sz w:val="17"/>
          <w:szCs w:val="17"/>
          <w:color w:val="auto"/>
        </w:rPr>
        <w:t xml:space="preserve"> of lumber prices does not impact our overall profits, but does impact our margins. Gross margins are negatively impacted during periods of high lumber prices; conversely, we experience margin improvement when lumber prices are relatively low.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COMBINATIONS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Consolidated Condensed Financial Statements, Note G, "Business Combinations."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for the periods indicated, the components of our Consolidated Condensed Statements of Earnings as a percentage of net sales.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740" w:type="dxa"/>
            <w:vAlign w:val="bottom"/>
            <w:gridSpan w:val="4"/>
          </w:tcPr>
          <w:p>
            <w:pPr>
              <w:jc w:val="right"/>
              <w:ind w:right="420"/>
              <w:spacing w:after="0"/>
              <w:rPr>
                <w:sz w:val="20"/>
                <w:szCs w:val="20"/>
                <w:color w:val="auto"/>
              </w:rPr>
            </w:pPr>
            <w:r>
              <w:rPr>
                <w:rFonts w:ascii="Arial" w:cs="Arial" w:eastAsia="Arial" w:hAnsi="Arial"/>
                <w:sz w:val="18"/>
                <w:szCs w:val="18"/>
                <w:color w:val="auto"/>
                <w:w w:val="99"/>
              </w:rPr>
              <w:t>For the Three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420" w:type="dxa"/>
            <w:vAlign w:val="bottom"/>
            <w:tcBorders>
              <w:top w:val="single" w:sz="8" w:color="auto"/>
            </w:tcBorders>
            <w:gridSpan w:val="2"/>
          </w:tcPr>
          <w:p>
            <w:pPr>
              <w:jc w:val="center"/>
              <w:ind w:right="320"/>
              <w:spacing w:after="0" w:line="201" w:lineRule="exact"/>
              <w:rPr>
                <w:sz w:val="20"/>
                <w:szCs w:val="20"/>
                <w:color w:val="auto"/>
              </w:rPr>
            </w:pPr>
            <w:r>
              <w:rPr>
                <w:rFonts w:ascii="Arial" w:cs="Arial" w:eastAsia="Arial" w:hAnsi="Arial"/>
                <w:sz w:val="18"/>
                <w:szCs w:val="18"/>
                <w:color w:val="auto"/>
                <w:w w:val="92"/>
              </w:rPr>
              <w:t>March 26,</w:t>
            </w:r>
          </w:p>
        </w:tc>
        <w:tc>
          <w:tcPr>
            <w:tcW w:w="112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rPr>
              <w:t>March 27,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2011</w:t>
            </w:r>
          </w:p>
        </w:tc>
        <w:tc>
          <w:tcPr>
            <w:tcW w:w="34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Cost of goods sold</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89.3</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12.0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loss on disposition of assets and other impairment and exit charges</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Earnings (loss) from operations</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net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Earnings (loss) before income taxes</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taxes (benefit)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earnings (loss)</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(0.9)</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earnings (loss) attributable to controlling interest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 Actual percentages are calculated and may not sum to total due to rounding.</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9" w:name="page20"/>
    <w:bookmarkEnd w:id="19"/>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SALES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design, manufacture and market wood and wood-alternative products for DIY/retail home centers and other retailers, structural lumber and other products for the manufactured housing industry, engineered wood components for the site-built construction market, and specialty wood packaging and components and packing materials for various industries. Our strategic long-term sales objectives include:</w:t>
      </w:r>
    </w:p>
    <w:p>
      <w:pPr>
        <w:spacing w:after="0" w:line="208" w:lineRule="exact"/>
        <w:rPr>
          <w:sz w:val="20"/>
          <w:szCs w:val="20"/>
          <w:color w:val="auto"/>
        </w:rPr>
      </w:pPr>
    </w:p>
    <w:p>
      <w:pPr>
        <w:jc w:val="both"/>
        <w:ind w:left="180" w:hanging="172"/>
        <w:spacing w:after="0" w:line="264"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Diversifying our end market sales mix by increasing sales of specialty wood packaging to industrial users, increasing our penetration of the concrete forms market, increasing our sales of engineered wood components for custom home, multi-family and light commercial construction, and expanding our product lines in each of the markets we serve.</w:t>
      </w:r>
    </w:p>
    <w:p>
      <w:pPr>
        <w:spacing w:after="0" w:line="208" w:lineRule="exact"/>
        <w:rPr>
          <w:rFonts w:ascii="Arial" w:cs="Arial" w:eastAsia="Arial" w:hAnsi="Arial"/>
          <w:sz w:val="18"/>
          <w:szCs w:val="18"/>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Expanding geographically in our core businesses.</w:t>
      </w:r>
    </w:p>
    <w:p>
      <w:pPr>
        <w:spacing w:after="0" w:line="252" w:lineRule="exact"/>
        <w:rPr>
          <w:rFonts w:ascii="Arial" w:cs="Arial" w:eastAsia="Arial" w:hAnsi="Arial"/>
          <w:sz w:val="18"/>
          <w:szCs w:val="18"/>
          <w:color w:val="auto"/>
        </w:rPr>
      </w:pPr>
    </w:p>
    <w:p>
      <w:pPr>
        <w:jc w:val="both"/>
        <w:ind w:left="180" w:hanging="172"/>
        <w:spacing w:after="0" w:line="257"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sales of "value-added" products and framing services. Value-added product sales primarily consist of fencing, decking, lattice, and other specialty products sold to the DIY/retail market, specialty wood packaging, engineered wood components, and "wood alternative" products. Engineered wood components include roof trusses, wall panels, and floor systems. Wood alternative products consist primarily of composite wood and plastics. Although we consider the treatment of dimensional lumber with certain chemical preservatives a value-added process, treated lumber is not presently included in the value-added sales totals.</w:t>
      </w:r>
    </w:p>
    <w:p>
      <w:pPr>
        <w:spacing w:after="0" w:line="215" w:lineRule="exact"/>
        <w:rPr>
          <w:rFonts w:ascii="Arial" w:cs="Arial" w:eastAsia="Arial" w:hAnsi="Arial"/>
          <w:sz w:val="18"/>
          <w:szCs w:val="18"/>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new products and expanding our product offering for existing customers.</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Maximizing unit sales growth while achieving return on investment goals.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for the periods indicated, our gross sales (in thousands) and percentage change in gross sales by market classification.</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ind w:left="740"/>
              <w:spacing w:after="0"/>
              <w:rPr>
                <w:sz w:val="20"/>
                <w:szCs w:val="20"/>
                <w:color w:val="auto"/>
              </w:rPr>
            </w:pPr>
            <w:r>
              <w:rPr>
                <w:rFonts w:ascii="Arial" w:cs="Arial" w:eastAsia="Arial" w:hAnsi="Arial"/>
                <w:sz w:val="18"/>
                <w:szCs w:val="18"/>
                <w:color w:val="auto"/>
                <w:w w:val="90"/>
              </w:rPr>
              <w:t>For the Three Months Ended</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92"/>
              </w:rPr>
              <w:t>March 26,</w:t>
            </w:r>
          </w:p>
        </w:tc>
        <w:tc>
          <w:tcPr>
            <w:tcW w:w="140" w:type="dxa"/>
            <w:vAlign w:val="bottom"/>
          </w:tcPr>
          <w:p>
            <w:pPr>
              <w:spacing w:after="0"/>
              <w:rPr>
                <w:sz w:val="17"/>
                <w:szCs w:val="17"/>
                <w:color w:val="auto"/>
              </w:rPr>
            </w:pPr>
          </w:p>
        </w:tc>
        <w:tc>
          <w:tcPr>
            <w:tcW w:w="152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March 27,</w:t>
            </w:r>
          </w:p>
        </w:tc>
        <w:tc>
          <w:tcPr>
            <w:tcW w:w="860" w:type="dxa"/>
            <w:vAlign w:val="bottom"/>
          </w:tcPr>
          <w:p>
            <w:pPr>
              <w:jc w:val="right"/>
              <w:ind w:right="41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Market Classification</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color w:val="auto"/>
                <w:w w:val="89"/>
              </w:rPr>
              <w:t>2011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Change</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DIY/Retail</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164,407</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Site-Built Construction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53,991</w:t>
            </w: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60,889</w:t>
            </w:r>
          </w:p>
        </w:tc>
        <w:tc>
          <w:tcPr>
            <w:tcW w:w="3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143,901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125,988</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Manufactured Housing</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46,325</w:t>
            </w: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48,362</w:t>
            </w:r>
          </w:p>
        </w:tc>
        <w:tc>
          <w:tcPr>
            <w:tcW w:w="3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Gross Sales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394,221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399,646</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Sales Allowances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(6,988)</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(6,688)</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387,233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392,958</w:t>
            </w:r>
          </w:p>
        </w:tc>
        <w:tc>
          <w:tcPr>
            <w:tcW w:w="3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50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center"/>
              <w:ind w:right="112"/>
              <w:spacing w:after="0"/>
              <w:rPr>
                <w:sz w:val="20"/>
                <w:szCs w:val="20"/>
                <w:color w:val="auto"/>
              </w:rPr>
            </w:pPr>
            <w:r>
              <w:rPr>
                <w:rFonts w:ascii="Arial" w:cs="Arial" w:eastAsia="Arial" w:hAnsi="Arial"/>
                <w:sz w:val="14"/>
                <w:szCs w:val="14"/>
                <w:color w:val="auto"/>
                <w:w w:val="89"/>
              </w:rPr>
              <w:t>20</w:t>
            </w: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0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sales in the first quarter of 2011 decreased 1% compared to the same period of 2010. We estimate that our unit sales decreased by 1%, consisting of a 3% decrease due to plant closures offset by a 1% increase out due to acquisitions and a 1% increase out of existing operations. Our overall selling prices remained flat comparing the two periods.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sales by market are discussed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DIY/Retail:</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Gross sales to the DIY/retail market decreased 9% in the first quarter of 2011 compared to the same period of 2010, primarily due to an estimated 6% decrease in our overall unit sales and an estimated 3% decrease in our overall selling prices. Unit sales declined due to a change in timing of certain customers’ orders and re-stocking of their stores for the new season. In 2010, certain customers built inventories earlier in the year in anticipation of a selling season that didn’t materialize. This year, customers have not stocked stores in the same manner resulting in a decline in our sales. However, based upon forecasts from Harvard's Joint Center for Housing Studies and the Home Improvement Research Institute, consumer demand could be more favorable for the remainder of 2011, which may result in improved sales in future quarters.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Site-Built Construction: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sales to the site-built construction market decreased 11% in the first quarter of 2011 compared to the same period of 2010 due to a 17% decrease in unit sales as a result of operations we have recently closed, offset by an estimated 5% increase in unit sales out of existing plants and an estimated 1% increase in selling prices. National housing starts decreased approximately 10% in the period from December through February of 2011 (our sales trail housing starts by about a month), compared to the same period of 2010. We have taken several recent plant closure actions in order to achieve profitability and cash flow objectives, which may temporarily result in a loss of market share.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Industrial:</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sales to the industrial market increased 14% in the first quarter of 2011 compared to the same period of 2010, primarily due to an increase in unit sales. The industrial market has improved as the U.S. economy continues to recover, and we have been able to continue to gain market share due, in part, to adding many new customers.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Manufactured Housing:</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sales to the manufactured housing market decreased 4% in the first quarter of 2011 compared to 2010, primarily due to a 15% decrease in unit sales out of existing operations, offset by an increase in unit sales of new operations we acquired in 2010. Shipments of HUD code manufactured homes were down 14% in January and February of 2011, compared to the same period of 2010.</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Value-Added and Commodity-Based Sales: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for the periods indicated, our percentage of value-added and commodity-based sales to total sales. Value-added products generally carry higher gross margins than our commodity-based products.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2700" w:type="dxa"/>
            <w:vAlign w:val="bottom"/>
            <w:gridSpan w:val="4"/>
          </w:tcPr>
          <w:p>
            <w:pPr>
              <w:jc w:val="right"/>
              <w:ind w:right="68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1380" w:type="dxa"/>
            <w:vAlign w:val="bottom"/>
            <w:tcBorders>
              <w:top w:val="single" w:sz="8" w:color="auto"/>
            </w:tcBorders>
            <w:gridSpan w:val="2"/>
          </w:tcPr>
          <w:p>
            <w:pPr>
              <w:jc w:val="center"/>
              <w:ind w:right="280"/>
              <w:spacing w:after="0" w:line="201" w:lineRule="exact"/>
              <w:rPr>
                <w:sz w:val="20"/>
                <w:szCs w:val="20"/>
                <w:color w:val="auto"/>
              </w:rPr>
            </w:pPr>
            <w:r>
              <w:rPr>
                <w:rFonts w:ascii="Arial" w:cs="Arial" w:eastAsia="Arial" w:hAnsi="Arial"/>
                <w:sz w:val="18"/>
                <w:szCs w:val="18"/>
                <w:color w:val="auto"/>
                <w:w w:val="92"/>
              </w:rPr>
              <w:t>March 26,</w:t>
            </w:r>
          </w:p>
        </w:tc>
        <w:tc>
          <w:tcPr>
            <w:tcW w:w="112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rPr>
              <w:t>March 27,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Value-Added</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57.7%</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Commodity-Based</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42.3%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 AND GROSS PROFIT</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gross profit percentage decreased to 10.7% from 13.1% comparing the first quarter of 2011 with the same period of 2010. In addition, our gross profit dollars decreased by 20% comparing the first quarter of 2011 with the same period of 2010, which compares unfavorably to our 1% decrease in unit sales. The decline in our gross margin and profitability this quarter was due to several factors. Most notably, gross margins on sales to the DIY/retail market declined 330 basis points for the quarter resulting from an increase in material costs as a percentage of sales to this market. This was primarily due to the Lumber Market, which was increasing during the first quarter of 2010, and as a result, improved margins on products whose prices were indexed to the current Lumber Market. Also, competitive pricing pressure adversely impacted 2011 margins. In addition, a decline in sales to our DIY/retail, site-built, and manufactured housing markets adversely impacted our margins due to fixed manufacturing costs. Major winter storms in January and February impacted transportation and production in many parts of the country which caused us to lose approximately 219 production days to weather nation-wide during the quarter. As a result, unfavorable cost variances increased by $3.4 million this year due to lost sales volume and lost production days due to inclement weather.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Selling, general and administrative ("SG&amp;A") expenses decreased by approximately $2.0 million, or 4.1%, in the first quarter of 2011 compared to the same period of 2010, while we reported a 1% decrease in unit sales. The decline in SG&amp;A was primarily due to a decrease in accrued bonus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ON DISPOSITION OF ASSETS AND OTHER IMPAIRMENT AND EXIT CHARGES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incurred approximately $149,000 of charges in the first quarter of 2011 and $212,000 in the first quarter of 2010 relating to asset impairments and other costs associated with idled facilities and down-sizing efforts. These costs were offset by gains on disposition of property, plant and equipment totaling approximately $141,000 and $40,000 in the first quarter of 2011 and 2010, respectively.</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regularly review the performance of each our operations and make decisions to permanently or temporarily close operations based on a variety of factors including:</w:t>
      </w:r>
    </w:p>
    <w:p>
      <w:pPr>
        <w:spacing w:after="0" w:line="197"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Current and projected earnings, cash flow and return on investment</w:t>
      </w:r>
    </w:p>
    <w:p>
      <w:pPr>
        <w:spacing w:after="0" w:line="23" w:lineRule="exact"/>
        <w:rPr>
          <w:rFonts w:ascii="Arial" w:cs="Arial" w:eastAsia="Arial" w:hAnsi="Arial"/>
          <w:sz w:val="18"/>
          <w:szCs w:val="18"/>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Current and projected market demand</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Competitive factors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growth opportunities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Personnel and management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have 23 operations which are experiencing operating losses and negative cash flow for the first three months of 2011. The net book value of the long-lived assets of these operations, which could be subject to an impairment charge in the future, was $19.4 million at the end of March of 2011. In addition, these operations had future fixed operating lease payments totaling $2.9 million at the end of March of 2011.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Net interest costs were comparable in the first quarter of 2011 compared to the same period of 2010.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tax rates differ from statutory federal income tax rates, primarily due to provisions for state and local income taxes and permanent tax differences. Our effective tax rate was a benefit of 40.0% in the first quarter of 2011. Our effective tax rate was 22.1% for the first quarter 2010, which was well below our statutory rate, primarily due to the profits of our Canadian subsidiary and a partnership in which we own a 50% interest and present on a consolidated basis in our financial statements. These entities comprised over half of our pre-tax profits in the first quarter of 2010. Since our Canadian subsidiary had a net operating loss carry-forward and we had a full valuation allowance against this deferred tax asset, these profits had no related income tax expense in the first quarter of 2010. At the end of 2010, we eliminated the remaining valuation allowance against this deferred tax asset.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off-balance sheet transactions other than operating leases.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b w:val="1"/>
                <w:bCs w:val="1"/>
                <w:i w:val="1"/>
                <w:iCs w:val="1"/>
                <w:color w:val="0000EE"/>
              </w:rPr>
            </w:pPr>
            <w:hyperlink w:anchor="page2">
              <w:r>
                <w:rPr>
                  <w:rFonts w:ascii="Arial" w:cs="Arial" w:eastAsia="Arial" w:hAnsi="Arial"/>
                  <w:sz w:val="14"/>
                  <w:szCs w:val="14"/>
                  <w:b w:val="1"/>
                  <w:bCs w:val="1"/>
                  <w:i w:val="1"/>
                  <w:iCs w:val="1"/>
                  <w:color w:val="0000EE"/>
                </w:rPr>
                <w:t>Table of Contents</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7760" w:type="dxa"/>
            <w:vAlign w:val="bottom"/>
          </w:tcPr>
          <w:p>
            <w:pPr>
              <w:ind w:left="3000"/>
              <w:spacing w:after="0"/>
              <w:rPr>
                <w:sz w:val="20"/>
                <w:szCs w:val="20"/>
                <w:color w:val="auto"/>
              </w:rPr>
            </w:pPr>
            <w:r>
              <w:rPr>
                <w:rFonts w:ascii="Arial" w:cs="Arial" w:eastAsia="Arial" w:hAnsi="Arial"/>
                <w:sz w:val="18"/>
                <w:szCs w:val="18"/>
                <w:b w:val="1"/>
                <w:bCs w:val="1"/>
                <w:color w:val="auto"/>
              </w:rPr>
              <w:t>UNIVERSAL FOREST PRODUCTS, INC.</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820" w:type="dxa"/>
            <w:vAlign w:val="bottom"/>
            <w:gridSpan w:val="3"/>
          </w:tcPr>
          <w:p>
            <w:pPr>
              <w:spacing w:after="0"/>
              <w:rPr>
                <w:sz w:val="20"/>
                <w:szCs w:val="20"/>
                <w:color w:val="auto"/>
              </w:rPr>
            </w:pPr>
            <w:r>
              <w:rPr>
                <w:rFonts w:ascii="Arial" w:cs="Arial" w:eastAsia="Arial" w:hAnsi="Arial"/>
                <w:sz w:val="18"/>
                <w:szCs w:val="18"/>
                <w:color w:val="auto"/>
              </w:rPr>
              <w:t>The table below presents, for the periods indicated, a summary of our cash flow statement (in thousands):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6"/>
          </w:tcPr>
          <w:p>
            <w:pPr>
              <w:jc w:val="right"/>
              <w:ind w:right="6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340"/>
              <w:spacing w:after="0" w:line="201" w:lineRule="exact"/>
              <w:rPr>
                <w:sz w:val="20"/>
                <w:szCs w:val="20"/>
                <w:color w:val="auto"/>
              </w:rPr>
            </w:pPr>
            <w:r>
              <w:rPr>
                <w:rFonts w:ascii="Arial" w:cs="Arial" w:eastAsia="Arial" w:hAnsi="Arial"/>
                <w:sz w:val="18"/>
                <w:szCs w:val="18"/>
                <w:color w:val="auto"/>
                <w:w w:val="97"/>
              </w:rPr>
              <w:t>March 26,</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w w:val="97"/>
              </w:rPr>
              <w:t>March 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from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(109,438)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from investing activities</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(5,864)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from financing activities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71,939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7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(43,363)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(67,410)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43,363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7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general, we financed our growth in the past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 We are currently below our internal targets but plan to manage our capital structure conservatively in light of current economic conditions.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Seasonality has a significant impact on our working capital from March to August which historically resulted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March 27, 2010 balances in the accompanying unaudited consolidated condensed balance sheets.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to the seasonality of our business and the effects of the Lumber Market, we believe our cash cycle (days of sales outstanding plus days supply of inventory less days payables outstanding) is a good indicator of our working capital management. Our cash cycle increased to 64 days in the first three months of 2011 from 53 days in the first three months of 2010, due to a 1 day increase in our receivables cycle combined with a 10 day increase in our days supply of inventory, due to much higher inventory levels this year. In preparation for the 2011 selling season, we changed our purchasing strategy to buy inventory earlier at opportune times in order to protect margins and avoid buying as much inventory during the peak of the season when lumber prices tend to rise.</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used in operating activities was $109.4 million in the three months of 2011, which was comprised of a net loss of $3.7 million and a $114.9 million increase in working capital since the end of 2010, offset by $9.2 million of non-cash expenses. Working capital increased primarily due to much higher inventory levels at the end of March due to earlier purchases of inventory in 2011 as discussed above. We currently anticipate achieving strong cash flows from operations for the balance of the year as we move beyond our seasonal peak for working capital requirements.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4" w:name="page25"/>
    <w:bookmarkEnd w:id="24"/>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Capital expenditures were $6.3 million in the first three months of 2011. We currently plan to spend up to $35 million in 2011, which includes outstanding purchase commitments on existing capital projects totaling approximately $4.9 million on March 26, 2011. We intend to fund capital expenditures and purchase commitments through our operating cash flows for the balance of the year.</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26, 2011, we had $73.9 million outstanding balance on our $300 million revolving credit facility, which matures in February of 2012. The revolving credit facility also supports letters of credit totaling approximately $31.6 million on March 26, 2011. Financial covenants on the unsecured revolving credit facility and unsecured notes include a minimum net worth requirement, minimum interest and fixed charge coverage tests, and a maximum leverage ratio. The agreements also restrict the amount of additional indebtedness we may incur and the amount of assets which may be sold. We were within all of our lending requirements on March 26, 2011.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ENVIRONMENTAL CONSIDERATIONS AND REGULATIONS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Consolidated Condensed Financial Statements, Note F, "Commitments, Contingencies, and Guarantees."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25, 2010.</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Quantitative and Qualitative Disclosures about Market Risk</w:t>
      </w:r>
      <w:r>
        <w:rPr>
          <w:rFonts w:ascii="Arial" w:cs="Arial" w:eastAsia="Arial" w:hAnsi="Arial"/>
          <w:sz w:val="18"/>
          <w:szCs w:val="18"/>
          <w:color w:val="auto"/>
        </w:rPr>
        <w: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 margins, and our profitability. We anticipate that these fluctuations will continue in the future. (See “Impact of the Lumber Market on Our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r>
        <w:rPr>
          <w:rFonts w:ascii="Arial" w:cs="Arial" w:eastAsia="Arial" w:hAnsi="Arial"/>
          <w:sz w:val="18"/>
          <w:szCs w:val="18"/>
          <w:color w:val="auto"/>
        </w:rPr>
        <w:t>.</w:t>
      </w:r>
    </w:p>
    <w:p>
      <w:pPr>
        <w:spacing w:after="0" w:line="252" w:lineRule="exact"/>
        <w:rPr>
          <w:sz w:val="20"/>
          <w:szCs w:val="20"/>
          <w:color w:val="auto"/>
        </w:rPr>
      </w:pPr>
    </w:p>
    <w:p>
      <w:pPr>
        <w:jc w:val="both"/>
        <w:ind w:left="500" w:hanging="492"/>
        <w:spacing w:after="0" w:line="312"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With the participation of management, our chief executive officer and chief financial officer, after evaluating the effectiveness of our disclosure controls and procedures (as defined in Exchange Act Rules 13a – 15e and 15d – 15e) as of the quarter ended March 26, 2011 (the “Evaluation Date”), have concluded that, as of such date, our disclosure controls and procedures were effective.</w:t>
      </w:r>
    </w:p>
    <w:p>
      <w:pPr>
        <w:spacing w:after="0" w:line="173" w:lineRule="exact"/>
        <w:rPr>
          <w:rFonts w:ascii="Arial" w:cs="Arial" w:eastAsia="Arial" w:hAnsi="Arial"/>
          <w:sz w:val="16"/>
          <w:szCs w:val="16"/>
          <w:color w:val="auto"/>
        </w:rPr>
      </w:pPr>
    </w:p>
    <w:p>
      <w:pPr>
        <w:ind w:left="500" w:hanging="492"/>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r>
        <w:rPr>
          <w:rFonts w:ascii="Arial" w:cs="Arial" w:eastAsia="Arial" w:hAnsi="Arial"/>
          <w:sz w:val="18"/>
          <w:szCs w:val="18"/>
          <w:color w:val="auto"/>
        </w:rPr>
        <w:t>. During the quarter ended March 26, 2011, there were no changes in our internal control over financial reporting that materially affected, or is reasonably likely to materially affect, our internal control over financial reporting.</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PART II.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r>
        <w:rPr>
          <w:rFonts w:ascii="Arial" w:cs="Arial" w:eastAsia="Arial" w:hAnsi="Arial"/>
          <w:sz w:val="18"/>
          <w:szCs w:val="18"/>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(a)</w:t>
            </w:r>
          </w:p>
        </w:tc>
        <w:tc>
          <w:tcPr>
            <w:tcW w:w="220" w:type="dxa"/>
            <w:vAlign w:val="bottom"/>
          </w:tcPr>
          <w:p>
            <w:pPr>
              <w:spacing w:after="0"/>
              <w:rPr>
                <w:sz w:val="20"/>
                <w:szCs w:val="20"/>
                <w:color w:val="auto"/>
              </w:rPr>
            </w:pPr>
          </w:p>
        </w:tc>
        <w:tc>
          <w:tcPr>
            <w:tcW w:w="4540" w:type="dxa"/>
            <w:vAlign w:val="bottom"/>
          </w:tcPr>
          <w:p>
            <w:pPr>
              <w:ind w:left="40"/>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0" w:type="dxa"/>
            <w:vAlign w:val="bottom"/>
          </w:tcPr>
          <w:p>
            <w:pPr>
              <w:spacing w:after="0"/>
              <w:rPr>
                <w:sz w:val="20"/>
                <w:szCs w:val="20"/>
                <w:color w:val="auto"/>
              </w:rPr>
            </w:pPr>
            <w:r>
              <w:rPr>
                <w:rFonts w:ascii="Arial" w:cs="Arial" w:eastAsia="Arial" w:hAnsi="Arial"/>
                <w:sz w:val="18"/>
                <w:szCs w:val="18"/>
                <w:color w:val="auto"/>
              </w:rPr>
              <w:t>(b)</w:t>
            </w:r>
          </w:p>
        </w:tc>
        <w:tc>
          <w:tcPr>
            <w:tcW w:w="22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0" w:type="dxa"/>
            <w:vAlign w:val="bottom"/>
          </w:tcPr>
          <w:p>
            <w:pPr>
              <w:spacing w:after="0"/>
              <w:rPr>
                <w:sz w:val="20"/>
                <w:szCs w:val="20"/>
                <w:color w:val="auto"/>
              </w:rPr>
            </w:pPr>
            <w:r>
              <w:rPr>
                <w:rFonts w:ascii="Arial" w:cs="Arial" w:eastAsia="Arial" w:hAnsi="Arial"/>
                <w:sz w:val="18"/>
                <w:szCs w:val="18"/>
                <w:color w:val="auto"/>
              </w:rPr>
              <w:t>(c)</w:t>
            </w:r>
          </w:p>
        </w:tc>
        <w:tc>
          <w:tcPr>
            <w:tcW w:w="220" w:type="dxa"/>
            <w:vAlign w:val="bottom"/>
          </w:tcPr>
          <w:p>
            <w:pPr>
              <w:spacing w:after="0"/>
              <w:rPr>
                <w:sz w:val="24"/>
                <w:szCs w:val="24"/>
                <w:color w:val="auto"/>
              </w:rPr>
            </w:pPr>
          </w:p>
        </w:tc>
        <w:tc>
          <w:tcPr>
            <w:tcW w:w="4540" w:type="dxa"/>
            <w:vAlign w:val="bottom"/>
          </w:tcPr>
          <w:p>
            <w:pPr>
              <w:ind w:left="40"/>
              <w:spacing w:after="0"/>
              <w:rPr>
                <w:sz w:val="20"/>
                <w:szCs w:val="20"/>
                <w:color w:val="auto"/>
              </w:rPr>
            </w:pPr>
            <w:r>
              <w:rPr>
                <w:rFonts w:ascii="Arial" w:cs="Arial" w:eastAsia="Arial" w:hAnsi="Arial"/>
                <w:sz w:val="18"/>
                <w:szCs w:val="18"/>
                <w:color w:val="auto"/>
              </w:rPr>
              <w:t>Issuer purchases of equity securities.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40" w:type="dxa"/>
            <w:vAlign w:val="bottom"/>
          </w:tcPr>
          <w:p>
            <w:pPr>
              <w:spacing w:after="0"/>
              <w:rPr>
                <w:sz w:val="24"/>
                <w:szCs w:val="24"/>
                <w:color w:val="auto"/>
              </w:rPr>
            </w:pPr>
          </w:p>
        </w:tc>
        <w:tc>
          <w:tcPr>
            <w:tcW w:w="4760" w:type="dxa"/>
            <w:vAlign w:val="bottom"/>
            <w:gridSpan w:val="2"/>
          </w:tcPr>
          <w:p>
            <w:pPr>
              <w:ind w:left="220"/>
              <w:spacing w:after="0"/>
              <w:rPr>
                <w:sz w:val="20"/>
                <w:szCs w:val="20"/>
                <w:color w:val="auto"/>
              </w:rPr>
            </w:pPr>
            <w:r>
              <w:rPr>
                <w:rFonts w:ascii="Arial" w:cs="Arial" w:eastAsia="Arial" w:hAnsi="Arial"/>
                <w:sz w:val="18"/>
                <w:szCs w:val="18"/>
                <w:color w:val="auto"/>
              </w:rPr>
              <w:t>Fiscal Month</w:t>
            </w:r>
          </w:p>
        </w:tc>
        <w:tc>
          <w:tcPr>
            <w:tcW w:w="220" w:type="dxa"/>
            <w:vAlign w:val="bottom"/>
          </w:tcPr>
          <w:p>
            <w:pPr>
              <w:spacing w:after="0"/>
              <w:rPr>
                <w:sz w:val="24"/>
                <w:szCs w:val="24"/>
                <w:color w:val="auto"/>
              </w:rPr>
            </w:pPr>
          </w:p>
        </w:tc>
        <w:tc>
          <w:tcPr>
            <w:tcW w:w="1060" w:type="dxa"/>
            <w:vAlign w:val="bottom"/>
          </w:tcPr>
          <w:p>
            <w:pPr>
              <w:ind w:left="420"/>
              <w:spacing w:after="0"/>
              <w:rPr>
                <w:sz w:val="20"/>
                <w:szCs w:val="20"/>
                <w:color w:val="auto"/>
              </w:rPr>
            </w:pPr>
            <w:r>
              <w:rPr>
                <w:rFonts w:ascii="Arial" w:cs="Arial" w:eastAsia="Arial" w:hAnsi="Arial"/>
                <w:sz w:val="18"/>
                <w:szCs w:val="18"/>
                <w:color w:val="auto"/>
              </w:rPr>
              <w:t>(a)</w:t>
            </w:r>
          </w:p>
        </w:tc>
        <w:tc>
          <w:tcPr>
            <w:tcW w:w="200" w:type="dxa"/>
            <w:vAlign w:val="bottom"/>
          </w:tcPr>
          <w:p>
            <w:pPr>
              <w:spacing w:after="0"/>
              <w:rPr>
                <w:sz w:val="24"/>
                <w:szCs w:val="24"/>
                <w:color w:val="auto"/>
              </w:rPr>
            </w:pPr>
          </w:p>
        </w:tc>
        <w:tc>
          <w:tcPr>
            <w:tcW w:w="1060" w:type="dxa"/>
            <w:vAlign w:val="bottom"/>
          </w:tcPr>
          <w:p>
            <w:pPr>
              <w:ind w:left="420"/>
              <w:spacing w:after="0"/>
              <w:rPr>
                <w:sz w:val="20"/>
                <w:szCs w:val="20"/>
                <w:color w:val="auto"/>
              </w:rPr>
            </w:pPr>
            <w:r>
              <w:rPr>
                <w:rFonts w:ascii="Arial" w:cs="Arial" w:eastAsia="Arial" w:hAnsi="Arial"/>
                <w:sz w:val="18"/>
                <w:szCs w:val="18"/>
                <w:color w:val="auto"/>
              </w:rPr>
              <w:t>(b)</w:t>
            </w:r>
          </w:p>
        </w:tc>
        <w:tc>
          <w:tcPr>
            <w:tcW w:w="2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(c)</w:t>
            </w:r>
          </w:p>
        </w:tc>
        <w:tc>
          <w:tcPr>
            <w:tcW w:w="200" w:type="dxa"/>
            <w:vAlign w:val="bottom"/>
          </w:tcPr>
          <w:p>
            <w:pPr>
              <w:spacing w:after="0"/>
              <w:rPr>
                <w:sz w:val="24"/>
                <w:szCs w:val="24"/>
                <w:color w:val="auto"/>
              </w:rPr>
            </w:pPr>
          </w:p>
        </w:tc>
        <w:tc>
          <w:tcPr>
            <w:tcW w:w="1140" w:type="dxa"/>
            <w:vAlign w:val="bottom"/>
            <w:gridSpan w:val="2"/>
          </w:tcPr>
          <w:p>
            <w:pPr>
              <w:ind w:left="420"/>
              <w:spacing w:after="0"/>
              <w:rPr>
                <w:sz w:val="20"/>
                <w:szCs w:val="20"/>
                <w:color w:val="auto"/>
              </w:rPr>
            </w:pPr>
            <w:r>
              <w:rPr>
                <w:rFonts w:ascii="Arial" w:cs="Arial" w:eastAsia="Arial" w:hAnsi="Arial"/>
                <w:sz w:val="18"/>
                <w:szCs w:val="18"/>
                <w:color w:val="auto"/>
              </w:rPr>
              <w:t>(d)</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4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45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December 26, 2010 – January 29, 2011</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2,988,229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January 30 – February 26, 2011</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2,988,229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February 27 – March 26, 2011</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2,988,229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238" w:lineRule="exact"/>
        <w:rPr>
          <w:sz w:val="20"/>
          <w:szCs w:val="20"/>
          <w:color w:val="auto"/>
        </w:rPr>
      </w:pPr>
    </w:p>
    <w:p>
      <w:pPr>
        <w:ind w:left="980" w:right="300" w:hanging="324"/>
        <w:spacing w:after="0" w:line="232" w:lineRule="auto"/>
        <w:tabs>
          <w:tab w:leader="none" w:pos="9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On November 14, 2001, the Board of Directors approved a share repurchase program (which succeeded a previous program) allowing us to repurchase up to 2.5 million shares of our common stock. On October 14, 2010, our Board authorized an additional 2 million shares to be repurchased under our share repurchase program. The total number of shares that may be repurchased under the program is almost 3 million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Other Information</w:t>
      </w:r>
      <w:r>
        <w:rPr>
          <w:rFonts w:ascii="Arial" w:cs="Arial" w:eastAsia="Arial" w:hAnsi="Arial"/>
          <w:sz w:val="18"/>
          <w:szCs w:val="18"/>
          <w:color w:val="auto"/>
        </w:rPr>
        <w:t>.</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first quarter of 2011, the Audit Committee approved $45,000 for non-audit services to be provided by our independent auditors, Ernst &amp; Young LLP, for 2011.</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II.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Exhibits</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252"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302 of the Sarbanes-Oxley Act of 2002 (18 U.S.C. 1350).</w:t>
      </w:r>
    </w:p>
    <w:p>
      <w:pPr>
        <w:spacing w:after="0" w:line="197" w:lineRule="exact"/>
        <w:rPr>
          <w:rFonts w:ascii="Arial" w:cs="Arial" w:eastAsia="Arial" w:hAnsi="Arial"/>
          <w:sz w:val="18"/>
          <w:szCs w:val="18"/>
          <w:color w:val="auto"/>
        </w:rPr>
      </w:pPr>
    </w:p>
    <w:p>
      <w:pPr>
        <w:ind w:left="980" w:right="4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302 of the Sarbanes-Oxley Act of 2002 (18 U.S.C. 1350).</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906 of the Sarbanes-Oxley Act of 2002 (18 U.S.C. 1350).</w:t>
      </w:r>
    </w:p>
    <w:p>
      <w:pPr>
        <w:spacing w:after="0" w:line="197" w:lineRule="exact"/>
        <w:rPr>
          <w:rFonts w:ascii="Arial" w:cs="Arial" w:eastAsia="Arial" w:hAnsi="Arial"/>
          <w:sz w:val="18"/>
          <w:szCs w:val="18"/>
          <w:color w:val="auto"/>
        </w:rPr>
      </w:pPr>
    </w:p>
    <w:p>
      <w:pPr>
        <w:ind w:left="980" w:right="4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147066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Indicates a compensatory arrangement.</w:t>
      </w:r>
    </w:p>
    <w:p>
      <w:pPr>
        <w:spacing w:after="0" w:line="396"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21" w:right="579" w:bottom="1440" w:gutter="0" w:footer="0" w:header="0"/>
        </w:sectPr>
      </w:pPr>
    </w:p>
    <w:bookmarkStart w:id="28" w:name="page29"/>
    <w:bookmarkEnd w:id="28"/>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spacing w:after="0"/>
        <w:tabs>
          <w:tab w:leader="none" w:pos="840" w:val="left"/>
          <w:tab w:leader="none" w:pos="5700" w:val="left"/>
          <w:tab w:leader="none" w:pos="6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19,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B.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166370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63700" cy="17145"/>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B. Glenn,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Principal Executive Officer</w:t>
      </w:r>
    </w:p>
    <w:p>
      <w:pPr>
        <w:spacing w:after="0" w:line="200" w:lineRule="exact"/>
        <w:rPr>
          <w:sz w:val="20"/>
          <w:szCs w:val="20"/>
          <w:color w:val="auto"/>
        </w:rPr>
      </w:pPr>
    </w:p>
    <w:p>
      <w:pPr>
        <w:spacing w:after="0" w:line="227" w:lineRule="exact"/>
        <w:rPr>
          <w:sz w:val="20"/>
          <w:szCs w:val="20"/>
          <w:color w:val="auto"/>
        </w:rPr>
      </w:pPr>
    </w:p>
    <w:p>
      <w:pPr>
        <w:spacing w:after="0"/>
        <w:tabs>
          <w:tab w:leader="none" w:pos="800" w:val="left"/>
          <w:tab w:leader="none" w:pos="5700" w:val="left"/>
          <w:tab w:leader="none" w:pos="6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19,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166370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63700" cy="17145"/>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R. Cole,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Accounting Officer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EXHIBIT INDEX</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Description</w:t>
      </w:r>
    </w:p>
    <w:p>
      <w:pPr>
        <w:spacing w:after="0" w:line="252" w:lineRule="exact"/>
        <w:rPr>
          <w:sz w:val="20"/>
          <w:szCs w:val="20"/>
          <w:color w:val="auto"/>
        </w:rPr>
      </w:pPr>
    </w:p>
    <w:p>
      <w:pPr>
        <w:ind w:left="1300" w:hanging="129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52" w:lineRule="exact"/>
        <w:rPr>
          <w:rFonts w:ascii="Arial" w:cs="Arial" w:eastAsia="Arial" w:hAnsi="Arial"/>
          <w:sz w:val="18"/>
          <w:szCs w:val="18"/>
          <w:color w:val="auto"/>
        </w:rPr>
      </w:pPr>
    </w:p>
    <w:p>
      <w:pPr>
        <w:ind w:left="1800" w:hanging="495"/>
        <w:spacing w:after="0" w:line="277" w:lineRule="auto"/>
        <w:tabs>
          <w:tab w:leader="none" w:pos="1800" w:val="left"/>
        </w:tabs>
        <w:numPr>
          <w:ilvl w:val="1"/>
          <w:numId w:val="22"/>
        </w:numPr>
        <w:rPr>
          <w:rFonts w:ascii="Arial" w:cs="Arial" w:eastAsia="Arial" w:hAnsi="Arial"/>
          <w:sz w:val="18"/>
          <w:szCs w:val="18"/>
          <w:u w:val="single" w:color="auto"/>
          <w:color w:val="0000EE"/>
        </w:rPr>
      </w:pPr>
      <w:r>
        <w:rPr>
          <w:rFonts w:ascii="Arial" w:cs="Arial" w:eastAsia="Arial" w:hAnsi="Arial"/>
          <w:sz w:val="18"/>
          <w:szCs w:val="18"/>
          <w:color w:val="auto"/>
        </w:rPr>
        <w:t>Certificate of the Chief Executive Officer of Universal Forest Products, Inc., pursuant to Section 302 of the Sarbanes-Oxley Act of 2002 (18 U.S.C. 1350).</w:t>
      </w:r>
    </w:p>
    <w:p>
      <w:pPr>
        <w:spacing w:after="0" w:line="197" w:lineRule="exact"/>
        <w:rPr>
          <w:rFonts w:ascii="Arial" w:cs="Arial" w:eastAsia="Arial" w:hAnsi="Arial"/>
          <w:sz w:val="18"/>
          <w:szCs w:val="18"/>
          <w:u w:val="single" w:color="auto"/>
          <w:color w:val="0000EE"/>
        </w:rPr>
      </w:pPr>
    </w:p>
    <w:p>
      <w:pPr>
        <w:ind w:left="1800" w:right="40" w:hanging="495"/>
        <w:spacing w:after="0" w:line="277" w:lineRule="auto"/>
        <w:tabs>
          <w:tab w:leader="none" w:pos="1800" w:val="left"/>
        </w:tabs>
        <w:numPr>
          <w:ilvl w:val="1"/>
          <w:numId w:val="22"/>
        </w:numPr>
        <w:rPr>
          <w:rFonts w:ascii="Arial" w:cs="Arial" w:eastAsia="Arial" w:hAnsi="Arial"/>
          <w:sz w:val="18"/>
          <w:szCs w:val="18"/>
          <w:u w:val="single" w:color="auto"/>
          <w:color w:val="0000EE"/>
        </w:rPr>
      </w:pPr>
      <w:r>
        <w:rPr>
          <w:rFonts w:ascii="Arial" w:cs="Arial" w:eastAsia="Arial" w:hAnsi="Arial"/>
          <w:sz w:val="18"/>
          <w:szCs w:val="18"/>
          <w:color w:val="auto"/>
        </w:rPr>
        <w:t>Certificate of the Chief Financial Officer of Universal Forest Products, Inc., pursuant to Section 302 of the Sarbanes-Oxley Act of 2002 (18 U.S.C. 1350).</w:t>
      </w:r>
    </w:p>
    <w:p>
      <w:pPr>
        <w:spacing w:after="0" w:line="197" w:lineRule="exact"/>
        <w:rPr>
          <w:rFonts w:ascii="Arial" w:cs="Arial" w:eastAsia="Arial" w:hAnsi="Arial"/>
          <w:sz w:val="18"/>
          <w:szCs w:val="18"/>
          <w:u w:val="single" w:color="auto"/>
          <w:color w:val="0000EE"/>
        </w:rPr>
      </w:pPr>
    </w:p>
    <w:p>
      <w:pPr>
        <w:ind w:left="1300" w:hanging="129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52" w:lineRule="exact"/>
        <w:rPr>
          <w:rFonts w:ascii="Arial" w:cs="Arial" w:eastAsia="Arial" w:hAnsi="Arial"/>
          <w:sz w:val="18"/>
          <w:szCs w:val="18"/>
          <w:color w:val="auto"/>
        </w:rPr>
      </w:pPr>
    </w:p>
    <w:p>
      <w:pPr>
        <w:ind w:left="1800" w:hanging="495"/>
        <w:spacing w:after="0" w:line="277" w:lineRule="auto"/>
        <w:tabs>
          <w:tab w:leader="none" w:pos="1800" w:val="left"/>
        </w:tabs>
        <w:numPr>
          <w:ilvl w:val="1"/>
          <w:numId w:val="22"/>
        </w:numPr>
        <w:rPr>
          <w:rFonts w:ascii="Arial" w:cs="Arial" w:eastAsia="Arial" w:hAnsi="Arial"/>
          <w:sz w:val="18"/>
          <w:szCs w:val="18"/>
          <w:u w:val="single" w:color="auto"/>
          <w:color w:val="0000EE"/>
        </w:rPr>
      </w:pPr>
      <w:r>
        <w:rPr>
          <w:rFonts w:ascii="Arial" w:cs="Arial" w:eastAsia="Arial" w:hAnsi="Arial"/>
          <w:sz w:val="18"/>
          <w:szCs w:val="18"/>
          <w:color w:val="auto"/>
        </w:rPr>
        <w:t>Certificate of the Chief Executive Officer of Universal Forest Products, Inc., pursuant to Section 906 of the Sarbanes-Oxley Act of 2002 (18 U.S.C. 1350).</w:t>
      </w:r>
    </w:p>
    <w:p>
      <w:pPr>
        <w:spacing w:after="0" w:line="197" w:lineRule="exact"/>
        <w:rPr>
          <w:rFonts w:ascii="Arial" w:cs="Arial" w:eastAsia="Arial" w:hAnsi="Arial"/>
          <w:sz w:val="18"/>
          <w:szCs w:val="18"/>
          <w:u w:val="single" w:color="auto"/>
          <w:color w:val="0000EE"/>
        </w:rPr>
      </w:pPr>
    </w:p>
    <w:p>
      <w:pPr>
        <w:ind w:left="1800" w:right="40" w:hanging="495"/>
        <w:spacing w:after="0" w:line="277" w:lineRule="auto"/>
        <w:tabs>
          <w:tab w:leader="none" w:pos="1800" w:val="left"/>
        </w:tabs>
        <w:numPr>
          <w:ilvl w:val="1"/>
          <w:numId w:val="22"/>
        </w:numPr>
        <w:rPr>
          <w:rFonts w:ascii="Arial" w:cs="Arial" w:eastAsia="Arial" w:hAnsi="Arial"/>
          <w:sz w:val="18"/>
          <w:szCs w:val="18"/>
          <w:u w:val="single" w:color="auto"/>
          <w:color w:val="0000EE"/>
        </w:rPr>
      </w:pPr>
      <w:r>
        <w:rPr>
          <w:rFonts w:ascii="Arial" w:cs="Arial" w:eastAsia="Arial" w:hAnsi="Arial"/>
          <w:sz w:val="18"/>
          <w:szCs w:val="18"/>
          <w:color w:val="auto"/>
        </w:rPr>
        <w:t>Certificate of the Chief Financial Officer of Universal Forest Products, Inc.,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147066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Indicates a compensatory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240" w:top="121" w:right="459" w:bottom="1440" w:gutter="0" w:footer="0" w:header="0"/>
        </w:sectPr>
      </w:pPr>
    </w:p>
    <w:bookmarkStart w:id="30" w:name="page31"/>
    <w:bookmarkEnd w:id="30"/>
    <w:p>
      <w:pPr>
        <w:ind w:left="104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31(a)</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B. Glenn, certify that:</w:t>
      </w:r>
    </w:p>
    <w:p>
      <w:pPr>
        <w:spacing w:after="0" w:line="252"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Universal Forest Products, Inc.;</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3"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800" w:val="left"/>
          <w:tab w:leader="none" w:pos="5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19, 2011</w:t>
      </w:r>
      <w:r>
        <w:rPr>
          <w:sz w:val="20"/>
          <w:szCs w:val="20"/>
          <w:color w:val="auto"/>
        </w:rPr>
        <w:tab/>
      </w:r>
      <w:r>
        <w:rPr>
          <w:rFonts w:ascii="Arial" w:cs="Arial" w:eastAsia="Arial" w:hAnsi="Arial"/>
          <w:sz w:val="16"/>
          <w:szCs w:val="16"/>
          <w:color w:val="auto"/>
        </w:rPr>
        <w:t>/s/ Michael B.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7322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B. Glenn,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1" w:name="page32"/>
    <w:bookmarkEnd w:id="31"/>
    <w:p>
      <w:pPr>
        <w:ind w:left="104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31(b)</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R. Cole, certify that:</w:t>
      </w:r>
    </w:p>
    <w:p>
      <w:pPr>
        <w:spacing w:after="0" w:line="252"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Universal Forest Products, Inc.;</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3"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800" w:val="left"/>
          <w:tab w:leader="none" w:pos="5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19, 2011</w:t>
      </w:r>
      <w:r>
        <w:rPr>
          <w:sz w:val="20"/>
          <w:szCs w:val="20"/>
          <w:color w:val="auto"/>
        </w:rPr>
        <w:tab/>
      </w:r>
      <w:r>
        <w:rPr>
          <w:rFonts w:ascii="Arial" w:cs="Arial" w:eastAsia="Arial" w:hAnsi="Arial"/>
          <w:sz w:val="16"/>
          <w:szCs w:val="16"/>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7322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R. Cole,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32(a)</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Michael B. Glenn, Chief Executive Officer of Universal Forest Products, Inc., certify, to the best of my knowledge and belief, pursuant to Section 906 of the Sarbanes-Oxley Act of 2002 (18 U.S.C. 1350) that:</w:t>
      </w:r>
    </w:p>
    <w:p>
      <w:pPr>
        <w:spacing w:after="0" w:line="197" w:lineRule="exact"/>
        <w:rPr>
          <w:sz w:val="20"/>
          <w:szCs w:val="20"/>
          <w:color w:val="auto"/>
        </w:rPr>
      </w:pPr>
    </w:p>
    <w:p>
      <w:pPr>
        <w:ind w:firstLine="656"/>
        <w:spacing w:after="0" w:line="277" w:lineRule="auto"/>
        <w:tabs>
          <w:tab w:leader="none" w:pos="12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March 26, 2011, which this statement accompanies, fully complies with requirements of Section 13(a) or 15(d) of the Securities Exchange Act of 1934; and</w:t>
      </w:r>
    </w:p>
    <w:p>
      <w:pPr>
        <w:spacing w:after="0" w:line="197" w:lineRule="exact"/>
        <w:rPr>
          <w:rFonts w:ascii="Arial" w:cs="Arial" w:eastAsia="Arial" w:hAnsi="Arial"/>
          <w:sz w:val="18"/>
          <w:szCs w:val="18"/>
          <w:color w:val="auto"/>
        </w:rPr>
      </w:pPr>
    </w:p>
    <w:p>
      <w:pPr>
        <w:ind w:firstLine="656"/>
        <w:spacing w:after="0" w:line="277" w:lineRule="auto"/>
        <w:tabs>
          <w:tab w:leader="none" w:pos="11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for the quarterly period ended March 26, 2011 fairly presents, in all material respects, the financial condition and results of operations of Universal Forest Products, Inc.</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UNIVERSAL FOREST PRODUCTS, INC.</w:t>
      </w:r>
    </w:p>
    <w:p>
      <w:pPr>
        <w:spacing w:after="0" w:line="225" w:lineRule="exact"/>
        <w:rPr>
          <w:sz w:val="20"/>
          <w:szCs w:val="20"/>
          <w:color w:val="auto"/>
        </w:rPr>
      </w:pPr>
    </w:p>
    <w:p>
      <w:pPr>
        <w:spacing w:after="0"/>
        <w:tabs>
          <w:tab w:leader="none" w:pos="800" w:val="left"/>
          <w:tab w:leader="none" w:pos="5700" w:val="left"/>
          <w:tab w:leader="none" w:pos="6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19,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B.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166370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63700" cy="17145"/>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B. Glenn,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 and Principal Executive Officer</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323215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32(b)</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Michael R. Cole, Chief Financial Officer of Universal Forest Products, Inc., certify, to the best of my knowledge and belief, pursuant to Section 906 of the Sarbanes-Oxley Act of 2002 (18 U.S.C. 1350) that:</w:t>
      </w:r>
    </w:p>
    <w:p>
      <w:pPr>
        <w:spacing w:after="0" w:line="197" w:lineRule="exact"/>
        <w:rPr>
          <w:sz w:val="20"/>
          <w:szCs w:val="20"/>
          <w:color w:val="auto"/>
        </w:rPr>
      </w:pPr>
    </w:p>
    <w:p>
      <w:pPr>
        <w:ind w:firstLine="656"/>
        <w:spacing w:after="0" w:line="277" w:lineRule="auto"/>
        <w:tabs>
          <w:tab w:leader="none" w:pos="12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March 26, 2011, which this statement accompanies, fully complies with requirements of Section 13(a) or 15(d) of the Securities Exchange Act of 1934; and</w:t>
      </w:r>
    </w:p>
    <w:p>
      <w:pPr>
        <w:spacing w:after="0" w:line="197" w:lineRule="exact"/>
        <w:rPr>
          <w:rFonts w:ascii="Arial" w:cs="Arial" w:eastAsia="Arial" w:hAnsi="Arial"/>
          <w:sz w:val="18"/>
          <w:szCs w:val="18"/>
          <w:color w:val="auto"/>
        </w:rPr>
      </w:pPr>
    </w:p>
    <w:p>
      <w:pPr>
        <w:ind w:firstLine="656"/>
        <w:spacing w:after="0" w:line="277" w:lineRule="auto"/>
        <w:tabs>
          <w:tab w:leader="none" w:pos="11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for the quarterly period ended March 26, 2011 fairly presents, in all material respects, the financial condition and results of operations of Universal Forest Products, Inc.</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UNIVERSAL FOREST PRODUCTS, INC.</w:t>
      </w:r>
    </w:p>
    <w:p>
      <w:pPr>
        <w:spacing w:after="0" w:line="225" w:lineRule="exact"/>
        <w:rPr>
          <w:sz w:val="20"/>
          <w:szCs w:val="20"/>
          <w:color w:val="auto"/>
        </w:rPr>
      </w:pPr>
    </w:p>
    <w:p>
      <w:pPr>
        <w:spacing w:after="0"/>
        <w:tabs>
          <w:tab w:leader="none" w:pos="800" w:val="left"/>
          <w:tab w:leader="none" w:pos="5700" w:val="left"/>
          <w:tab w:leader="none" w:pos="6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19,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166370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63700" cy="17145"/>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R. Cole,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Accounting Officer</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323215</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1."/>
      <w:numFmt w:val="upperLetter"/>
      <w:start w:val="1"/>
    </w:lvl>
  </w:abstractNum>
  <w:abstractNum w:abstractNumId="3">
    <w:nsid w:val="1BEFD79F"/>
    <w:multiLevelType w:val="hybridMultilevel"/>
    <w:lvl w:ilvl="0">
      <w:lvlJc w:val="left"/>
      <w:lvlText w:val="%1."/>
      <w:numFmt w:val="upperLetter"/>
      <w:start w:val="3"/>
    </w:lvl>
  </w:abstractNum>
  <w:abstractNum w:abstractNumId="4">
    <w:nsid w:val="41A7C4C9"/>
    <w:multiLevelType w:val="hybridMultilevel"/>
    <w:lvl w:ilvl="0">
      <w:lvlJc w:val="left"/>
      <w:lvlText w:val="%1."/>
      <w:numFmt w:val="upperLetter"/>
      <w:start w:val="4"/>
    </w:lvl>
  </w:abstractNum>
  <w:abstractNum w:abstractNumId="5">
    <w:nsid w:val="6B68079A"/>
    <w:multiLevelType w:val="hybridMultilevel"/>
    <w:lvl w:ilvl="0">
      <w:lvlJc w:val="left"/>
      <w:lvlText w:val="%1."/>
      <w:numFmt w:val="upperLetter"/>
      <w:start w:val="5"/>
    </w:lvl>
  </w:abstractNum>
  <w:abstractNum w:abstractNumId="6">
    <w:nsid w:val="4E6AFB66"/>
    <w:multiLevelType w:val="hybridMultilevel"/>
    <w:lvl w:ilvl="0">
      <w:lvlJc w:val="left"/>
      <w:lvlText w:val="%1."/>
      <w:numFmt w:val="upperLetter"/>
      <w:start w:val="6"/>
    </w:lvl>
  </w:abstractNum>
  <w:abstractNum w:abstractNumId="7">
    <w:nsid w:val="25E45D32"/>
    <w:multiLevelType w:val="hybridMultilevel"/>
    <w:lvl w:ilvl="0">
      <w:lvlJc w:val="left"/>
      <w:lvlText w:val="%1."/>
      <w:numFmt w:val="upperLetter"/>
      <w:start w:val="7"/>
    </w:lvl>
  </w:abstractNum>
  <w:abstractNum w:abstractNumId="8">
    <w:nsid w:val="519B500D"/>
    <w:multiLevelType w:val="hybridMultilevel"/>
    <w:lvl w:ilvl="0">
      <w:lvlJc w:val="left"/>
      <w:lvlText w:val="%1."/>
      <w:numFmt w:val="upperLetter"/>
      <w:start w:val="8"/>
    </w:lvl>
  </w:abstractNum>
  <w:abstractNum w:abstractNumId="9">
    <w:nsid w:val="431BD7B7"/>
    <w:multiLevelType w:val="hybridMultilevel"/>
    <w:lvl w:ilvl="0">
      <w:lvlJc w:val="left"/>
      <w:lvlText w:val="%1."/>
      <w:numFmt w:val="upperLetter"/>
      <w:start w:val="9"/>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2"/>
    </w:lvl>
  </w:abstractNum>
  <w:abstractNum w:abstractNumId="13">
    <w:nsid w:val="62BBD95A"/>
    <w:multiLevelType w:val="hybridMultilevel"/>
    <w:lvl w:ilvl="0">
      <w:lvlJc w:val="left"/>
      <w:lvlText w:val="Ÿ"/>
      <w:numFmt w:val="bullet"/>
      <w:start w:val="1"/>
    </w:lvl>
  </w:abstractNum>
  <w:abstractNum w:abstractNumId="14">
    <w:nsid w:val="436C6125"/>
    <w:multiLevelType w:val="hybridMultilevel"/>
    <w:lvl w:ilvl="0">
      <w:lvlJc w:val="left"/>
      <w:lvlText w:val="Ÿ"/>
      <w:numFmt w:val="bullet"/>
      <w:start w:val="1"/>
    </w:lvl>
  </w:abstractNum>
  <w:abstractNum w:abstractNumId="15">
    <w:nsid w:val="628C895D"/>
    <w:multiLevelType w:val="hybridMultilevel"/>
    <w:lvl w:ilvl="0">
      <w:lvlJc w:val="left"/>
      <w:lvlText w:val="Ÿ"/>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31"/>
    </w:lvl>
    <w:lvl w:ilvl="1">
      <w:lvlJc w:val="left"/>
      <w:lvlText w:val="(%2)"/>
      <w:numFmt w:val="lowerLetter"/>
      <w:start w:val="1"/>
    </w:lvl>
  </w:abstractNum>
  <w:abstractNum w:abstractNumId="21">
    <w:nsid w:val="75A2A8D4"/>
    <w:multiLevelType w:val="hybridMultilevel"/>
    <w:lvl w:ilvl="0">
      <w:lvlJc w:val="left"/>
      <w:lvlText w:val="%1"/>
      <w:numFmt w:val="decimal"/>
      <w:start w:val="31"/>
    </w:lvl>
    <w:lvl w:ilvl="1">
      <w:lvlJc w:val="left"/>
      <w:lvlText w:val="(%2)"/>
      <w:numFmt w:val="lowerLetter"/>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2019-12-10T12:10:58Z</dcterms:created>
  <dcterms:modified xsi:type="dcterms:W3CDTF">2019-12-10T12:10:58Z</dcterms:modified>
</cp:coreProperties>
</file>