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 GARY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02/25/2016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297"/>
              <w:spacing w:after="0"/>
              <w:rPr>
                <w:sz w:val="20"/>
                <w:szCs w:val="20"/>
                <w:color w:val="auto"/>
              </w:rPr>
            </w:pPr>
            <w:r>
              <w:rPr>
                <w:rFonts w:ascii="Arial" w:cs="Arial" w:eastAsia="Arial" w:hAnsi="Arial"/>
                <w:sz w:val="18"/>
                <w:szCs w:val="18"/>
                <w:color w:val="0000FF"/>
              </w:rPr>
              <w:t>4,685</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02/25/2016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(2)</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76.38</w:t>
            </w: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6,730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530 shares previously held in a deferred compensation plan which were distributed to the reporting person on February 2, 2016 and are now owned directly.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Gary F.</w:t>
      </w:r>
      <w:r>
        <w:rPr>
          <w:sz w:val="20"/>
          <w:szCs w:val="20"/>
          <w:color w:val="auto"/>
        </w:rPr>
        <w:tab/>
      </w:r>
      <w:r>
        <w:rPr>
          <w:rFonts w:ascii="Arial" w:cs="Arial" w:eastAsia="Arial" w:hAnsi="Arial"/>
          <w:sz w:val="15"/>
          <w:szCs w:val="15"/>
          <w:color w:val="0000FF"/>
        </w:rPr>
        <w:t>02/26/2016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364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2019-12-24T04:52:24Z</dcterms:created>
  <dcterms:modified xsi:type="dcterms:W3CDTF">2019-12-24T04:52:24Z</dcterms:modified>
</cp:coreProperties>
</file>