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99" w:lineRule="exact"/>
        <w:rPr>
          <w:sz w:val="24"/>
          <w:szCs w:val="24"/>
          <w:color w:val="auto"/>
        </w:rPr>
      </w:pPr>
    </w:p>
    <w:p>
      <w:pPr>
        <w:ind w:left="3620" w:right="1440" w:hanging="3609"/>
        <w:spacing w:after="0" w:line="501" w:lineRule="auto"/>
        <w:tabs>
          <w:tab w:leader="none" w:pos="31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April 1, 2017</w:t>
      </w:r>
    </w:p>
    <w:p>
      <w:pPr>
        <w:ind w:left="50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39" w:lineRule="exact"/>
        <w:rPr>
          <w:sz w:val="24"/>
          <w:szCs w:val="24"/>
          <w:color w:val="auto"/>
        </w:rPr>
      </w:pPr>
    </w:p>
    <w:p>
      <w:pPr>
        <w:ind w:left="3960" w:right="1420" w:hanging="3949"/>
        <w:spacing w:after="0" w:line="311" w:lineRule="exact"/>
        <w:tabs>
          <w:tab w:leader="none" w:pos="3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22684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180"/>
              <w:spacing w:after="0"/>
              <w:rPr>
                <w:sz w:val="20"/>
                <w:szCs w:val="20"/>
                <w:color w:val="auto"/>
              </w:rPr>
            </w:pPr>
            <w:r>
              <w:rPr>
                <w:rFonts w:ascii="Arial" w:cs="Arial" w:eastAsia="Arial" w:hAnsi="Arial"/>
                <w:sz w:val="18"/>
                <w:szCs w:val="18"/>
                <w:color w:val="auto"/>
                <w:w w:val="97"/>
              </w:rPr>
              <w:t>Michigan</w:t>
            </w:r>
          </w:p>
        </w:tc>
        <w:tc>
          <w:tcPr>
            <w:tcW w:w="4060" w:type="dxa"/>
            <w:vAlign w:val="bottom"/>
          </w:tcPr>
          <w:p>
            <w:pPr>
              <w:jc w:val="center"/>
              <w:ind w:right="50"/>
              <w:spacing w:after="0" w:line="207" w:lineRule="exact"/>
              <w:rPr>
                <w:sz w:val="20"/>
                <w:szCs w:val="20"/>
                <w:color w:val="auto"/>
              </w:rPr>
            </w:pPr>
            <w:r>
              <w:rPr>
                <w:rFonts w:ascii="Arial" w:cs="Arial" w:eastAsia="Arial" w:hAnsi="Arial"/>
                <w:sz w:val="18"/>
                <w:szCs w:val="18"/>
                <w:color w:val="auto"/>
                <w:w w:val="91"/>
              </w:rPr>
              <w:t>38</w:t>
            </w:r>
            <w:r>
              <w:rPr>
                <w:rFonts w:ascii="MS PGothic" w:cs="MS PGothic" w:eastAsia="MS PGothic" w:hAnsi="MS PGothic"/>
                <w:sz w:val="18"/>
                <w:szCs w:val="18"/>
                <w:color w:val="auto"/>
                <w:w w:val="91"/>
              </w:rPr>
              <w:t>‑</w:t>
            </w:r>
            <w:r>
              <w:rPr>
                <w:rFonts w:ascii="Arial" w:cs="Arial" w:eastAsia="Arial" w:hAnsi="Arial"/>
                <w:sz w:val="18"/>
                <w:szCs w:val="18"/>
                <w:color w:val="auto"/>
                <w:w w:val="91"/>
              </w:rPr>
              <w:t>1465835</w:t>
            </w:r>
          </w:p>
        </w:tc>
      </w:tr>
      <w:tr>
        <w:trPr>
          <w:trHeight w:val="202"/>
        </w:trPr>
        <w:tc>
          <w:tcPr>
            <w:tcW w:w="4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6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180"/>
              <w:spacing w:after="0"/>
              <w:rPr>
                <w:sz w:val="20"/>
                <w:szCs w:val="20"/>
                <w:color w:val="auto"/>
              </w:rPr>
            </w:pPr>
            <w:r>
              <w:rPr>
                <w:rFonts w:ascii="Arial" w:cs="Arial" w:eastAsia="Arial" w:hAnsi="Arial"/>
                <w:sz w:val="18"/>
                <w:szCs w:val="18"/>
                <w:color w:val="auto"/>
                <w:w w:val="90"/>
              </w:rPr>
              <w:t>organization)</w:t>
            </w:r>
          </w:p>
        </w:tc>
        <w:tc>
          <w:tcPr>
            <w:tcW w:w="4060" w:type="dxa"/>
            <w:vAlign w:val="bottom"/>
          </w:tcPr>
          <w:p>
            <w:pPr>
              <w:spacing w:after="0"/>
              <w:rPr>
                <w:sz w:val="20"/>
                <w:szCs w:val="20"/>
                <w:color w:val="auto"/>
              </w:rPr>
            </w:pPr>
          </w:p>
        </w:tc>
      </w:tr>
      <w:tr>
        <w:trPr>
          <w:trHeight w:val="439"/>
        </w:trPr>
        <w:tc>
          <w:tcPr>
            <w:tcW w:w="532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2801 East Beltline NE, Grand Rapids, Michigan</w:t>
            </w:r>
          </w:p>
        </w:tc>
        <w:tc>
          <w:tcPr>
            <w:tcW w:w="406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line="207" w:lineRule="exact"/>
              <w:rPr>
                <w:sz w:val="20"/>
                <w:szCs w:val="20"/>
                <w:color w:val="auto"/>
              </w:rPr>
            </w:pPr>
            <w:r>
              <w:rPr>
                <w:rFonts w:ascii="Arial" w:cs="Arial" w:eastAsia="Arial" w:hAnsi="Arial"/>
                <w:sz w:val="18"/>
                <w:szCs w:val="18"/>
                <w:color w:val="auto"/>
                <w:w w:val="89"/>
              </w:rPr>
              <w:t>Registrant’s telephone number, including area code (616) 364</w:t>
            </w:r>
            <w:r>
              <w:rPr>
                <w:rFonts w:ascii="MS PGothic" w:cs="MS PGothic" w:eastAsia="MS PGothic" w:hAnsi="MS PGothic"/>
                <w:sz w:val="18"/>
                <w:szCs w:val="18"/>
                <w:color w:val="auto"/>
                <w:w w:val="89"/>
              </w:rPr>
              <w:t>‑</w:t>
            </w:r>
            <w:r>
              <w:rPr>
                <w:rFonts w:ascii="Arial" w:cs="Arial" w:eastAsia="Arial" w:hAnsi="Arial"/>
                <w:sz w:val="18"/>
                <w:szCs w:val="18"/>
                <w:color w:val="auto"/>
                <w:w w:val="89"/>
              </w:rPr>
              <w:t>6161</w:t>
            </w:r>
          </w:p>
        </w:tc>
        <w:tc>
          <w:tcPr>
            <w:tcW w:w="4060" w:type="dxa"/>
            <w:vAlign w:val="bottom"/>
          </w:tcPr>
          <w:p>
            <w:pPr>
              <w:spacing w:after="0"/>
              <w:rPr>
                <w:sz w:val="24"/>
                <w:szCs w:val="24"/>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1" w:lineRule="exact"/>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420"/>
          </w:cols>
          <w:pgMar w:left="740" w:top="233" w:right="739" w:bottom="1440" w:gutter="0" w:footer="0" w:header="0"/>
        </w:sectPr>
      </w:pPr>
    </w:p>
    <w:p>
      <w:pPr>
        <w:spacing w:after="0" w:line="75"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both"/>
        <w:ind w:right="138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4" w:lineRule="exact"/>
        <w:rPr>
          <w:sz w:val="24"/>
          <w:szCs w:val="24"/>
          <w:color w:val="auto"/>
        </w:rPr>
      </w:pPr>
    </w:p>
    <w:p>
      <w:pPr>
        <w:sectPr>
          <w:pgSz w:w="11900" w:h="16838" w:orient="portrait"/>
          <w:cols w:equalWidth="0" w:num="4">
            <w:col w:w="1960" w:space="720"/>
            <w:col w:w="1440" w:space="320"/>
            <w:col w:w="1820" w:space="520"/>
            <w:col w:w="3640"/>
          </w:cols>
          <w:pgMar w:left="740" w:top="233" w:right="739" w:bottom="1440" w:gutter="0" w:footer="0" w:header="0"/>
          <w:type w:val="continuous"/>
        </w:sect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5220" w:type="dxa"/>
            <w:vAlign w:val="bottom"/>
            <w:gridSpan w:val="2"/>
          </w:tcPr>
          <w:p>
            <w:pPr>
              <w:jc w:val="center"/>
              <w:ind w:right="1080"/>
              <w:spacing w:after="0"/>
              <w:rPr>
                <w:sz w:val="20"/>
                <w:szCs w:val="20"/>
                <w:color w:val="auto"/>
              </w:rPr>
            </w:pPr>
            <w:r>
              <w:rPr>
                <w:rFonts w:ascii="Arial" w:cs="Arial" w:eastAsia="Arial" w:hAnsi="Arial"/>
                <w:sz w:val="18"/>
                <w:szCs w:val="18"/>
                <w:color w:val="auto"/>
                <w:w w:val="84"/>
              </w:rPr>
              <w:t>Class</w:t>
            </w:r>
          </w:p>
        </w:tc>
        <w:tc>
          <w:tcPr>
            <w:tcW w:w="4160" w:type="dxa"/>
            <w:vAlign w:val="bottom"/>
          </w:tcPr>
          <w:p>
            <w:pPr>
              <w:jc w:val="center"/>
              <w:spacing w:after="0"/>
              <w:rPr>
                <w:sz w:val="20"/>
                <w:szCs w:val="20"/>
                <w:color w:val="auto"/>
              </w:rPr>
            </w:pPr>
            <w:r>
              <w:rPr>
                <w:rFonts w:ascii="Arial" w:cs="Arial" w:eastAsia="Arial" w:hAnsi="Arial"/>
                <w:sz w:val="18"/>
                <w:szCs w:val="18"/>
                <w:color w:val="auto"/>
                <w:w w:val="92"/>
              </w:rPr>
              <w:t>Outstanding as of April 1, 2017</w:t>
            </w:r>
          </w:p>
        </w:tc>
        <w:tc>
          <w:tcPr>
            <w:tcW w:w="520" w:type="dxa"/>
            <w:vAlign w:val="bottom"/>
          </w:tcPr>
          <w:p>
            <w:pPr>
              <w:spacing w:after="0"/>
              <w:rPr>
                <w:sz w:val="20"/>
                <w:szCs w:val="20"/>
                <w:color w:val="auto"/>
              </w:rPr>
            </w:pPr>
          </w:p>
        </w:tc>
      </w:tr>
      <w:tr>
        <w:trPr>
          <w:trHeight w:val="230"/>
        </w:trPr>
        <w:tc>
          <w:tcPr>
            <w:tcW w:w="52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1040" w:type="dxa"/>
            <w:vAlign w:val="bottom"/>
          </w:tcPr>
          <w:p>
            <w:pPr>
              <w:spacing w:after="0"/>
              <w:rPr>
                <w:sz w:val="20"/>
                <w:szCs w:val="20"/>
                <w:color w:val="auto"/>
              </w:rPr>
            </w:pPr>
          </w:p>
        </w:tc>
        <w:tc>
          <w:tcPr>
            <w:tcW w:w="416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20,518,049</w:t>
            </w:r>
          </w:p>
        </w:tc>
        <w:tc>
          <w:tcPr>
            <w:tcW w:w="520" w:type="dxa"/>
            <w:vAlign w:val="bottom"/>
          </w:tcPr>
          <w:p>
            <w:pPr>
              <w:spacing w:after="0"/>
              <w:rPr>
                <w:sz w:val="20"/>
                <w:szCs w:val="20"/>
                <w:color w:val="auto"/>
              </w:rPr>
            </w:pPr>
          </w:p>
        </w:tc>
      </w:tr>
      <w:tr>
        <w:trPr>
          <w:trHeight w:val="107"/>
        </w:trPr>
        <w:tc>
          <w:tcPr>
            <w:tcW w:w="52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68"/>
        </w:trPr>
        <w:tc>
          <w:tcPr>
            <w:tcW w:w="520" w:type="dxa"/>
            <w:vAlign w:val="bottom"/>
            <w:tcBorders>
              <w:left w:val="single" w:sz="8" w:color="auto"/>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160" w:type="dxa"/>
            <w:vAlign w:val="bottom"/>
            <w:tcBorders>
              <w:bottom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r>
      <w:tr>
        <w:trPr>
          <w:trHeight w:val="588"/>
        </w:trPr>
        <w:tc>
          <w:tcPr>
            <w:tcW w:w="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40" w:type="dxa"/>
            <w:vAlign w:val="bottom"/>
            <w:gridSpan w:val="13"/>
          </w:tcPr>
          <w:p>
            <w:pPr>
              <w:jc w:val="center"/>
              <w:ind w:right="1480"/>
              <w:spacing w:after="0"/>
              <w:rPr>
                <w:sz w:val="20"/>
                <w:szCs w:val="20"/>
                <w:color w:val="auto"/>
              </w:rPr>
            </w:pPr>
            <w:r>
              <w:rPr>
                <w:rFonts w:ascii="Arial" w:cs="Arial" w:eastAsia="Arial" w:hAnsi="Arial"/>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0"/>
          </w:tcPr>
          <w:p>
            <w:pPr>
              <w:jc w:val="center"/>
              <w:ind w:right="270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8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5"/>
            <w:shd w:val="clear" w:color="auto" w:fill="CCEEFF"/>
          </w:tcPr>
          <w:p>
            <w:pPr>
              <w:spacing w:after="0" w:line="176"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Consolidated Condensed Balance Sheets at April 1, 2017, December 31, 2016 and March</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26, 2016</w:t>
              </w:r>
            </w:hyperlink>
          </w:p>
        </w:tc>
        <w:tc>
          <w:tcPr>
            <w:tcW w:w="2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56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166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Statements of Earnings and Comprehensive Income for the</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April 1, 2017 and March 26,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Condensed Statements of Shareholders’ Equity for the Three Months Ended</w:t>
              </w:r>
            </w:hyperlink>
          </w:p>
        </w:tc>
        <w:tc>
          <w:tcPr>
            <w:tcW w:w="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April 1, 2017 and March 26, 2016</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5"/>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Condensed Statements of Cash Flows for the Three Months Ended April 1,</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 and March 26, 2016</w:t>
              </w:r>
            </w:hyperlink>
          </w:p>
        </w:tc>
        <w:tc>
          <w:tcPr>
            <w:tcW w:w="8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6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680" w:type="dxa"/>
            <w:vAlign w:val="bottom"/>
            <w:gridSpan w:val="15"/>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April 1,</w:t>
            </w:r>
          </w:p>
        </w:tc>
        <w:tc>
          <w:tcPr>
            <w:tcW w:w="180" w:type="dxa"/>
            <w:vAlign w:val="bottom"/>
          </w:tcPr>
          <w:p>
            <w:pPr>
              <w:spacing w:after="0"/>
              <w:rPr>
                <w:sz w:val="16"/>
                <w:szCs w:val="16"/>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March 26,</w:t>
            </w:r>
          </w:p>
        </w:tc>
        <w:tc>
          <w:tcPr>
            <w:tcW w:w="0" w:type="dxa"/>
            <w:vAlign w:val="bottom"/>
          </w:tcPr>
          <w:p>
            <w:pPr>
              <w:spacing w:after="0"/>
              <w:rPr>
                <w:sz w:val="1"/>
                <w:szCs w:val="1"/>
                <w:color w:val="auto"/>
              </w:rPr>
            </w:pPr>
          </w:p>
        </w:tc>
      </w:tr>
      <w:tr>
        <w:trPr>
          <w:trHeight w:val="111"/>
        </w:trPr>
        <w:tc>
          <w:tcPr>
            <w:tcW w:w="5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8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5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31,020</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43,065</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6,737</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365,620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282,253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287,374</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232,647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198,954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176,983</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239,369</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198,273</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150,194</w:t>
            </w:r>
          </w:p>
        </w:tc>
        <w:tc>
          <w:tcPr>
            <w:tcW w:w="0" w:type="dxa"/>
            <w:vAlign w:val="bottom"/>
          </w:tcPr>
          <w:p>
            <w:pPr>
              <w:spacing w:after="0"/>
              <w:rPr>
                <w:sz w:val="1"/>
                <w:szCs w:val="1"/>
                <w:color w:val="auto"/>
              </w:rPr>
            </w:pPr>
          </w:p>
        </w:tc>
      </w:tr>
      <w:tr>
        <w:trPr>
          <w:trHeight w:val="136"/>
        </w:trPr>
        <w:tc>
          <w:tcPr>
            <w:tcW w:w="586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472,016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397,227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327,177</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8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20,650</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20,662</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16,889</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899,313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756,438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682,381</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12,573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7,760</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181,280</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14,718</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Property, plant and equipment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720,912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699,462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639,881</w:t>
            </w:r>
          </w:p>
        </w:tc>
        <w:tc>
          <w:tcPr>
            <w:tcW w:w="0" w:type="dxa"/>
            <w:vAlign w:val="bottom"/>
          </w:tcPr>
          <w:p>
            <w:pPr>
              <w:spacing w:after="0"/>
              <w:rPr>
                <w:sz w:val="1"/>
                <w:szCs w:val="1"/>
                <w:color w:val="auto"/>
              </w:rPr>
            </w:pPr>
          </w:p>
        </w:tc>
      </w:tr>
      <w:tr>
        <w:trPr>
          <w:trHeight w:val="156"/>
        </w:trPr>
        <w:tc>
          <w:tcPr>
            <w:tcW w:w="58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(411,059)</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(401,611)</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(385,247)</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ind w:left="440"/>
              <w:spacing w:after="0" w:line="149" w:lineRule="exact"/>
              <w:rPr>
                <w:sz w:val="20"/>
                <w:szCs w:val="20"/>
                <w:color w:val="auto"/>
              </w:rPr>
            </w:pPr>
            <w:r>
              <w:rPr>
                <w:rFonts w:ascii="Arial" w:cs="Arial" w:eastAsia="Arial" w:hAnsi="Arial"/>
                <w:sz w:val="14"/>
                <w:szCs w:val="14"/>
                <w:color w:val="auto"/>
              </w:rPr>
              <w:t>PROPERTY, PLANT AND EQUIPMENT, NET</w:t>
            </w: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309,853</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297,851</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254,634</w:t>
            </w:r>
          </w:p>
        </w:tc>
        <w:tc>
          <w:tcPr>
            <w:tcW w:w="0" w:type="dxa"/>
            <w:vAlign w:val="bottom"/>
          </w:tcPr>
          <w:p>
            <w:pPr>
              <w:spacing w:after="0"/>
              <w:rPr>
                <w:sz w:val="1"/>
                <w:szCs w:val="1"/>
                <w:color w:val="auto"/>
              </w:rPr>
            </w:pPr>
          </w:p>
        </w:tc>
      </w:tr>
      <w:tr>
        <w:trPr>
          <w:trHeight w:val="143"/>
        </w:trPr>
        <w:tc>
          <w:tcPr>
            <w:tcW w:w="5860" w:type="dxa"/>
            <w:vAlign w:val="bottom"/>
            <w:tcBorders>
              <w:bottom w:val="single" w:sz="8" w:color="CCEEFF"/>
            </w:tcBorders>
          </w:tcPr>
          <w:p>
            <w:pPr>
              <w:spacing w:after="0" w:line="136" w:lineRule="exact"/>
              <w:rPr>
                <w:sz w:val="20"/>
                <w:szCs w:val="20"/>
                <w:color w:val="auto"/>
              </w:rPr>
            </w:pPr>
            <w:r>
              <w:rPr>
                <w:rFonts w:ascii="Arial" w:cs="Arial" w:eastAsia="Arial" w:hAnsi="Arial"/>
                <w:sz w:val="14"/>
                <w:szCs w:val="14"/>
                <w:color w:val="auto"/>
              </w:rPr>
              <w:t>TOTAL ASSETS</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6"/>
              </w:rPr>
              <w:t>1,477,659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line="136"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1,292,058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1,145,777</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5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21,566</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156,030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124,660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116,525</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58,491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92,441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61,314</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7,182</w:t>
            </w:r>
          </w:p>
        </w:tc>
        <w:tc>
          <w:tcPr>
            <w:tcW w:w="0" w:type="dxa"/>
            <w:vAlign w:val="bottom"/>
          </w:tcPr>
          <w:p>
            <w:pPr>
              <w:spacing w:after="0"/>
              <w:rPr>
                <w:sz w:val="1"/>
                <w:szCs w:val="1"/>
                <w:color w:val="auto"/>
              </w:rPr>
            </w:pPr>
          </w:p>
        </w:tc>
      </w:tr>
      <w:tr>
        <w:trPr>
          <w:trHeight w:val="149"/>
        </w:trPr>
        <w:tc>
          <w:tcPr>
            <w:tcW w:w="586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39,473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32,281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29,414</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2,280</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2,634</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36"/>
        </w:trPr>
        <w:tc>
          <w:tcPr>
            <w:tcW w:w="5860" w:type="dxa"/>
            <w:vAlign w:val="bottom"/>
          </w:tcPr>
          <w:p>
            <w:pPr>
              <w:ind w:left="440"/>
              <w:spacing w:after="0" w:line="136" w:lineRule="exact"/>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277,840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271,777</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215,321</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252,904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84,525</w:t>
            </w:r>
          </w:p>
        </w:tc>
        <w:tc>
          <w:tcPr>
            <w:tcW w:w="0" w:type="dxa"/>
            <w:vAlign w:val="bottom"/>
          </w:tcPr>
          <w:p>
            <w:pPr>
              <w:spacing w:after="0"/>
              <w:rPr>
                <w:sz w:val="1"/>
                <w:szCs w:val="1"/>
                <w:color w:val="auto"/>
              </w:rPr>
            </w:pPr>
          </w:p>
        </w:tc>
      </w:tr>
      <w:tr>
        <w:trPr>
          <w:trHeight w:val="149"/>
        </w:trPr>
        <w:tc>
          <w:tcPr>
            <w:tcW w:w="586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21,364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20,817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24,991</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29,939</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26,012</w:t>
            </w:r>
          </w:p>
        </w:tc>
        <w:tc>
          <w:tcPr>
            <w:tcW w:w="0" w:type="dxa"/>
            <w:vAlign w:val="bottom"/>
          </w:tcPr>
          <w:p>
            <w:pPr>
              <w:spacing w:after="0"/>
              <w:rPr>
                <w:sz w:val="1"/>
                <w:szCs w:val="1"/>
                <w:color w:val="auto"/>
              </w:rPr>
            </w:pPr>
          </w:p>
        </w:tc>
      </w:tr>
      <w:tr>
        <w:trPr>
          <w:trHeight w:val="136"/>
        </w:trPr>
        <w:tc>
          <w:tcPr>
            <w:tcW w:w="5860" w:type="dxa"/>
            <w:vAlign w:val="bottom"/>
          </w:tcPr>
          <w:p>
            <w:pPr>
              <w:ind w:left="440"/>
              <w:spacing w:after="0" w:line="136" w:lineRule="exact"/>
              <w:rPr>
                <w:sz w:val="20"/>
                <w:szCs w:val="20"/>
                <w:color w:val="auto"/>
              </w:rPr>
            </w:pPr>
            <w:r>
              <w:rPr>
                <w:rFonts w:ascii="Arial" w:cs="Arial" w:eastAsia="Arial" w:hAnsi="Arial"/>
                <w:sz w:val="14"/>
                <w:szCs w:val="14"/>
                <w:color w:val="auto"/>
              </w:rPr>
              <w:t>TOTAL LIABILITIES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580,306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431,592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350,849</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9"/>
              </w:rPr>
              <w:t>Preferred stock, no par value; shares authorized 1,000,000; issued and outstanding, none</w:t>
            </w:r>
          </w:p>
        </w:tc>
        <w:tc>
          <w:tcPr>
            <w:tcW w:w="5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860" w:type="dxa"/>
            <w:vAlign w:val="bottom"/>
          </w:tcPr>
          <w:p>
            <w:pPr>
              <w:ind w:left="320"/>
              <w:spacing w:after="0" w:line="130" w:lineRule="exact"/>
              <w:rPr>
                <w:sz w:val="20"/>
                <w:szCs w:val="20"/>
                <w:color w:val="auto"/>
              </w:rPr>
            </w:pPr>
            <w:r>
              <w:rPr>
                <w:rFonts w:ascii="Arial" w:cs="Arial" w:eastAsia="Arial" w:hAnsi="Arial"/>
                <w:sz w:val="14"/>
                <w:szCs w:val="14"/>
                <w:color w:val="auto"/>
              </w:rPr>
              <w:t>Common stock, no par value; shares authorized 80,000,000; issued and outstanding,</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860" w:type="dxa"/>
            <w:vAlign w:val="bottom"/>
          </w:tcPr>
          <w:p>
            <w:pPr>
              <w:ind w:left="320"/>
              <w:spacing w:after="0"/>
              <w:rPr>
                <w:sz w:val="20"/>
                <w:szCs w:val="20"/>
                <w:color w:val="auto"/>
              </w:rPr>
            </w:pPr>
            <w:r>
              <w:rPr>
                <w:rFonts w:ascii="Arial" w:cs="Arial" w:eastAsia="Arial" w:hAnsi="Arial"/>
                <w:sz w:val="14"/>
                <w:szCs w:val="14"/>
                <w:color w:val="auto"/>
              </w:rPr>
              <w:t>20,518,049, 20,342,069, and 20,301,084.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20,342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20,301</w:t>
            </w:r>
          </w:p>
        </w:tc>
        <w:tc>
          <w:tcPr>
            <w:tcW w:w="0" w:type="dxa"/>
            <w:vAlign w:val="bottom"/>
          </w:tcPr>
          <w:p>
            <w:pPr>
              <w:spacing w:after="0"/>
              <w:rPr>
                <w:sz w:val="1"/>
                <w:szCs w:val="1"/>
                <w:color w:val="auto"/>
              </w:rPr>
            </w:pPr>
          </w:p>
        </w:tc>
      </w:tr>
      <w:tr>
        <w:trPr>
          <w:trHeight w:val="149"/>
        </w:trPr>
        <w:tc>
          <w:tcPr>
            <w:tcW w:w="58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197,356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180,395</w:t>
            </w:r>
          </w:p>
        </w:tc>
        <w:tc>
          <w:tcPr>
            <w:tcW w:w="0" w:type="dxa"/>
            <w:vAlign w:val="bottom"/>
          </w:tcPr>
          <w:p>
            <w:pPr>
              <w:spacing w:after="0"/>
              <w:rPr>
                <w:sz w:val="1"/>
                <w:szCs w:val="1"/>
                <w:color w:val="auto"/>
              </w:rPr>
            </w:pPr>
          </w:p>
        </w:tc>
      </w:tr>
      <w:tr>
        <w:trPr>
          <w:trHeight w:val="149"/>
        </w:trPr>
        <w:tc>
          <w:tcPr>
            <w:tcW w:w="586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670,115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649,135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584,848</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(3,450)</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(5,630)</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(3,946)</w:t>
            </w:r>
          </w:p>
        </w:tc>
        <w:tc>
          <w:tcPr>
            <w:tcW w:w="0" w:type="dxa"/>
            <w:vAlign w:val="bottom"/>
          </w:tcPr>
          <w:p>
            <w:pPr>
              <w:spacing w:after="0"/>
              <w:rPr>
                <w:sz w:val="1"/>
                <w:szCs w:val="1"/>
                <w:color w:val="auto"/>
              </w:rPr>
            </w:pPr>
          </w:p>
        </w:tc>
      </w:tr>
      <w:tr>
        <w:trPr>
          <w:trHeight w:val="136"/>
        </w:trPr>
        <w:tc>
          <w:tcPr>
            <w:tcW w:w="5860" w:type="dxa"/>
            <w:vAlign w:val="bottom"/>
          </w:tcPr>
          <w:p>
            <w:pPr>
              <w:ind w:left="440"/>
              <w:spacing w:after="0" w:line="136" w:lineRule="exact"/>
              <w:rPr>
                <w:sz w:val="20"/>
                <w:szCs w:val="20"/>
                <w:color w:val="auto"/>
              </w:rPr>
            </w:pPr>
            <w:r>
              <w:rPr>
                <w:rFonts w:ascii="Arial" w:cs="Arial" w:eastAsia="Arial" w:hAnsi="Arial"/>
                <w:sz w:val="14"/>
                <w:szCs w:val="14"/>
                <w:color w:val="auto"/>
              </w:rPr>
              <w:t>Total controlling interest shareholders’ equity</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4"/>
                <w:szCs w:val="14"/>
                <w:color w:val="auto"/>
              </w:rPr>
              <w:t>884,539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849,180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6" w:lineRule="exact"/>
              <w:rPr>
                <w:sz w:val="20"/>
                <w:szCs w:val="20"/>
                <w:color w:val="auto"/>
              </w:rPr>
            </w:pPr>
            <w:r>
              <w:rPr>
                <w:rFonts w:ascii="Arial" w:cs="Arial" w:eastAsia="Arial" w:hAnsi="Arial"/>
                <w:sz w:val="14"/>
                <w:szCs w:val="14"/>
                <w:color w:val="auto"/>
              </w:rPr>
              <w:t>781,598</w:t>
            </w:r>
          </w:p>
        </w:tc>
        <w:tc>
          <w:tcPr>
            <w:tcW w:w="0" w:type="dxa"/>
            <w:vAlign w:val="bottom"/>
          </w:tcPr>
          <w:p>
            <w:pPr>
              <w:spacing w:after="0"/>
              <w:rPr>
                <w:sz w:val="1"/>
                <w:szCs w:val="1"/>
                <w:color w:val="auto"/>
              </w:rPr>
            </w:pPr>
          </w:p>
        </w:tc>
      </w:tr>
      <w:tr>
        <w:trPr>
          <w:trHeight w:val="169"/>
        </w:trPr>
        <w:tc>
          <w:tcPr>
            <w:tcW w:w="586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12,814</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11,286</w:t>
            </w: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13,330</w:t>
            </w:r>
          </w:p>
        </w:tc>
        <w:tc>
          <w:tcPr>
            <w:tcW w:w="0" w:type="dxa"/>
            <w:vAlign w:val="bottom"/>
          </w:tcPr>
          <w:p>
            <w:pPr>
              <w:spacing w:after="0"/>
              <w:rPr>
                <w:sz w:val="1"/>
                <w:szCs w:val="1"/>
                <w:color w:val="auto"/>
              </w:rPr>
            </w:pPr>
          </w:p>
        </w:tc>
      </w:tr>
      <w:tr>
        <w:trPr>
          <w:trHeight w:val="143"/>
        </w:trPr>
        <w:tc>
          <w:tcPr>
            <w:tcW w:w="5860" w:type="dxa"/>
            <w:vAlign w:val="bottom"/>
            <w:tcBorders>
              <w:bottom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SHAREHOLDERS’ EQUITY</w:t>
            </w: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897,353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860,466</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794,928</w:t>
            </w:r>
          </w:p>
        </w:tc>
        <w:tc>
          <w:tcPr>
            <w:tcW w:w="0" w:type="dxa"/>
            <w:vAlign w:val="bottom"/>
          </w:tcPr>
          <w:p>
            <w:pPr>
              <w:spacing w:after="0"/>
              <w:rPr>
                <w:sz w:val="1"/>
                <w:szCs w:val="1"/>
                <w:color w:val="auto"/>
              </w:rPr>
            </w:pPr>
          </w:p>
        </w:tc>
      </w:tr>
      <w:tr>
        <w:trPr>
          <w:trHeight w:val="156"/>
        </w:trPr>
        <w:tc>
          <w:tcPr>
            <w:tcW w:w="58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1,477,659</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1,292,058</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1,145,777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12"/>
              <w:spacing w:after="0" w:line="15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212"/>
              <w:spacing w:after="0" w:line="126" w:lineRule="exact"/>
              <w:rPr>
                <w:sz w:val="20"/>
                <w:szCs w:val="20"/>
                <w:color w:val="auto"/>
              </w:rPr>
            </w:pPr>
            <w:r>
              <w:rPr>
                <w:rFonts w:ascii="Arial" w:cs="Arial" w:eastAsia="Arial" w:hAnsi="Arial"/>
                <w:sz w:val="14"/>
                <w:szCs w:val="14"/>
                <w:b w:val="1"/>
                <w:bCs w:val="1"/>
                <w:color w:val="auto"/>
              </w:rPr>
              <w:t>April 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12"/>
              <w:spacing w:after="0" w:line="126"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4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725,390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EARNINGS OF INVESTEE</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32,404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31,020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21,634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0"/>
        </w:trPr>
        <w:tc>
          <w:tcPr>
            <w:tcW w:w="6440" w:type="dxa"/>
            <w:vAlign w:val="bottom"/>
            <w:gridSpan w:val="2"/>
          </w:tcPr>
          <w:p>
            <w:pPr>
              <w:spacing w:after="0" w:line="203" w:lineRule="exact"/>
              <w:rPr>
                <w:sz w:val="20"/>
                <w:szCs w:val="20"/>
                <w:color w:val="auto"/>
              </w:rPr>
            </w:pPr>
            <w:r>
              <w:rPr>
                <w:rFonts w:ascii="Arial" w:cs="Arial" w:eastAsia="Arial" w:hAnsi="Arial"/>
                <w:sz w:val="18"/>
                <w:szCs w:val="18"/>
                <w:color w:val="auto"/>
              </w:rPr>
              <w:t>NET EARNINGS ATTRIBUTABLE TO CONTROLLING INTEREST</w:t>
            </w:r>
          </w:p>
        </w:tc>
        <w:tc>
          <w:tcPr>
            <w:tcW w:w="280" w:type="dxa"/>
            <w:vAlign w:val="bottom"/>
          </w:tcPr>
          <w:p>
            <w:pPr>
              <w:spacing w:after="0"/>
              <w:rPr>
                <w:sz w:val="18"/>
                <w:szCs w:val="18"/>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21,062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19,212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GAIN</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tcPr>
          <w:p>
            <w:pPr>
              <w:spacing w:after="0" w:line="201" w:lineRule="exact"/>
              <w:rPr>
                <w:sz w:val="20"/>
                <w:szCs w:val="20"/>
                <w:color w:val="auto"/>
              </w:rPr>
            </w:pPr>
            <w:r>
              <w:rPr>
                <w:rFonts w:ascii="Arial" w:cs="Arial" w:eastAsia="Arial" w:hAnsi="Arial"/>
                <w:sz w:val="18"/>
                <w:szCs w:val="18"/>
                <w:color w:val="auto"/>
              </w:rPr>
              <w:t>LESS COMPREHENSIVE INCOME ATTRIBUTABLE TO NONCONTROLLING</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4"/>
        </w:trPr>
        <w:tc>
          <w:tcPr>
            <w:tcW w:w="644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CONTROLLING INTEREST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66"/>
        </w:trPr>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9"/>
          </w:tcPr>
          <w:p>
            <w:pPr>
              <w:jc w:val="right"/>
              <w:spacing w:after="0" w:line="159" w:lineRule="exact"/>
              <w:rPr>
                <w:sz w:val="20"/>
                <w:szCs w:val="20"/>
                <w:color w:val="auto"/>
              </w:rPr>
            </w:pPr>
            <w:r>
              <w:rPr>
                <w:rFonts w:ascii="Arial" w:cs="Arial" w:eastAsia="Arial" w:hAnsi="Arial"/>
                <w:sz w:val="14"/>
                <w:szCs w:val="14"/>
                <w:b w:val="1"/>
                <w:bCs w:val="1"/>
                <w:color w:val="auto"/>
              </w:rPr>
              <w:t>Controlling Interest Shareholders’ Equity</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26,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20,142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171,562</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565,636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(4,585)</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13,654</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766,409</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19,212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1,043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20,255</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Unrealized gain (loss) on investment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w w:val="96"/>
              </w:rPr>
              <w:t>Issuance of 1,850 shares under employee stock plans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114,739 shares under stock grant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5,232</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Issuance of 42,786 shares under deferred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Expense associated with share-based compensation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arrangements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56"/>
        </w:trPr>
        <w:tc>
          <w:tcPr>
            <w:tcW w:w="3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w w:val="96"/>
              </w:rPr>
              <w:t>Accrued expense under deferred compensation plans</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3,198</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3,198</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26,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20,301</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180,395</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584,848</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(3,946)</w:t>
            </w: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13,330</w:t>
            </w: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794,928</w:t>
            </w:r>
          </w:p>
        </w:tc>
        <w:tc>
          <w:tcPr>
            <w:tcW w:w="0" w:type="dxa"/>
            <w:vAlign w:val="bottom"/>
          </w:tcPr>
          <w:p>
            <w:pPr>
              <w:spacing w:after="0"/>
              <w:rPr>
                <w:sz w:val="1"/>
                <w:szCs w:val="1"/>
                <w:color w:val="auto"/>
              </w:rPr>
            </w:pPr>
          </w:p>
        </w:tc>
      </w:tr>
      <w:tr>
        <w:trPr>
          <w:trHeight w:val="136"/>
        </w:trPr>
        <w:tc>
          <w:tcPr>
            <w:tcW w:w="324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at December 31, 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20,342</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185,333</w:t>
            </w:r>
          </w:p>
        </w:tc>
        <w:tc>
          <w:tcPr>
            <w:tcW w:w="140" w:type="dxa"/>
            <w:vAlign w:val="bottom"/>
          </w:tcPr>
          <w:p>
            <w:pPr>
              <w:spacing w:after="0"/>
              <w:rPr>
                <w:sz w:val="11"/>
                <w:szCs w:val="11"/>
                <w:color w:val="auto"/>
              </w:rPr>
            </w:pPr>
          </w:p>
        </w:tc>
        <w:tc>
          <w:tcPr>
            <w:tcW w:w="120" w:type="dxa"/>
            <w:vAlign w:val="bottom"/>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649,135</w:t>
            </w:r>
          </w:p>
        </w:tc>
        <w:tc>
          <w:tcPr>
            <w:tcW w:w="14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(5,630)</w:t>
            </w:r>
          </w:p>
        </w:tc>
        <w:tc>
          <w:tcPr>
            <w:tcW w:w="140" w:type="dxa"/>
            <w:vAlign w:val="bottom"/>
          </w:tcPr>
          <w:p>
            <w:pPr>
              <w:spacing w:after="0"/>
              <w:rPr>
                <w:sz w:val="11"/>
                <w:szCs w:val="11"/>
                <w:color w:val="auto"/>
              </w:rPr>
            </w:pPr>
          </w:p>
        </w:tc>
        <w:tc>
          <w:tcPr>
            <w:tcW w:w="240" w:type="dxa"/>
            <w:vAlign w:val="bottom"/>
          </w:tcPr>
          <w:p>
            <w:pPr>
              <w:jc w:val="right"/>
              <w:ind w:right="88"/>
              <w:spacing w:after="0" w:line="136"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11,286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70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860,466</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21,634</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2,826</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(loss) on investment &amp; foreign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currency</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purchases of noncontrolling interest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1,774</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w w:val="96"/>
              </w:rPr>
              <w:t>Issuance of 1,738 shares under employee stock plans</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135,776 shares under stock grant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7,243</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rPr>
              <w:t>Issuance of 39,346 shares under deferred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880 shares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0"/>
        </w:trPr>
        <w:tc>
          <w:tcPr>
            <w:tcW w:w="3240" w:type="dxa"/>
            <w:vAlign w:val="bottom"/>
          </w:tcPr>
          <w:p>
            <w:pPr>
              <w:spacing w:after="0" w:line="130" w:lineRule="exact"/>
              <w:rPr>
                <w:sz w:val="20"/>
                <w:szCs w:val="20"/>
                <w:color w:val="auto"/>
              </w:rPr>
            </w:pPr>
            <w:r>
              <w:rPr>
                <w:rFonts w:ascii="Arial" w:cs="Arial" w:eastAsia="Arial" w:hAnsi="Arial"/>
                <w:sz w:val="14"/>
                <w:szCs w:val="14"/>
                <w:color w:val="auto"/>
                <w:w w:val="98"/>
              </w:rPr>
              <w:t>Expense associated with share-based compensation</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arrangements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69"/>
        </w:trPr>
        <w:tc>
          <w:tcPr>
            <w:tcW w:w="3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w w:val="96"/>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143"/>
        </w:trPr>
        <w:tc>
          <w:tcPr>
            <w:tcW w:w="324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at April 1, 2017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20,518</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197,356</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670,115</w:t>
            </w:r>
          </w:p>
        </w:tc>
        <w:tc>
          <w:tcPr>
            <w:tcW w:w="1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(3,450)</w:t>
            </w:r>
          </w:p>
        </w:tc>
        <w:tc>
          <w:tcPr>
            <w:tcW w:w="14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36"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12,814</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b w:val="1"/>
                <w:bCs w:val="1"/>
                <w:color w:val="auto"/>
                <w:w w:val="70"/>
              </w:rPr>
              <w:t>$</w:t>
            </w:r>
          </w:p>
        </w:tc>
        <w:tc>
          <w:tcPr>
            <w:tcW w:w="7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897,353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60"/>
          </w:cols>
          <w:pgMar w:left="1420" w:top="125" w:right="11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April 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88"/>
              <w:spacing w:after="0" w:line="126" w:lineRule="exact"/>
              <w:rPr>
                <w:sz w:val="20"/>
                <w:szCs w:val="20"/>
                <w:color w:val="auto"/>
              </w:rPr>
            </w:pPr>
            <w:r>
              <w:rPr>
                <w:rFonts w:ascii="Arial" w:cs="Arial" w:eastAsia="Arial" w:hAnsi="Arial"/>
                <w:sz w:val="14"/>
                <w:szCs w:val="14"/>
                <w:b w:val="1"/>
                <w:bCs w:val="1"/>
                <w:color w:val="auto"/>
              </w:rPr>
              <w:t>March 26,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21,634</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11,392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Arial" w:cs="Arial" w:eastAsia="Arial" w:hAnsi="Arial"/>
                <w:sz w:val="14"/>
                <w:szCs w:val="14"/>
                <w:color w:val="auto"/>
              </w:rPr>
              <w:t>Expense associated with share-based compensation arrangements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Expense associated with stock grant plans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 (credits)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investee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Arial" w:cs="Arial" w:eastAsia="Arial" w:hAnsi="Arial"/>
                <w:sz w:val="14"/>
                <w:szCs w:val="14"/>
                <w:color w:val="auto"/>
              </w:rPr>
              <w:t>Net loss on disposition and impairment of assets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(67,766)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(60,984)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32,769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21,498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(9,676)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40" w:type="dxa"/>
            <w:vAlign w:val="bottom"/>
          </w:tcPr>
          <w:p>
            <w:pPr>
              <w:ind w:left="100"/>
              <w:spacing w:after="0" w:line="136" w:lineRule="exact"/>
              <w:rPr>
                <w:sz w:val="20"/>
                <w:szCs w:val="20"/>
                <w:color w:val="auto"/>
              </w:rPr>
            </w:pPr>
            <w:r>
              <w:rPr>
                <w:rFonts w:ascii="Arial" w:cs="Arial" w:eastAsia="Arial" w:hAnsi="Arial"/>
                <w:sz w:val="14"/>
                <w:szCs w:val="14"/>
                <w:color w:val="auto"/>
              </w:rPr>
              <w:t>NET CASH FROM OPERATING ACTIVITIES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(70,740)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(29,957)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(16,531)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Acquisitions and purchase of noncontrolling interest, net of cash received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(55,441)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Advances of notes receivable</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Collections on notes receivable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1,204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40" w:type="dxa"/>
            <w:vAlign w:val="bottom"/>
          </w:tcPr>
          <w:p>
            <w:pPr>
              <w:ind w:left="100"/>
              <w:spacing w:after="0" w:line="136" w:lineRule="exact"/>
              <w:rPr>
                <w:sz w:val="20"/>
                <w:szCs w:val="20"/>
                <w:color w:val="auto"/>
              </w:rPr>
            </w:pPr>
            <w:r>
              <w:rPr>
                <w:rFonts w:ascii="Arial" w:cs="Arial" w:eastAsia="Arial" w:hAnsi="Arial"/>
                <w:sz w:val="14"/>
                <w:szCs w:val="14"/>
                <w:color w:val="auto"/>
              </w:rPr>
              <w:t>NET CASH USED IN INVESTING ACTIVITIES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(70,599)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(12,833)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281,090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(137,767)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40" w:type="dxa"/>
            <w:vAlign w:val="bottom"/>
          </w:tcPr>
          <w:p>
            <w:pPr>
              <w:ind w:left="100"/>
              <w:spacing w:after="0" w:line="136" w:lineRule="exact"/>
              <w:rPr>
                <w:sz w:val="20"/>
                <w:szCs w:val="20"/>
                <w:color w:val="auto"/>
              </w:rPr>
            </w:pPr>
            <w:r>
              <w:rPr>
                <w:rFonts w:ascii="Arial" w:cs="Arial" w:eastAsia="Arial" w:hAnsi="Arial"/>
                <w:sz w:val="14"/>
                <w:szCs w:val="14"/>
                <w:color w:val="auto"/>
              </w:rPr>
              <w:t>NET CASH FROM (USED IN) FINANCING ACTIVITIES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141,697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882</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40" w:type="dxa"/>
            <w:vAlign w:val="bottom"/>
          </w:tcPr>
          <w:p>
            <w:pPr>
              <w:spacing w:after="0" w:line="136" w:lineRule="exact"/>
              <w:rPr>
                <w:sz w:val="20"/>
                <w:szCs w:val="20"/>
                <w:color w:val="auto"/>
              </w:rPr>
            </w:pPr>
            <w:r>
              <w:rPr>
                <w:rFonts w:ascii="Arial" w:cs="Arial" w:eastAsia="Arial" w:hAnsi="Arial"/>
                <w:sz w:val="14"/>
                <w:szCs w:val="14"/>
                <w:color w:val="auto"/>
              </w:rPr>
              <w:t>NET CHANGE IN CASH AND CASH EQUIVALENTS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1,240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(44,138)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88,342</w:t>
            </w:r>
          </w:p>
        </w:tc>
        <w:tc>
          <w:tcPr>
            <w:tcW w:w="0" w:type="dxa"/>
            <w:vAlign w:val="bottom"/>
          </w:tcPr>
          <w:p>
            <w:pPr>
              <w:spacing w:after="0"/>
              <w:rPr>
                <w:sz w:val="1"/>
                <w:szCs w:val="1"/>
                <w:color w:val="auto"/>
              </w:rPr>
            </w:pPr>
          </w:p>
        </w:tc>
      </w:tr>
      <w:tr>
        <w:trPr>
          <w:trHeight w:val="143"/>
        </w:trPr>
        <w:tc>
          <w:tcPr>
            <w:tcW w:w="6260" w:type="dxa"/>
            <w:vAlign w:val="bottom"/>
            <w:gridSpan w:val="2"/>
          </w:tcPr>
          <w:p>
            <w:pPr>
              <w:spacing w:after="0" w:line="136" w:lineRule="exact"/>
              <w:rPr>
                <w:sz w:val="20"/>
                <w:szCs w:val="20"/>
                <w:color w:val="auto"/>
              </w:rPr>
            </w:pPr>
            <w:r>
              <w:rPr>
                <w:rFonts w:ascii="Arial" w:cs="Arial" w:eastAsia="Arial" w:hAnsi="Arial"/>
                <w:sz w:val="14"/>
                <w:szCs w:val="14"/>
                <w:color w:val="auto"/>
              </w:rPr>
              <w:t>CASH, CASH EQUIVALENTS, AND RESTRICTED CASH, END OF PERIOD</w:t>
            </w:r>
          </w:p>
        </w:tc>
        <w:tc>
          <w:tcPr>
            <w:tcW w:w="66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35,729</w:t>
            </w:r>
          </w:p>
        </w:tc>
        <w:tc>
          <w:tcPr>
            <w:tcW w:w="2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6" w:lineRule="exact"/>
              <w:rPr>
                <w:sz w:val="20"/>
                <w:szCs w:val="20"/>
                <w:color w:val="auto"/>
              </w:rPr>
            </w:pPr>
            <w:r>
              <w:rPr>
                <w:rFonts w:ascii="Arial" w:cs="Arial" w:eastAsia="Arial" w:hAnsi="Arial"/>
                <w:sz w:val="14"/>
                <w:szCs w:val="14"/>
                <w:color w:val="auto"/>
              </w:rPr>
              <w:t>44,204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34,091</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6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34,489</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88,342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8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31,020</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4,709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6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35,729</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8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 (refunded)</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3,793</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7"/>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8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480" w:right="80"/>
        <w:spacing w:after="0" w:line="219" w:lineRule="exact"/>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2016.</w:t>
      </w:r>
    </w:p>
    <w:p>
      <w:pPr>
        <w:spacing w:after="0" w:line="205" w:lineRule="exact"/>
        <w:rPr>
          <w:rFonts w:ascii="Arial" w:cs="Arial" w:eastAsia="Arial" w:hAnsi="Arial"/>
          <w:sz w:val="18"/>
          <w:szCs w:val="18"/>
          <w:b w:val="1"/>
          <w:bCs w:val="1"/>
          <w:color w:val="auto"/>
        </w:rPr>
      </w:pPr>
    </w:p>
    <w:p>
      <w:pPr>
        <w:ind w:left="480" w:right="2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March 26, 2016 balances in the accompanying unaudited consolidated condensed balance sheets.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480" w:hanging="477"/>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rFonts w:ascii="Arial" w:cs="Arial" w:eastAsia="Arial" w:hAnsi="Arial"/>
          <w:sz w:val="18"/>
          <w:szCs w:val="18"/>
          <w:b w:val="1"/>
          <w:bCs w:val="1"/>
          <w:color w:val="auto"/>
        </w:rPr>
      </w:pPr>
    </w:p>
    <w:p>
      <w:pPr>
        <w:ind w:left="48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6"/>
              </w:rPr>
              <w:t>April 1, 2017</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4"/>
              </w:rPr>
              <w:t>March 26, 2016</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26"/>
        </w:trPr>
        <w:tc>
          <w:tcPr>
            <w:tcW w:w="2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0"/>
                <w:szCs w:val="10"/>
                <w:color w:val="auto"/>
              </w:rPr>
            </w:pPr>
          </w:p>
        </w:tc>
        <w:tc>
          <w:tcPr>
            <w:tcW w:w="82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0"/>
                <w:szCs w:val="10"/>
                <w:color w:val="auto"/>
              </w:rPr>
            </w:pPr>
          </w:p>
        </w:tc>
        <w:tc>
          <w:tcPr>
            <w:tcW w:w="92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Prices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20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8"/>
        </w:trPr>
        <w:tc>
          <w:tcPr>
            <w:tcW w:w="2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Fixed income funds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1,174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3,157</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Mutual funds: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Domestic stock funds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International stock funds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Target funds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2900" w:type="dxa"/>
            <w:vAlign w:val="bottom"/>
          </w:tcPr>
          <w:p>
            <w:pPr>
              <w:ind w:left="120"/>
              <w:spacing w:after="0"/>
              <w:rPr>
                <w:sz w:val="20"/>
                <w:szCs w:val="20"/>
                <w:color w:val="auto"/>
              </w:rPr>
            </w:pPr>
            <w:r>
              <w:rPr>
                <w:rFonts w:ascii="Arial" w:cs="Arial" w:eastAsia="Arial" w:hAnsi="Arial"/>
                <w:sz w:val="18"/>
                <w:szCs w:val="18"/>
                <w:color w:val="auto"/>
              </w:rPr>
              <w:t>Bond funds</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16"/>
        </w:trPr>
        <w:tc>
          <w:tcPr>
            <w:tcW w:w="2900" w:type="dxa"/>
            <w:vAlign w:val="bottom"/>
          </w:tcPr>
          <w:p>
            <w:pPr>
              <w:ind w:left="120"/>
              <w:spacing w:after="0"/>
              <w:rPr>
                <w:sz w:val="20"/>
                <w:szCs w:val="20"/>
                <w:color w:val="auto"/>
              </w:rPr>
            </w:pPr>
            <w:r>
              <w:rPr>
                <w:rFonts w:ascii="Arial" w:cs="Arial" w:eastAsia="Arial" w:hAnsi="Arial"/>
                <w:sz w:val="18"/>
                <w:szCs w:val="18"/>
                <w:color w:val="auto"/>
              </w:rPr>
              <w:t>Assets at fair value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10,893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15,457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5,540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5,125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10,665</w:t>
            </w:r>
          </w:p>
        </w:tc>
      </w:tr>
      <w:tr>
        <w:trPr>
          <w:trHeight w:val="27"/>
        </w:trPr>
        <w:tc>
          <w:tcPr>
            <w:tcW w:w="2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left="480" w:right="100"/>
        <w:spacing w:after="0" w:line="286" w:lineRule="auto"/>
        <w:rPr>
          <w:sz w:val="20"/>
          <w:szCs w:val="20"/>
          <w:color w:val="auto"/>
        </w:rPr>
      </w:pPr>
      <w:r>
        <w:rPr>
          <w:rFonts w:ascii="Arial" w:cs="Arial" w:eastAsia="Arial" w:hAnsi="Arial"/>
          <w:sz w:val="17"/>
          <w:szCs w:val="17"/>
          <w:color w:val="auto"/>
        </w:rPr>
        <w:t>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“Restricted Cash and Cash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260"/>
        <w:spacing w:after="0" w:line="342" w:lineRule="auto"/>
        <w:rPr>
          <w:sz w:val="20"/>
          <w:szCs w:val="20"/>
          <w:color w:val="auto"/>
        </w:rPr>
      </w:pPr>
      <w:r>
        <w:rPr>
          <w:rFonts w:ascii="Arial" w:cs="Arial" w:eastAsia="Arial" w:hAnsi="Arial"/>
          <w:sz w:val="16"/>
          <w:szCs w:val="16"/>
          <w:color w:val="auto"/>
        </w:rPr>
        <w:t xml:space="preserve">Equivalents”, “Restricted Cash”, and “Other Assets”.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1F497D"/>
        </w:rPr>
        <w:t>We did not maintain any Level 3 assets or liabilities at April 1, 2017 or March 26, 2016.</w:t>
      </w:r>
    </w:p>
    <w:p>
      <w:pPr>
        <w:spacing w:after="0" w:line="225"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In November 2016, the Financial Accounting Standards Board (FASB) issued Accounting Standard Update (ASU) No. 2016-18, “Statement of Cash Flows (Topic 230)” (ASU 2016-18). Under ASU 2016-18, an entity will be required to explain changes in the statement of cash flows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should be applied using retrospective transition method to each period presented. Companies are required to adopt the new standard for fiscal years beginning after December 15, 2017. Early adoption of ASU 2016-18 is permitted, including adoption in an interim period. The Company has early adopted this standard during the first quarter of 2017.</w:t>
      </w:r>
    </w:p>
    <w:p>
      <w:pPr>
        <w:spacing w:after="0" w:line="178" w:lineRule="exact"/>
        <w:rPr>
          <w:sz w:val="20"/>
          <w:szCs w:val="20"/>
          <w:color w:val="auto"/>
        </w:rPr>
      </w:pPr>
    </w:p>
    <w:p>
      <w:pPr>
        <w:ind w:left="480" w:right="160"/>
        <w:spacing w:after="0" w:line="297" w:lineRule="auto"/>
        <w:rPr>
          <w:sz w:val="20"/>
          <w:szCs w:val="20"/>
          <w:color w:val="auto"/>
        </w:rPr>
      </w:pPr>
      <w:r>
        <w:rPr>
          <w:rFonts w:ascii="Arial" w:cs="Arial" w:eastAsia="Arial" w:hAnsi="Arial"/>
          <w:sz w:val="16"/>
          <w:szCs w:val="16"/>
          <w:color w:val="auto"/>
        </w:rPr>
        <w:t>On March 28, 2017, our wholly-owned captive, Ardellis Insurance Ltd. (“Ardellis”) transferred $4.1 million in fixed income securities from its Investment Account and funded an additional $3.8 million in cash to a newly formed collateral trust account in line with regulatory requirements in the State of Michigan to allow Ardellis to act as an admitted carrier in the State. These funds are intended to safeguard the insureds of the Michigan Branch of Ardellis. The funds will be classified as restricted investments within “Other Assets” and “Restricted Cash”, respectively.</w:t>
      </w:r>
    </w:p>
    <w:p>
      <w:pPr>
        <w:spacing w:after="0" w:line="158" w:lineRule="exact"/>
        <w:rPr>
          <w:sz w:val="20"/>
          <w:szCs w:val="20"/>
          <w:color w:val="auto"/>
        </w:rPr>
      </w:pPr>
    </w:p>
    <w:p>
      <w:pPr>
        <w:ind w:left="480" w:right="2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$10.0 million as of April 1, 2017, consisting of domestic and international stocks, and fixed income bonds.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Ardellis’ available for sale investment portfolio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45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Gain/(Loss)</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5,928</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180" w:firstLine="648"/>
        <w:spacing w:after="0" w:line="291" w:lineRule="auto"/>
        <w:rPr>
          <w:sz w:val="20"/>
          <w:szCs w:val="20"/>
          <w:color w:val="auto"/>
        </w:rPr>
      </w:pPr>
      <w:r>
        <w:rPr>
          <w:rFonts w:ascii="Arial" w:cs="Arial" w:eastAsia="Arial" w:hAnsi="Arial"/>
          <w:sz w:val="16"/>
          <w:szCs w:val="16"/>
          <w:color w:val="auto"/>
        </w:rPr>
        <w:t>Our Fixed Income investments consist of short, intermediate, and long term bonds, as well as fixed blend bonds. Within the fixed income investments, we maintain a specific mixture of US treasury notes, US agency mortgage backed securities, private label mortgage backed securities, and various corporate securities. Our equity investments consist of small, mid, and large cap growth and value funds, as well as international equity. The net pre-tax effected unrealized gain was $744 thousand. Carrying amounts above are recorded in the investments line item within the balance sheet as of April 1, 2017. During 2017, Ardellis investments reported a net realized loss of $45 thousand, which was recorded in interest income on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hanging="497"/>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20"/>
        <w:spacing w:after="0" w:line="274" w:lineRule="auto"/>
        <w:rPr>
          <w:sz w:val="20"/>
          <w:szCs w:val="20"/>
          <w:color w:val="auto"/>
        </w:rPr>
      </w:pPr>
      <w:r>
        <w:rPr>
          <w:rFonts w:ascii="Arial" w:cs="Arial" w:eastAsia="Arial" w:hAnsi="Arial"/>
          <w:sz w:val="17"/>
          <w:szCs w:val="17"/>
          <w:color w:val="auto"/>
        </w:rPr>
        <w:t>Earnings on construction contracts are reflected in operations using percentage-of-completion accounting, under either cost to cost or units of delivery methods, depending on the nature of the business at individual operations.</w:t>
      </w:r>
    </w:p>
    <w:p>
      <w:pPr>
        <w:ind w:left="480"/>
        <w:spacing w:after="0" w:line="268" w:lineRule="auto"/>
        <w:rPr>
          <w:sz w:val="20"/>
          <w:szCs w:val="20"/>
          <w:color w:val="auto"/>
        </w:rPr>
      </w:pPr>
      <w:r>
        <w:rPr>
          <w:rFonts w:ascii="Arial" w:cs="Arial" w:eastAsia="Arial" w:hAnsi="Arial"/>
          <w:sz w:val="17"/>
          <w:szCs w:val="17"/>
          <w:color w:val="auto"/>
        </w:rPr>
        <w:t>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Construction contract revenue decreased to approximately $32.0 million, during the first quarter of 2017, from $32.5 million during the same period of 2016.</w:t>
      </w:r>
    </w:p>
    <w:p>
      <w:pPr>
        <w:spacing w:after="0" w:line="184"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480" w:right="120"/>
        <w:spacing w:after="0" w:line="277" w:lineRule="auto"/>
        <w:rPr>
          <w:sz w:val="20"/>
          <w:szCs w:val="20"/>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April 1,</w:t>
            </w:r>
          </w:p>
        </w:tc>
        <w:tc>
          <w:tcPr>
            <w:tcW w:w="1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4"/>
                <w:szCs w:val="14"/>
                <w:b w:val="1"/>
                <w:bCs w:val="1"/>
                <w:color w:val="auto"/>
                <w:w w:val="95"/>
              </w:rPr>
              <w:t>March 26,</w:t>
            </w:r>
          </w:p>
        </w:tc>
      </w:tr>
      <w:tr>
        <w:trPr>
          <w:trHeight w:val="178"/>
        </w:trPr>
        <w:tc>
          <w:tcPr>
            <w:tcW w:w="6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3,700</w:t>
            </w:r>
          </w:p>
        </w:tc>
      </w:tr>
    </w:tbl>
    <w:p>
      <w:pPr>
        <w:spacing w:after="0" w:line="200" w:lineRule="exact"/>
        <w:rPr>
          <w:sz w:val="20"/>
          <w:szCs w:val="20"/>
          <w:color w:val="auto"/>
        </w:rPr>
      </w:pPr>
    </w:p>
    <w:p>
      <w:pPr>
        <w:spacing w:after="0" w:line="213"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6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133"/>
              <w:spacing w:after="0" w:line="126" w:lineRule="exact"/>
              <w:rPr>
                <w:sz w:val="20"/>
                <w:szCs w:val="20"/>
                <w:color w:val="auto"/>
              </w:rPr>
            </w:pPr>
            <w:r>
              <w:rPr>
                <w:rFonts w:ascii="Arial" w:cs="Arial" w:eastAsia="Arial" w:hAnsi="Arial"/>
                <w:sz w:val="14"/>
                <w:szCs w:val="14"/>
                <w:b w:val="1"/>
                <w:bCs w:val="1"/>
                <w:color w:val="auto"/>
              </w:rPr>
              <w:t>March 26,</w:t>
            </w:r>
          </w:p>
        </w:tc>
      </w:tr>
      <w:tr>
        <w:trPr>
          <w:trHeight w:val="178"/>
        </w:trPr>
        <w:tc>
          <w:tcPr>
            <w:tcW w:w="60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19,212</w:t>
            </w:r>
          </w:p>
        </w:tc>
      </w:tr>
      <w:tr>
        <w:trPr>
          <w:trHeight w:val="23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earnings allocated to non-vested restricted common stock</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0"/>
        </w:trPr>
        <w:tc>
          <w:tcPr>
            <w:tcW w:w="602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6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20,700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18,938</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20,281</w:t>
            </w:r>
          </w:p>
        </w:tc>
      </w:tr>
      <w:tr>
        <w:trPr>
          <w:trHeight w:val="23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3"/>
        </w:trPr>
        <w:tc>
          <w:tcPr>
            <w:tcW w:w="60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20,119</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19,991</w:t>
            </w:r>
          </w:p>
        </w:tc>
      </w:tr>
      <w:tr>
        <w:trPr>
          <w:trHeight w:val="236"/>
        </w:trPr>
        <w:tc>
          <w:tcPr>
            <w:tcW w:w="6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60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20,152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20,020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16"/>
        </w:trPr>
        <w:tc>
          <w:tcPr>
            <w:tcW w:w="6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8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r>
    </w:tbl>
    <w:p>
      <w:pPr>
        <w:spacing w:after="0" w:line="202" w:lineRule="exact"/>
        <w:rPr>
          <w:sz w:val="20"/>
          <w:szCs w:val="20"/>
          <w:color w:val="auto"/>
        </w:rPr>
      </w:pPr>
    </w:p>
    <w:p>
      <w:pPr>
        <w:ind w:left="480" w:firstLine="648"/>
        <w:spacing w:after="0" w:line="277" w:lineRule="auto"/>
        <w:rPr>
          <w:sz w:val="20"/>
          <w:szCs w:val="20"/>
          <w:color w:val="auto"/>
        </w:rPr>
      </w:pPr>
      <w:r>
        <w:rPr>
          <w:rFonts w:ascii="Arial" w:cs="Arial" w:eastAsia="Arial" w:hAnsi="Arial"/>
          <w:sz w:val="18"/>
          <w:szCs w:val="18"/>
          <w:color w:val="auto"/>
        </w:rPr>
        <w:t>No options were excluded from the computation of diluted EPS for the quarters ended April 1, 2017 or March 26,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480" w:hanging="477"/>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48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rFonts w:ascii="Arial" w:cs="Arial" w:eastAsia="Arial" w:hAnsi="Arial"/>
          <w:sz w:val="18"/>
          <w:szCs w:val="18"/>
          <w:b w:val="1"/>
          <w:bCs w:val="1"/>
          <w:color w:val="auto"/>
        </w:rPr>
      </w:pPr>
    </w:p>
    <w:p>
      <w:pPr>
        <w:ind w:left="48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Auburndale, FL; and Medley, FL. In addition, a reserve was established for our facility in Thornton, CA to remove certain lead containing materials which existed on the property at the time of purchase.</w:t>
      </w:r>
    </w:p>
    <w:p>
      <w:pPr>
        <w:spacing w:after="0" w:line="178" w:lineRule="exact"/>
        <w:rPr>
          <w:rFonts w:ascii="Arial" w:cs="Arial" w:eastAsia="Arial" w:hAnsi="Arial"/>
          <w:sz w:val="18"/>
          <w:szCs w:val="18"/>
          <w:b w:val="1"/>
          <w:bCs w:val="1"/>
          <w:color w:val="auto"/>
        </w:rPr>
      </w:pPr>
    </w:p>
    <w:p>
      <w:pPr>
        <w:ind w:left="48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consolidated basis, we have reserved approximately $3.6 million and $3.5 million on April 1, 2017, and March 26, 2016, respectively, representing the estimated costs to complete future remediation efforts. These amounts have not been reduced by an insurance receivable.</w:t>
      </w:r>
    </w:p>
    <w:p>
      <w:pPr>
        <w:spacing w:after="0" w:line="181" w:lineRule="exact"/>
        <w:rPr>
          <w:rFonts w:ascii="Arial" w:cs="Arial" w:eastAsia="Arial" w:hAnsi="Arial"/>
          <w:sz w:val="18"/>
          <w:szCs w:val="18"/>
          <w:b w:val="1"/>
          <w:bCs w:val="1"/>
          <w:color w:val="auto"/>
        </w:rPr>
      </w:pPr>
    </w:p>
    <w:p>
      <w:pPr>
        <w:ind w:left="4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$0.3 million. As a result, this amount is recorded in other long-term liabilities on April 1, 2017.</w:t>
      </w:r>
    </w:p>
    <w:p>
      <w:pPr>
        <w:spacing w:after="0" w:line="166" w:lineRule="exact"/>
        <w:rPr>
          <w:rFonts w:ascii="Arial" w:cs="Arial" w:eastAsia="Arial" w:hAnsi="Arial"/>
          <w:sz w:val="18"/>
          <w:szCs w:val="18"/>
          <w:b w:val="1"/>
          <w:bCs w:val="1"/>
          <w:color w:val="auto"/>
        </w:rPr>
      </w:pPr>
    </w:p>
    <w:p>
      <w:pPr>
        <w:ind w:left="480" w:right="2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April 2014, two Company employees were terminated for violating the Company’s Code of Business Conduct and Ethics. In</w:t>
      </w:r>
    </w:p>
    <w:p>
      <w:pPr>
        <w:spacing w:after="0" w:line="1" w:lineRule="exact"/>
        <w:rPr>
          <w:rFonts w:ascii="Arial" w:cs="Arial" w:eastAsia="Arial" w:hAnsi="Arial"/>
          <w:sz w:val="18"/>
          <w:szCs w:val="18"/>
          <w:b w:val="1"/>
          <w:bCs w:val="1"/>
          <w:color w:val="auto"/>
        </w:rPr>
      </w:pPr>
    </w:p>
    <w:p>
      <w:pPr>
        <w:ind w:left="4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however, because of the duration and unique nature of this proceeding, any potential, adverse financial implications to the Company are uncertain.</w:t>
      </w:r>
    </w:p>
    <w:p>
      <w:pPr>
        <w:spacing w:after="0" w:line="178" w:lineRule="exact"/>
        <w:rPr>
          <w:rFonts w:ascii="Arial" w:cs="Arial" w:eastAsia="Arial" w:hAnsi="Arial"/>
          <w:sz w:val="18"/>
          <w:szCs w:val="18"/>
          <w:b w:val="1"/>
          <w:bCs w:val="1"/>
          <w:color w:val="auto"/>
        </w:rPr>
      </w:pPr>
    </w:p>
    <w:p>
      <w:pPr>
        <w:ind w:left="480" w:right="5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on April 1, 2017,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5" w:lineRule="exact"/>
        <w:rPr>
          <w:rFonts w:ascii="Arial" w:cs="Arial" w:eastAsia="Arial" w:hAnsi="Arial"/>
          <w:sz w:val="18"/>
          <w:szCs w:val="18"/>
          <w:b w:val="1"/>
          <w:bCs w:val="1"/>
          <w:color w:val="auto"/>
        </w:rPr>
      </w:pPr>
    </w:p>
    <w:p>
      <w:pPr>
        <w:ind w:left="4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April 1, 2017, we had outstanding purchase commitments on commenced capital projects of approximately $24.5 million.</w:t>
      </w:r>
    </w:p>
    <w:p>
      <w:pPr>
        <w:spacing w:after="0" w:line="170" w:lineRule="exact"/>
        <w:rPr>
          <w:rFonts w:ascii="Arial" w:cs="Arial" w:eastAsia="Arial" w:hAnsi="Arial"/>
          <w:sz w:val="18"/>
          <w:szCs w:val="18"/>
          <w:b w:val="1"/>
          <w:bCs w:val="1"/>
          <w:color w:val="auto"/>
        </w:rPr>
      </w:pPr>
    </w:p>
    <w:p>
      <w:pPr>
        <w:ind w:left="480"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provide a variety of warranties for products we manufacture. Historically, warranty claims have not been material. We distribute products manufactured by other companies, some of which are no longer in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99"/>
        <w:spacing w:after="0" w:line="264" w:lineRule="auto"/>
        <w:rPr>
          <w:sz w:val="20"/>
          <w:szCs w:val="20"/>
          <w:color w:val="auto"/>
        </w:rPr>
      </w:pPr>
      <w:r>
        <w:rPr>
          <w:rFonts w:ascii="Arial" w:cs="Arial" w:eastAsia="Arial" w:hAnsi="Arial"/>
          <w:sz w:val="18"/>
          <w:szCs w:val="18"/>
          <w:color w:val="auto"/>
        </w:rPr>
        <w:t>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1" w:lineRule="exact"/>
        <w:rPr>
          <w:sz w:val="20"/>
          <w:szCs w:val="20"/>
          <w:color w:val="auto"/>
        </w:rPr>
      </w:pPr>
    </w:p>
    <w:p>
      <w:pPr>
        <w:ind w:left="480" w:right="79"/>
        <w:spacing w:after="0" w:line="255"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April 1, 2017 we had approximately $8.2 million outstanding payment and performance bonds for open projects. We had approximately $0.5 million in payment and performance bonds outstanding for completed projects which are still under warranty.</w:t>
      </w:r>
    </w:p>
    <w:p>
      <w:pPr>
        <w:spacing w:after="0" w:line="189" w:lineRule="exact"/>
        <w:rPr>
          <w:sz w:val="20"/>
          <w:szCs w:val="20"/>
          <w:color w:val="auto"/>
        </w:rPr>
      </w:pPr>
    </w:p>
    <w:p>
      <w:pPr>
        <w:ind w:left="480" w:right="339"/>
        <w:spacing w:after="0" w:line="277" w:lineRule="auto"/>
        <w:rPr>
          <w:sz w:val="20"/>
          <w:szCs w:val="20"/>
          <w:color w:val="auto"/>
        </w:rPr>
      </w:pPr>
      <w:r>
        <w:rPr>
          <w:rFonts w:ascii="Arial" w:cs="Arial" w:eastAsia="Arial" w:hAnsi="Arial"/>
          <w:sz w:val="18"/>
          <w:szCs w:val="18"/>
          <w:color w:val="auto"/>
        </w:rPr>
        <w:t>On April 1, 2017, we had outstanding letters of credit totaling $25.7 million, primarily related to certain insurance contracts and industrial development revenue bonds described further below.</w:t>
      </w:r>
    </w:p>
    <w:p>
      <w:pPr>
        <w:spacing w:after="0" w:line="170" w:lineRule="exact"/>
        <w:rPr>
          <w:sz w:val="20"/>
          <w:szCs w:val="20"/>
          <w:color w:val="auto"/>
        </w:rPr>
      </w:pPr>
    </w:p>
    <w:p>
      <w:pPr>
        <w:jc w:val="both"/>
        <w:ind w:left="500" w:right="119"/>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$15.9 million for these types of insurance arrangements. We have reserves recorded on our balance sheet, in accrued liabilities, that reflect our expected future liabilities under these insurance arrangements.</w:t>
      </w:r>
    </w:p>
    <w:p>
      <w:pPr>
        <w:spacing w:after="0" w:line="154" w:lineRule="exact"/>
        <w:rPr>
          <w:sz w:val="20"/>
          <w:szCs w:val="20"/>
          <w:color w:val="auto"/>
        </w:rPr>
      </w:pPr>
    </w:p>
    <w:p>
      <w:pPr>
        <w:ind w:left="480" w:right="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480" w:right="239"/>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480" w:right="179" w:firstLine="648"/>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2017 which would require us to recognize a liability on our balance sheet.</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460" w:hanging="457"/>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80" w:right="280"/>
        <w:spacing w:after="0" w:line="277" w:lineRule="auto"/>
        <w:rPr>
          <w:sz w:val="20"/>
          <w:szCs w:val="20"/>
          <w:color w:val="auto"/>
        </w:rPr>
      </w:pPr>
      <w:r>
        <w:rPr>
          <w:rFonts w:ascii="Arial" w:cs="Arial" w:eastAsia="Arial" w:hAnsi="Arial"/>
          <w:sz w:val="18"/>
          <w:szCs w:val="18"/>
          <w:color w:val="auto"/>
        </w:rPr>
        <w:t>We completed the following acquisitions in three months ended 2017 and 2016 which were accounted for using the purchase method in thousands unless otherwise noted: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21"/>
        </w:trPr>
        <w:tc>
          <w:tcPr>
            <w:tcW w:w="2200" w:type="dxa"/>
            <w:vAlign w:val="bottom"/>
            <w:tcBorders>
              <w:top w:val="single" w:sz="8" w:color="auto"/>
              <w:left w:val="single" w:sz="8" w:color="auto"/>
              <w:right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1500" w:type="dxa"/>
            <w:vAlign w:val="bottom"/>
            <w:tcBorders>
              <w:top w:val="single" w:sz="8" w:color="auto"/>
              <w:right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right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right w:val="single" w:sz="8" w:color="auto"/>
            </w:tcBorders>
          </w:tcPr>
          <w:p>
            <w:pPr>
              <w:jc w:val="center"/>
              <w:ind w:right="166"/>
              <w:spacing w:after="0" w:line="122" w:lineRule="exact"/>
              <w:rPr>
                <w:sz w:val="20"/>
                <w:szCs w:val="20"/>
                <w:color w:val="auto"/>
              </w:rPr>
            </w:pPr>
            <w:r>
              <w:rPr>
                <w:rFonts w:ascii="Arial" w:cs="Arial" w:eastAsia="Arial" w:hAnsi="Arial"/>
                <w:sz w:val="11"/>
                <w:szCs w:val="11"/>
                <w:b w:val="1"/>
                <w:bCs w:val="1"/>
                <w:color w:val="auto"/>
                <w:w w:val="90"/>
              </w:rPr>
              <w:t>Net</w:t>
            </w:r>
          </w:p>
        </w:tc>
        <w:tc>
          <w:tcPr>
            <w:tcW w:w="500" w:type="dxa"/>
            <w:vAlign w:val="bottom"/>
            <w:tcBorders>
              <w:top w:val="single" w:sz="8" w:color="auto"/>
              <w:right w:val="single" w:sz="8" w:color="auto"/>
            </w:tcBorders>
          </w:tcPr>
          <w:p>
            <w:pPr>
              <w:spacing w:after="0"/>
              <w:rPr>
                <w:sz w:val="10"/>
                <w:szCs w:val="10"/>
                <w:color w:val="auto"/>
              </w:rPr>
            </w:pPr>
          </w:p>
        </w:tc>
        <w:tc>
          <w:tcPr>
            <w:tcW w:w="168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7"/>
              </w:rPr>
              <w:t>Company</w:t>
            </w:r>
          </w:p>
        </w:tc>
        <w:tc>
          <w:tcPr>
            <w:tcW w:w="1220" w:type="dxa"/>
            <w:vAlign w:val="bottom"/>
            <w:tcBorders>
              <w:right w:val="single" w:sz="8" w:color="auto"/>
            </w:tcBorders>
          </w:tcPr>
          <w:p>
            <w:pPr>
              <w:ind w:left="320"/>
              <w:spacing w:after="0" w:line="122" w:lineRule="exact"/>
              <w:rPr>
                <w:sz w:val="20"/>
                <w:szCs w:val="20"/>
                <w:color w:val="auto"/>
              </w:rPr>
            </w:pPr>
            <w:r>
              <w:rPr>
                <w:rFonts w:ascii="Arial" w:cs="Arial" w:eastAsia="Arial" w:hAnsi="Arial"/>
                <w:sz w:val="11"/>
                <w:szCs w:val="11"/>
                <w:b w:val="1"/>
                <w:bCs w:val="1"/>
                <w:color w:val="auto"/>
              </w:rPr>
              <w:t>Acquisition</w:t>
            </w:r>
          </w:p>
        </w:tc>
        <w:tc>
          <w:tcPr>
            <w:tcW w:w="15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tcPr>
          <w:p>
            <w:pPr>
              <w:jc w:val="right"/>
              <w:ind w:right="226"/>
              <w:spacing w:after="0" w:line="122" w:lineRule="exact"/>
              <w:rPr>
                <w:sz w:val="20"/>
                <w:szCs w:val="20"/>
                <w:color w:val="auto"/>
              </w:rPr>
            </w:pPr>
            <w:r>
              <w:rPr>
                <w:rFonts w:ascii="Arial" w:cs="Arial" w:eastAsia="Arial" w:hAnsi="Arial"/>
                <w:sz w:val="11"/>
                <w:szCs w:val="11"/>
                <w:b w:val="1"/>
                <w:bCs w:val="1"/>
                <w:color w:val="auto"/>
              </w:rPr>
              <w:t>Intangible</w:t>
            </w:r>
          </w:p>
        </w:tc>
        <w:tc>
          <w:tcPr>
            <w:tcW w:w="160" w:type="dxa"/>
            <w:vAlign w:val="bottom"/>
          </w:tcPr>
          <w:p>
            <w:pPr>
              <w:spacing w:after="0"/>
              <w:rPr>
                <w:sz w:val="10"/>
                <w:szCs w:val="10"/>
                <w:color w:val="auto"/>
              </w:rPr>
            </w:pPr>
          </w:p>
        </w:tc>
        <w:tc>
          <w:tcPr>
            <w:tcW w:w="820" w:type="dxa"/>
            <w:vAlign w:val="bottom"/>
            <w:tcBorders>
              <w:right w:val="single" w:sz="8" w:color="auto"/>
            </w:tcBorders>
          </w:tcPr>
          <w:p>
            <w:pPr>
              <w:jc w:val="center"/>
              <w:ind w:right="166"/>
              <w:spacing w:after="0" w:line="122" w:lineRule="exact"/>
              <w:rPr>
                <w:sz w:val="20"/>
                <w:szCs w:val="20"/>
                <w:color w:val="auto"/>
              </w:rPr>
            </w:pPr>
            <w:r>
              <w:rPr>
                <w:rFonts w:ascii="Arial" w:cs="Arial" w:eastAsia="Arial" w:hAnsi="Arial"/>
                <w:sz w:val="11"/>
                <w:szCs w:val="11"/>
                <w:b w:val="1"/>
                <w:bCs w:val="1"/>
                <w:color w:val="auto"/>
                <w:w w:val="88"/>
              </w:rPr>
              <w:t>Tangible</w:t>
            </w:r>
          </w:p>
        </w:tc>
        <w:tc>
          <w:tcPr>
            <w:tcW w:w="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2"/>
              </w:rPr>
              <w:t>Operating</w:t>
            </w:r>
          </w:p>
        </w:tc>
        <w:tc>
          <w:tcPr>
            <w:tcW w:w="1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Name</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3"/>
              </w:rPr>
              <w:t>Date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Purchase Price</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Assets</w:t>
            </w: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77"/>
              </w:rPr>
              <w:t>Assets</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Segment</w:t>
            </w:r>
          </w:p>
        </w:tc>
        <w:tc>
          <w:tcPr>
            <w:tcW w:w="16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1"/>
                <w:szCs w:val="11"/>
                <w:b w:val="1"/>
                <w:bCs w:val="1"/>
                <w:color w:val="auto"/>
              </w:rPr>
              <w:t>Business Description</w:t>
            </w: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shd w:val="clear" w:color="auto" w:fill="CCEEFF"/>
          </w:tcPr>
          <w:p>
            <w:pPr>
              <w:spacing w:after="0"/>
              <w:rPr>
                <w:sz w:val="9"/>
                <w:szCs w:val="9"/>
                <w:color w:val="auto"/>
              </w:rPr>
            </w:pPr>
          </w:p>
        </w:tc>
        <w:tc>
          <w:tcPr>
            <w:tcW w:w="122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1680" w:type="dxa"/>
            <w:vAlign w:val="bottom"/>
            <w:tcBorders>
              <w:right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A manufacturer of treated wood</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spacing w:after="0"/>
              <w:rPr>
                <w:sz w:val="10"/>
                <w:szCs w:val="10"/>
                <w:color w:val="auto"/>
              </w:rPr>
            </w:pPr>
          </w:p>
        </w:tc>
        <w:tc>
          <w:tcPr>
            <w:tcW w:w="1220" w:type="dxa"/>
            <w:vAlign w:val="bottom"/>
            <w:tcBorders>
              <w:right w:val="single" w:sz="8" w:color="auto"/>
            </w:tcBorders>
            <w:shd w:val="clear" w:color="auto" w:fill="CCEEFF"/>
          </w:tcPr>
          <w:p>
            <w:pPr>
              <w:spacing w:after="0"/>
              <w:rPr>
                <w:sz w:val="10"/>
                <w:szCs w:val="10"/>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$31,818</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products with facilities in Florida,</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91"/>
              </w:rPr>
              <w:t>Robbins Manufacturing Co. ("Robbins")</w:t>
            </w:r>
          </w:p>
        </w:tc>
        <w:tc>
          <w:tcPr>
            <w:tcW w:w="12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March 6, 2017</w:t>
            </w:r>
          </w:p>
        </w:tc>
        <w:tc>
          <w:tcPr>
            <w:tcW w:w="1500" w:type="dxa"/>
            <w:vAlign w:val="bottom"/>
            <w:tcBorders>
              <w:right w:val="single" w:sz="8" w:color="auto"/>
            </w:tcBorders>
            <w:vMerge w:val="continue"/>
            <w:shd w:val="clear" w:color="auto" w:fill="CCEEFF"/>
          </w:tcPr>
          <w:p>
            <w:pPr>
              <w:spacing w:after="0"/>
              <w:rPr>
                <w:sz w:val="4"/>
                <w:szCs w:val="4"/>
                <w:color w:val="auto"/>
              </w:rPr>
            </w:pPr>
          </w:p>
        </w:tc>
        <w:tc>
          <w:tcPr>
            <w:tcW w:w="1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7,533</w:t>
            </w:r>
          </w:p>
        </w:tc>
        <w:tc>
          <w:tcPr>
            <w:tcW w:w="1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24,285</w:t>
            </w:r>
          </w:p>
        </w:tc>
        <w:tc>
          <w:tcPr>
            <w:tcW w:w="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90"/>
              </w:rPr>
              <w:t>South</w:t>
            </w:r>
          </w:p>
        </w:tc>
        <w:tc>
          <w:tcPr>
            <w:tcW w:w="16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1"/>
                <w:szCs w:val="11"/>
                <w:color w:val="auto"/>
              </w:rPr>
              <w:t>Georgia, and North</w:t>
            </w: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20" w:type="dxa"/>
            <w:vAlign w:val="bottom"/>
            <w:tcBorders>
              <w:right w:val="single" w:sz="8" w:color="auto"/>
            </w:tcBorders>
            <w:vMerge w:val="continue"/>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jc w:val="center"/>
              <w:spacing w:after="0" w:line="104" w:lineRule="exact"/>
              <w:rPr>
                <w:sz w:val="20"/>
                <w:szCs w:val="20"/>
                <w:color w:val="auto"/>
              </w:rPr>
            </w:pPr>
            <w:r>
              <w:rPr>
                <w:rFonts w:ascii="Arial" w:cs="Arial" w:eastAsia="Arial" w:hAnsi="Arial"/>
                <w:sz w:val="11"/>
                <w:szCs w:val="11"/>
                <w:color w:val="auto"/>
                <w:w w:val="86"/>
              </w:rPr>
              <w:t>cash paid for 100% asset purchase</w:t>
            </w:r>
          </w:p>
        </w:tc>
        <w:tc>
          <w:tcPr>
            <w:tcW w:w="140" w:type="dxa"/>
            <w:vAlign w:val="bottom"/>
            <w:vMerge w:val="continue"/>
            <w:shd w:val="clear" w:color="auto" w:fill="CCEEFF"/>
          </w:tcPr>
          <w:p>
            <w:pPr>
              <w:spacing w:after="0"/>
              <w:rPr>
                <w:sz w:val="9"/>
                <w:szCs w:val="9"/>
                <w:color w:val="auto"/>
              </w:rPr>
            </w:pPr>
          </w:p>
        </w:tc>
        <w:tc>
          <w:tcPr>
            <w:tcW w:w="860" w:type="dxa"/>
            <w:vAlign w:val="bottom"/>
            <w:tcBorders>
              <w:right w:val="single" w:sz="8" w:color="auto"/>
            </w:tcBorders>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20" w:type="dxa"/>
            <w:vAlign w:val="bottom"/>
            <w:tcBorders>
              <w:right w:val="single" w:sz="8" w:color="auto"/>
            </w:tcBorders>
            <w:vMerge w:val="continue"/>
            <w:shd w:val="clear" w:color="auto" w:fill="CCEEFF"/>
          </w:tcPr>
          <w:p>
            <w:pPr>
              <w:spacing w:after="0"/>
              <w:rPr>
                <w:sz w:val="9"/>
                <w:szCs w:val="9"/>
                <w:color w:val="auto"/>
              </w:rPr>
            </w:pPr>
          </w:p>
        </w:tc>
        <w:tc>
          <w:tcPr>
            <w:tcW w:w="500" w:type="dxa"/>
            <w:vAlign w:val="bottom"/>
            <w:tcBorders>
              <w:right w:val="single" w:sz="8" w:color="auto"/>
            </w:tcBorders>
            <w:vMerge w:val="continue"/>
            <w:shd w:val="clear" w:color="auto" w:fill="CCEEFF"/>
          </w:tcPr>
          <w:p>
            <w:pPr>
              <w:spacing w:after="0"/>
              <w:rPr>
                <w:sz w:val="9"/>
                <w:szCs w:val="9"/>
                <w:color w:val="auto"/>
              </w:rPr>
            </w:pPr>
          </w:p>
        </w:tc>
        <w:tc>
          <w:tcPr>
            <w:tcW w:w="16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right w:val="single" w:sz="8" w:color="auto"/>
            </w:tcBorders>
            <w:shd w:val="clear" w:color="auto" w:fill="CCEEFF"/>
          </w:tcPr>
          <w:p>
            <w:pPr>
              <w:spacing w:after="0"/>
              <w:rPr>
                <w:sz w:val="7"/>
                <w:szCs w:val="7"/>
                <w:color w:val="auto"/>
              </w:rPr>
            </w:pPr>
          </w:p>
        </w:tc>
        <w:tc>
          <w:tcPr>
            <w:tcW w:w="1220" w:type="dxa"/>
            <w:vAlign w:val="bottom"/>
            <w:tcBorders>
              <w:right w:val="single" w:sz="8" w:color="auto"/>
            </w:tcBorders>
            <w:shd w:val="clear" w:color="auto" w:fill="CCEEFF"/>
          </w:tcPr>
          <w:p>
            <w:pPr>
              <w:spacing w:after="0"/>
              <w:rPr>
                <w:sz w:val="7"/>
                <w:szCs w:val="7"/>
                <w:color w:val="auto"/>
              </w:rPr>
            </w:pPr>
          </w:p>
        </w:tc>
        <w:tc>
          <w:tcPr>
            <w:tcW w:w="150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500" w:type="dxa"/>
            <w:vAlign w:val="bottom"/>
            <w:tcBorders>
              <w:right w:val="single" w:sz="8" w:color="auto"/>
            </w:tcBorders>
            <w:shd w:val="clear" w:color="auto" w:fill="CCEEFF"/>
          </w:tcPr>
          <w:p>
            <w:pPr>
              <w:spacing w:after="0"/>
              <w:rPr>
                <w:sz w:val="7"/>
                <w:szCs w:val="7"/>
                <w:color w:val="auto"/>
              </w:rPr>
            </w:pPr>
          </w:p>
        </w:tc>
        <w:tc>
          <w:tcPr>
            <w:tcW w:w="1680" w:type="dxa"/>
            <w:vAlign w:val="bottom"/>
            <w:tcBorders>
              <w:right w:val="single" w:sz="8" w:color="auto"/>
            </w:tcBorders>
            <w:shd w:val="clear" w:color="auto" w:fill="CCEEFF"/>
          </w:tcPr>
          <w:p>
            <w:pPr>
              <w:spacing w:after="0" w:line="85" w:lineRule="exact"/>
              <w:rPr>
                <w:sz w:val="20"/>
                <w:szCs w:val="20"/>
                <w:color w:val="auto"/>
              </w:rPr>
            </w:pPr>
            <w:r>
              <w:rPr>
                <w:rFonts w:ascii="Arial" w:cs="Arial" w:eastAsia="Arial" w:hAnsi="Arial"/>
                <w:sz w:val="9"/>
                <w:szCs w:val="9"/>
                <w:color w:val="auto"/>
              </w:rPr>
              <w:t>Carolina. Robbins has annual sales of</w:t>
            </w:r>
          </w:p>
        </w:tc>
        <w:tc>
          <w:tcPr>
            <w:tcW w:w="0" w:type="dxa"/>
            <w:vAlign w:val="bottom"/>
          </w:tcPr>
          <w:p>
            <w:pPr>
              <w:spacing w:after="0"/>
              <w:rPr>
                <w:sz w:val="1"/>
                <w:szCs w:val="1"/>
                <w:color w:val="auto"/>
              </w:rPr>
            </w:pPr>
          </w:p>
        </w:tc>
      </w:tr>
      <w:tr>
        <w:trPr>
          <w:trHeight w:val="131"/>
        </w:trPr>
        <w:tc>
          <w:tcPr>
            <w:tcW w:w="220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1220" w:type="dxa"/>
            <w:vAlign w:val="bottom"/>
            <w:tcBorders>
              <w:bottom w:val="single" w:sz="8" w:color="auto"/>
              <w:right w:val="single" w:sz="8" w:color="auto"/>
            </w:tcBorders>
            <w:shd w:val="clear" w:color="auto" w:fill="CCEEFF"/>
          </w:tcPr>
          <w:p>
            <w:pPr>
              <w:spacing w:after="0"/>
              <w:rPr>
                <w:sz w:val="11"/>
                <w:szCs w:val="11"/>
                <w:color w:val="auto"/>
              </w:rPr>
            </w:pPr>
          </w:p>
        </w:tc>
        <w:tc>
          <w:tcPr>
            <w:tcW w:w="1500" w:type="dxa"/>
            <w:vAlign w:val="bottom"/>
            <w:tcBorders>
              <w:bottom w:val="single" w:sz="8" w:color="auto"/>
              <w:right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right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right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auto"/>
            </w:tcBorders>
            <w:shd w:val="clear" w:color="auto" w:fill="CCEEFF"/>
          </w:tcPr>
          <w:p>
            <w:pPr>
              <w:spacing w:after="0"/>
              <w:rPr>
                <w:sz w:val="11"/>
                <w:szCs w:val="11"/>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approximately $86 million.</w:t>
            </w: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line="105" w:lineRule="exact"/>
              <w:rPr>
                <w:sz w:val="20"/>
                <w:szCs w:val="20"/>
                <w:color w:val="auto"/>
              </w:rPr>
            </w:pPr>
            <w:r>
              <w:rPr>
                <w:rFonts w:ascii="Arial" w:cs="Arial" w:eastAsia="Arial" w:hAnsi="Arial"/>
                <w:sz w:val="11"/>
                <w:szCs w:val="11"/>
                <w:color w:val="auto"/>
              </w:rPr>
              <w:t>A manufacturer and supplier of</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hardwood products, including</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Quality Hardwood Sales, LLC ("Quality")</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March 6, 2017</w:t>
            </w: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$23,613</w:t>
            </w: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14,266</w:t>
            </w:r>
          </w:p>
        </w:tc>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9,347</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North</w:t>
            </w: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w w:val="85"/>
              </w:rPr>
              <w:t>components of cabinets used in homes</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vMerge w:val="continue"/>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cash paid for 100% asset purchase</w:t>
            </w:r>
          </w:p>
        </w:tc>
        <w:tc>
          <w:tcPr>
            <w:tcW w:w="140" w:type="dxa"/>
            <w:vAlign w:val="bottom"/>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w w:val="89"/>
              </w:rPr>
              <w:t>and recreational vehicles. Quality has</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w w:val="98"/>
              </w:rPr>
              <w:t>annual sales of approximately $30</w:t>
            </w:r>
          </w:p>
        </w:tc>
        <w:tc>
          <w:tcPr>
            <w:tcW w:w="0" w:type="dxa"/>
            <w:vAlign w:val="bottom"/>
          </w:tcPr>
          <w:p>
            <w:pPr>
              <w:spacing w:after="0"/>
              <w:rPr>
                <w:sz w:val="1"/>
                <w:szCs w:val="1"/>
                <w:color w:val="auto"/>
              </w:rPr>
            </w:pPr>
          </w:p>
        </w:tc>
      </w:tr>
      <w:tr>
        <w:trPr>
          <w:trHeight w:val="131"/>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million.</w:t>
            </w: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shd w:val="clear" w:color="auto" w:fill="CCEEFF"/>
          </w:tcPr>
          <w:p>
            <w:pPr>
              <w:spacing w:after="0"/>
              <w:rPr>
                <w:sz w:val="9"/>
                <w:szCs w:val="9"/>
                <w:color w:val="auto"/>
              </w:rPr>
            </w:pPr>
          </w:p>
        </w:tc>
        <w:tc>
          <w:tcPr>
            <w:tcW w:w="122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1680" w:type="dxa"/>
            <w:vAlign w:val="bottom"/>
            <w:tcBorders>
              <w:right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6"/>
              </w:rPr>
              <w:t>A manufacturer and distributor of a</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spacing w:after="0"/>
              <w:rPr>
                <w:sz w:val="10"/>
                <w:szCs w:val="10"/>
                <w:color w:val="auto"/>
              </w:rPr>
            </w:pPr>
          </w:p>
        </w:tc>
        <w:tc>
          <w:tcPr>
            <w:tcW w:w="1220" w:type="dxa"/>
            <w:vAlign w:val="bottom"/>
            <w:tcBorders>
              <w:right w:val="single" w:sz="8" w:color="auto"/>
            </w:tcBorders>
            <w:shd w:val="clear" w:color="auto" w:fill="CCEEFF"/>
          </w:tcPr>
          <w:p>
            <w:pPr>
              <w:spacing w:after="0"/>
              <w:rPr>
                <w:sz w:val="10"/>
                <w:szCs w:val="10"/>
                <w:color w:val="auto"/>
              </w:rPr>
            </w:pPr>
          </w:p>
        </w:tc>
        <w:tc>
          <w:tcPr>
            <w:tcW w:w="15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variety of wood packaging and</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spacing w:after="0"/>
              <w:rPr>
                <w:sz w:val="10"/>
                <w:szCs w:val="10"/>
                <w:color w:val="auto"/>
              </w:rPr>
            </w:pPr>
          </w:p>
        </w:tc>
        <w:tc>
          <w:tcPr>
            <w:tcW w:w="1220" w:type="dxa"/>
            <w:vAlign w:val="bottom"/>
            <w:tcBorders>
              <w:right w:val="single" w:sz="8" w:color="auto"/>
            </w:tcBorders>
            <w:shd w:val="clear" w:color="auto" w:fill="CCEEFF"/>
          </w:tcPr>
          <w:p>
            <w:pPr>
              <w:spacing w:after="0"/>
              <w:rPr>
                <w:sz w:val="10"/>
                <w:szCs w:val="10"/>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$9,455</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alternative material products,</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shd w:val="clear" w:color="auto" w:fill="CCEEFF"/>
          </w:tcPr>
          <w:p>
            <w:pPr>
              <w:spacing w:after="0"/>
              <w:rPr>
                <w:sz w:val="4"/>
                <w:szCs w:val="4"/>
                <w:color w:val="auto"/>
              </w:rPr>
            </w:pPr>
          </w:p>
        </w:tc>
        <w:tc>
          <w:tcPr>
            <w:tcW w:w="1220" w:type="dxa"/>
            <w:vAlign w:val="bottom"/>
            <w:tcBorders>
              <w:right w:val="single" w:sz="8" w:color="auto"/>
            </w:tcBorders>
            <w:shd w:val="clear" w:color="auto" w:fill="CCEEFF"/>
          </w:tcPr>
          <w:p>
            <w:pPr>
              <w:spacing w:after="0"/>
              <w:rPr>
                <w:sz w:val="4"/>
                <w:szCs w:val="4"/>
                <w:color w:val="auto"/>
              </w:rPr>
            </w:pPr>
          </w:p>
        </w:tc>
        <w:tc>
          <w:tcPr>
            <w:tcW w:w="1500" w:type="dxa"/>
            <w:vAlign w:val="bottom"/>
            <w:tcBorders>
              <w:right w:val="single" w:sz="8" w:color="auto"/>
            </w:tcBorders>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tcBorders>
              <w:right w:val="single" w:sz="8" w:color="auto"/>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tcBorders>
              <w:right w:val="single" w:sz="8" w:color="auto"/>
            </w:tcBorders>
            <w:shd w:val="clear" w:color="auto" w:fill="CCEEFF"/>
          </w:tcPr>
          <w:p>
            <w:pPr>
              <w:spacing w:after="0"/>
              <w:rPr>
                <w:sz w:val="4"/>
                <w:szCs w:val="4"/>
                <w:color w:val="auto"/>
              </w:rPr>
            </w:pPr>
          </w:p>
        </w:tc>
        <w:tc>
          <w:tcPr>
            <w:tcW w:w="500" w:type="dxa"/>
            <w:vAlign w:val="bottom"/>
            <w:tcBorders>
              <w:right w:val="single" w:sz="8" w:color="auto"/>
            </w:tcBorders>
            <w:shd w:val="clear" w:color="auto" w:fill="CCEEFF"/>
          </w:tcPr>
          <w:p>
            <w:pPr>
              <w:spacing w:after="0"/>
              <w:rPr>
                <w:sz w:val="4"/>
                <w:szCs w:val="4"/>
                <w:color w:val="auto"/>
              </w:rPr>
            </w:pPr>
          </w:p>
        </w:tc>
        <w:tc>
          <w:tcPr>
            <w:tcW w:w="16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1"/>
                <w:szCs w:val="11"/>
                <w:color w:val="auto"/>
                <w:w w:val="89"/>
              </w:rPr>
              <w:t>including boxes, crates, pallets, skids,</w:t>
            </w: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shd w:val="clear" w:color="auto" w:fill="CCEEFF"/>
          </w:tcPr>
          <w:p>
            <w:pPr>
              <w:jc w:val="center"/>
              <w:spacing w:after="0" w:line="104" w:lineRule="exact"/>
              <w:rPr>
                <w:sz w:val="20"/>
                <w:szCs w:val="20"/>
                <w:color w:val="auto"/>
              </w:rPr>
            </w:pPr>
            <w:r>
              <w:rPr>
                <w:rFonts w:ascii="Arial" w:cs="Arial" w:eastAsia="Arial" w:hAnsi="Arial"/>
                <w:sz w:val="11"/>
                <w:szCs w:val="11"/>
                <w:color w:val="auto"/>
                <w:w w:val="91"/>
              </w:rPr>
              <w:t>The UBEECO Group Pty. Ltd. ("Ubeeco")</w:t>
            </w:r>
          </w:p>
        </w:tc>
        <w:tc>
          <w:tcPr>
            <w:tcW w:w="1220" w:type="dxa"/>
            <w:vAlign w:val="bottom"/>
            <w:tcBorders>
              <w:right w:val="single" w:sz="8" w:color="auto"/>
            </w:tcBorders>
            <w:shd w:val="clear" w:color="auto" w:fill="CCEEFF"/>
          </w:tcPr>
          <w:p>
            <w:pPr>
              <w:jc w:val="center"/>
              <w:spacing w:after="0" w:line="104" w:lineRule="exact"/>
              <w:rPr>
                <w:sz w:val="20"/>
                <w:szCs w:val="20"/>
                <w:color w:val="auto"/>
              </w:rPr>
            </w:pPr>
            <w:r>
              <w:rPr>
                <w:rFonts w:ascii="Arial" w:cs="Arial" w:eastAsia="Arial" w:hAnsi="Arial"/>
                <w:sz w:val="11"/>
                <w:szCs w:val="11"/>
                <w:color w:val="auto"/>
                <w:w w:val="88"/>
              </w:rPr>
              <w:t>November 29, 2016</w:t>
            </w:r>
          </w:p>
        </w:tc>
        <w:tc>
          <w:tcPr>
            <w:tcW w:w="1500" w:type="dxa"/>
            <w:vAlign w:val="bottom"/>
            <w:tcBorders>
              <w:right w:val="single" w:sz="8" w:color="auto"/>
            </w:tcBorders>
            <w:shd w:val="clear" w:color="auto" w:fill="CCEEFF"/>
          </w:tcPr>
          <w:p>
            <w:pPr>
              <w:jc w:val="center"/>
              <w:spacing w:after="0" w:line="104" w:lineRule="exact"/>
              <w:rPr>
                <w:sz w:val="20"/>
                <w:szCs w:val="20"/>
                <w:color w:val="auto"/>
              </w:rPr>
            </w:pPr>
            <w:r>
              <w:rPr>
                <w:rFonts w:ascii="Arial" w:cs="Arial" w:eastAsia="Arial" w:hAnsi="Arial"/>
                <w:sz w:val="11"/>
                <w:szCs w:val="11"/>
                <w:color w:val="auto"/>
                <w:w w:val="87"/>
              </w:rPr>
              <w:t>cash paid for 100% stock</w:t>
            </w:r>
          </w:p>
        </w:tc>
        <w:tc>
          <w:tcPr>
            <w:tcW w:w="140" w:type="dxa"/>
            <w:vAlign w:val="bottom"/>
            <w:shd w:val="clear" w:color="auto" w:fill="CCEEFF"/>
          </w:tcPr>
          <w:p>
            <w:pPr>
              <w:jc w:val="right"/>
              <w:ind w:right="31"/>
              <w:spacing w:after="0" w:line="104" w:lineRule="exact"/>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7,313</w:t>
            </w:r>
          </w:p>
        </w:tc>
        <w:tc>
          <w:tcPr>
            <w:tcW w:w="160" w:type="dxa"/>
            <w:vAlign w:val="bottom"/>
            <w:shd w:val="clear" w:color="auto" w:fill="CCEEFF"/>
          </w:tcPr>
          <w:p>
            <w:pPr>
              <w:jc w:val="right"/>
              <w:ind w:right="51"/>
              <w:spacing w:after="0" w:line="104" w:lineRule="exact"/>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shd w:val="clear" w:color="auto" w:fill="CCEEFF"/>
          </w:tcPr>
          <w:p>
            <w:pPr>
              <w:jc w:val="right"/>
              <w:ind w:right="6"/>
              <w:spacing w:after="0" w:line="104" w:lineRule="exact"/>
              <w:rPr>
                <w:sz w:val="20"/>
                <w:szCs w:val="20"/>
                <w:color w:val="auto"/>
              </w:rPr>
            </w:pPr>
            <w:r>
              <w:rPr>
                <w:rFonts w:ascii="Arial" w:cs="Arial" w:eastAsia="Arial" w:hAnsi="Arial"/>
                <w:sz w:val="11"/>
                <w:szCs w:val="11"/>
                <w:color w:val="auto"/>
              </w:rPr>
              <w:t>2,142</w:t>
            </w:r>
          </w:p>
        </w:tc>
        <w:tc>
          <w:tcPr>
            <w:tcW w:w="500" w:type="dxa"/>
            <w:vAlign w:val="bottom"/>
            <w:tcBorders>
              <w:right w:val="single" w:sz="8" w:color="auto"/>
            </w:tcBorders>
            <w:shd w:val="clear" w:color="auto" w:fill="CCEEFF"/>
          </w:tcPr>
          <w:p>
            <w:pPr>
              <w:jc w:val="center"/>
              <w:spacing w:after="0" w:line="104" w:lineRule="exact"/>
              <w:rPr>
                <w:sz w:val="20"/>
                <w:szCs w:val="20"/>
                <w:color w:val="auto"/>
              </w:rPr>
            </w:pPr>
            <w:r>
              <w:rPr>
                <w:rFonts w:ascii="Arial" w:cs="Arial" w:eastAsia="Arial" w:hAnsi="Arial"/>
                <w:sz w:val="11"/>
                <w:szCs w:val="11"/>
                <w:color w:val="auto"/>
                <w:w w:val="98"/>
              </w:rPr>
              <w:t>All Other</w:t>
            </w:r>
          </w:p>
        </w:tc>
        <w:tc>
          <w:tcPr>
            <w:tcW w:w="168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0" w:type="dxa"/>
            <w:vAlign w:val="bottom"/>
            <w:tcBorders>
              <w:left w:val="single" w:sz="8" w:color="auto"/>
              <w:right w:val="single" w:sz="8" w:color="auto"/>
            </w:tcBorders>
            <w:shd w:val="clear" w:color="auto" w:fill="CCEEFF"/>
          </w:tcPr>
          <w:p>
            <w:pPr>
              <w:spacing w:after="0"/>
              <w:rPr>
                <w:sz w:val="7"/>
                <w:szCs w:val="7"/>
                <w:color w:val="auto"/>
              </w:rPr>
            </w:pPr>
          </w:p>
        </w:tc>
        <w:tc>
          <w:tcPr>
            <w:tcW w:w="1220" w:type="dxa"/>
            <w:vAlign w:val="bottom"/>
            <w:tcBorders>
              <w:right w:val="single" w:sz="8" w:color="auto"/>
            </w:tcBorders>
            <w:shd w:val="clear" w:color="auto" w:fill="CCEEFF"/>
          </w:tcPr>
          <w:p>
            <w:pPr>
              <w:spacing w:after="0"/>
              <w:rPr>
                <w:sz w:val="7"/>
                <w:szCs w:val="7"/>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83"/>
              </w:rPr>
              <w:t>purchase</w:t>
            </w:r>
          </w:p>
        </w:tc>
        <w:tc>
          <w:tcPr>
            <w:tcW w:w="140" w:type="dxa"/>
            <w:vAlign w:val="bottom"/>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500" w:type="dxa"/>
            <w:vAlign w:val="bottom"/>
            <w:tcBorders>
              <w:right w:val="single" w:sz="8" w:color="auto"/>
            </w:tcBorders>
            <w:shd w:val="clear" w:color="auto" w:fill="CCEEFF"/>
          </w:tcPr>
          <w:p>
            <w:pPr>
              <w:spacing w:after="0"/>
              <w:rPr>
                <w:sz w:val="7"/>
                <w:szCs w:val="7"/>
                <w:color w:val="auto"/>
              </w:rPr>
            </w:pPr>
          </w:p>
        </w:tc>
        <w:tc>
          <w:tcPr>
            <w:tcW w:w="1680" w:type="dxa"/>
            <w:vAlign w:val="bottom"/>
            <w:tcBorders>
              <w:right w:val="single" w:sz="8" w:color="auto"/>
            </w:tcBorders>
            <w:shd w:val="clear" w:color="auto" w:fill="CCEEFF"/>
          </w:tcPr>
          <w:p>
            <w:pPr>
              <w:spacing w:after="0" w:line="85" w:lineRule="exact"/>
              <w:rPr>
                <w:sz w:val="20"/>
                <w:szCs w:val="20"/>
                <w:color w:val="auto"/>
              </w:rPr>
            </w:pPr>
            <w:r>
              <w:rPr>
                <w:rFonts w:ascii="Arial" w:cs="Arial" w:eastAsia="Arial" w:hAnsi="Arial"/>
                <w:sz w:val="9"/>
                <w:szCs w:val="9"/>
                <w:color w:val="auto"/>
              </w:rPr>
              <w:t>protective packaging, packaging</w:t>
            </w:r>
          </w:p>
        </w:tc>
        <w:tc>
          <w:tcPr>
            <w:tcW w:w="0" w:type="dxa"/>
            <w:vAlign w:val="bottom"/>
          </w:tcPr>
          <w:p>
            <w:pPr>
              <w:spacing w:after="0"/>
              <w:rPr>
                <w:sz w:val="1"/>
                <w:szCs w:val="1"/>
                <w:color w:val="auto"/>
              </w:rPr>
            </w:pPr>
          </w:p>
        </w:tc>
      </w:tr>
      <w:tr>
        <w:trPr>
          <w:trHeight w:val="69"/>
        </w:trPr>
        <w:tc>
          <w:tcPr>
            <w:tcW w:w="2200" w:type="dxa"/>
            <w:vAlign w:val="bottom"/>
            <w:tcBorders>
              <w:left w:val="single" w:sz="8" w:color="auto"/>
              <w:right w:val="single" w:sz="8" w:color="auto"/>
            </w:tcBorders>
            <w:shd w:val="clear" w:color="auto" w:fill="CCEEFF"/>
          </w:tcPr>
          <w:p>
            <w:pPr>
              <w:spacing w:after="0"/>
              <w:rPr>
                <w:sz w:val="5"/>
                <w:szCs w:val="5"/>
                <w:color w:val="auto"/>
              </w:rPr>
            </w:pPr>
          </w:p>
        </w:tc>
        <w:tc>
          <w:tcPr>
            <w:tcW w:w="1220" w:type="dxa"/>
            <w:vAlign w:val="bottom"/>
            <w:tcBorders>
              <w:right w:val="single" w:sz="8" w:color="auto"/>
            </w:tcBorders>
            <w:shd w:val="clear" w:color="auto" w:fill="CCEEFF"/>
          </w:tcPr>
          <w:p>
            <w:pPr>
              <w:spacing w:after="0"/>
              <w:rPr>
                <w:sz w:val="5"/>
                <w:szCs w:val="5"/>
                <w:color w:val="auto"/>
              </w:rPr>
            </w:pPr>
          </w:p>
        </w:tc>
        <w:tc>
          <w:tcPr>
            <w:tcW w:w="1500" w:type="dxa"/>
            <w:vAlign w:val="bottom"/>
            <w:tcBorders>
              <w:right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tcBorders>
              <w:right w:val="single" w:sz="8" w:color="auto"/>
            </w:tcBorders>
            <w:shd w:val="clear" w:color="auto" w:fill="CCEEFF"/>
          </w:tcPr>
          <w:p>
            <w:pPr>
              <w:spacing w:after="0"/>
              <w:rPr>
                <w:sz w:val="5"/>
                <w:szCs w:val="5"/>
                <w:color w:val="auto"/>
              </w:rPr>
            </w:pPr>
          </w:p>
        </w:tc>
        <w:tc>
          <w:tcPr>
            <w:tcW w:w="500" w:type="dxa"/>
            <w:vAlign w:val="bottom"/>
            <w:tcBorders>
              <w:right w:val="single" w:sz="8" w:color="auto"/>
            </w:tcBorders>
            <w:shd w:val="clear" w:color="auto" w:fill="CCEEFF"/>
          </w:tcPr>
          <w:p>
            <w:pPr>
              <w:spacing w:after="0"/>
              <w:rPr>
                <w:sz w:val="5"/>
                <w:szCs w:val="5"/>
                <w:color w:val="auto"/>
              </w:rPr>
            </w:pPr>
          </w:p>
        </w:tc>
        <w:tc>
          <w:tcPr>
            <w:tcW w:w="1680" w:type="dxa"/>
            <w:vAlign w:val="bottom"/>
            <w:tcBorders>
              <w:right w:val="single" w:sz="8" w:color="auto"/>
            </w:tcBorders>
            <w:vMerge w:val="restart"/>
            <w:shd w:val="clear" w:color="auto" w:fill="CCEEFF"/>
          </w:tcPr>
          <w:p>
            <w:pPr>
              <w:spacing w:after="0" w:line="122" w:lineRule="exact"/>
              <w:rPr>
                <w:sz w:val="20"/>
                <w:szCs w:val="20"/>
                <w:color w:val="auto"/>
              </w:rPr>
            </w:pPr>
            <w:r>
              <w:rPr>
                <w:rFonts w:ascii="Arial" w:cs="Arial" w:eastAsia="Arial" w:hAnsi="Arial"/>
                <w:sz w:val="11"/>
                <w:szCs w:val="11"/>
                <w:color w:val="auto"/>
                <w:w w:val="86"/>
              </w:rPr>
              <w:t>accessories and loose lumber. Ubeeco</w:t>
            </w:r>
          </w:p>
        </w:tc>
        <w:tc>
          <w:tcPr>
            <w:tcW w:w="0" w:type="dxa"/>
            <w:vAlign w:val="bottom"/>
          </w:tcPr>
          <w:p>
            <w:pPr>
              <w:spacing w:after="0"/>
              <w:rPr>
                <w:sz w:val="1"/>
                <w:szCs w:val="1"/>
                <w:color w:val="auto"/>
              </w:rPr>
            </w:pPr>
          </w:p>
        </w:tc>
      </w:tr>
      <w:tr>
        <w:trPr>
          <w:trHeight w:val="53"/>
        </w:trPr>
        <w:tc>
          <w:tcPr>
            <w:tcW w:w="2200" w:type="dxa"/>
            <w:vAlign w:val="bottom"/>
            <w:tcBorders>
              <w:left w:val="single" w:sz="8" w:color="auto"/>
              <w:right w:val="single" w:sz="8" w:color="auto"/>
            </w:tcBorders>
            <w:shd w:val="clear" w:color="auto" w:fill="CCEEFF"/>
          </w:tcPr>
          <w:p>
            <w:pPr>
              <w:spacing w:after="0"/>
              <w:rPr>
                <w:sz w:val="4"/>
                <w:szCs w:val="4"/>
                <w:color w:val="auto"/>
              </w:rPr>
            </w:pPr>
          </w:p>
        </w:tc>
        <w:tc>
          <w:tcPr>
            <w:tcW w:w="1220" w:type="dxa"/>
            <w:vAlign w:val="bottom"/>
            <w:tcBorders>
              <w:right w:val="single" w:sz="8" w:color="auto"/>
            </w:tcBorders>
            <w:shd w:val="clear" w:color="auto" w:fill="CCEEFF"/>
          </w:tcPr>
          <w:p>
            <w:pPr>
              <w:spacing w:after="0"/>
              <w:rPr>
                <w:sz w:val="4"/>
                <w:szCs w:val="4"/>
                <w:color w:val="auto"/>
              </w:rPr>
            </w:pPr>
          </w:p>
        </w:tc>
        <w:tc>
          <w:tcPr>
            <w:tcW w:w="1500" w:type="dxa"/>
            <w:vAlign w:val="bottom"/>
            <w:tcBorders>
              <w:right w:val="single" w:sz="8" w:color="auto"/>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60" w:type="dxa"/>
            <w:vAlign w:val="bottom"/>
            <w:tcBorders>
              <w:right w:val="single" w:sz="8" w:color="auto"/>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tcBorders>
              <w:right w:val="single" w:sz="8" w:color="auto"/>
            </w:tcBorders>
            <w:shd w:val="clear" w:color="auto" w:fill="CCEEFF"/>
          </w:tcPr>
          <w:p>
            <w:pPr>
              <w:spacing w:after="0"/>
              <w:rPr>
                <w:sz w:val="4"/>
                <w:szCs w:val="4"/>
                <w:color w:val="auto"/>
              </w:rPr>
            </w:pPr>
          </w:p>
        </w:tc>
        <w:tc>
          <w:tcPr>
            <w:tcW w:w="500" w:type="dxa"/>
            <w:vAlign w:val="bottom"/>
            <w:tcBorders>
              <w:right w:val="single" w:sz="8" w:color="auto"/>
            </w:tcBorders>
            <w:shd w:val="clear" w:color="auto" w:fill="CCEEFF"/>
          </w:tcPr>
          <w:p>
            <w:pPr>
              <w:spacing w:after="0"/>
              <w:rPr>
                <w:sz w:val="4"/>
                <w:szCs w:val="4"/>
                <w:color w:val="auto"/>
              </w:rPr>
            </w:pPr>
          </w:p>
        </w:tc>
        <w:tc>
          <w:tcPr>
            <w:tcW w:w="1680" w:type="dxa"/>
            <w:vAlign w:val="bottom"/>
            <w:tcBorders>
              <w:right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spacing w:after="0"/>
              <w:rPr>
                <w:sz w:val="10"/>
                <w:szCs w:val="10"/>
                <w:color w:val="auto"/>
              </w:rPr>
            </w:pPr>
          </w:p>
        </w:tc>
        <w:tc>
          <w:tcPr>
            <w:tcW w:w="1220" w:type="dxa"/>
            <w:vAlign w:val="bottom"/>
            <w:tcBorders>
              <w:right w:val="single" w:sz="8" w:color="auto"/>
            </w:tcBorders>
            <w:shd w:val="clear" w:color="auto" w:fill="CCEEFF"/>
          </w:tcPr>
          <w:p>
            <w:pPr>
              <w:spacing w:after="0"/>
              <w:rPr>
                <w:sz w:val="10"/>
                <w:szCs w:val="10"/>
                <w:color w:val="auto"/>
              </w:rPr>
            </w:pPr>
          </w:p>
        </w:tc>
        <w:tc>
          <w:tcPr>
            <w:tcW w:w="15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w w:val="87"/>
              </w:rPr>
              <w:t>has annual sales of approximately $20</w:t>
            </w:r>
          </w:p>
        </w:tc>
        <w:tc>
          <w:tcPr>
            <w:tcW w:w="0" w:type="dxa"/>
            <w:vAlign w:val="bottom"/>
          </w:tcPr>
          <w:p>
            <w:pPr>
              <w:spacing w:after="0"/>
              <w:rPr>
                <w:sz w:val="1"/>
                <w:szCs w:val="1"/>
                <w:color w:val="auto"/>
              </w:rPr>
            </w:pPr>
          </w:p>
        </w:tc>
      </w:tr>
      <w:tr>
        <w:trPr>
          <w:trHeight w:val="131"/>
        </w:trPr>
        <w:tc>
          <w:tcPr>
            <w:tcW w:w="220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1220" w:type="dxa"/>
            <w:vAlign w:val="bottom"/>
            <w:tcBorders>
              <w:bottom w:val="single" w:sz="8" w:color="auto"/>
              <w:right w:val="single" w:sz="8" w:color="auto"/>
            </w:tcBorders>
            <w:shd w:val="clear" w:color="auto" w:fill="CCEEFF"/>
          </w:tcPr>
          <w:p>
            <w:pPr>
              <w:spacing w:after="0"/>
              <w:rPr>
                <w:sz w:val="11"/>
                <w:szCs w:val="11"/>
                <w:color w:val="auto"/>
              </w:rPr>
            </w:pPr>
          </w:p>
        </w:tc>
        <w:tc>
          <w:tcPr>
            <w:tcW w:w="1500" w:type="dxa"/>
            <w:vAlign w:val="bottom"/>
            <w:tcBorders>
              <w:bottom w:val="single" w:sz="8" w:color="auto"/>
              <w:right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right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right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auto"/>
            </w:tcBorders>
            <w:shd w:val="clear" w:color="auto" w:fill="CCEEFF"/>
          </w:tcPr>
          <w:p>
            <w:pPr>
              <w:spacing w:after="0"/>
              <w:rPr>
                <w:sz w:val="11"/>
                <w:szCs w:val="11"/>
                <w:color w:val="auto"/>
              </w:rPr>
            </w:pPr>
          </w:p>
        </w:tc>
        <w:tc>
          <w:tcPr>
            <w:tcW w:w="16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million.</w:t>
            </w: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1"/>
                <w:szCs w:val="11"/>
                <w:color w:val="auto"/>
                <w:w w:val="90"/>
              </w:rPr>
              <w:t>$66,046</w:t>
            </w:r>
          </w:p>
        </w:tc>
        <w:tc>
          <w:tcPr>
            <w:tcW w:w="14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7"/>
              </w:rPr>
              <w:t>cash paid for 100% stock</w:t>
            </w:r>
          </w:p>
        </w:tc>
        <w:tc>
          <w:tcPr>
            <w:tcW w:w="14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1"/>
              </w:rPr>
              <w:t>A designer, producer, and installer of</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88"/>
              </w:rPr>
              <w:t>purchase which includes $11,337</w:t>
            </w:r>
          </w:p>
        </w:tc>
        <w:tc>
          <w:tcPr>
            <w:tcW w:w="14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16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2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restart"/>
          </w:tcPr>
          <w:p>
            <w:pPr>
              <w:spacing w:after="0" w:line="122" w:lineRule="exact"/>
              <w:rPr>
                <w:sz w:val="20"/>
                <w:szCs w:val="20"/>
                <w:color w:val="auto"/>
              </w:rPr>
            </w:pPr>
            <w:r>
              <w:rPr>
                <w:rFonts w:ascii="Arial" w:cs="Arial" w:eastAsia="Arial" w:hAnsi="Arial"/>
                <w:sz w:val="11"/>
                <w:szCs w:val="11"/>
                <w:color w:val="auto"/>
                <w:w w:val="88"/>
              </w:rPr>
              <w:t>customized in-store environments that</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1"/>
                <w:szCs w:val="11"/>
                <w:color w:val="auto"/>
                <w:w w:val="96"/>
              </w:rPr>
              <w:t>idX Holdings, Inc. ("idX")</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8"/>
              </w:rPr>
              <w:t>September 16, 2016</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9"/>
              </w:rPr>
              <w:t>in net cash received. Also, paid</w:t>
            </w: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17,016</w:t>
            </w:r>
          </w:p>
        </w:tc>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1"/>
                <w:szCs w:val="11"/>
                <w:color w:val="auto"/>
              </w:rPr>
              <w:t>49,030</w:t>
            </w:r>
          </w:p>
        </w:tc>
        <w:tc>
          <w:tcPr>
            <w:tcW w:w="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8"/>
              </w:rPr>
              <w:t>All Other</w:t>
            </w:r>
          </w:p>
        </w:tc>
        <w:tc>
          <w:tcPr>
            <w:tcW w:w="16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20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6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50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tcPr>
          <w:p>
            <w:pPr>
              <w:spacing w:after="0" w:line="104" w:lineRule="exact"/>
              <w:rPr>
                <w:sz w:val="20"/>
                <w:szCs w:val="20"/>
                <w:color w:val="auto"/>
              </w:rPr>
            </w:pPr>
            <w:r>
              <w:rPr>
                <w:rFonts w:ascii="Arial" w:cs="Arial" w:eastAsia="Arial" w:hAnsi="Arial"/>
                <w:sz w:val="11"/>
                <w:szCs w:val="11"/>
                <w:color w:val="auto"/>
                <w:w w:val="94"/>
              </w:rPr>
              <w:t>are used in a range of end markets.</w:t>
            </w:r>
          </w:p>
        </w:tc>
        <w:tc>
          <w:tcPr>
            <w:tcW w:w="0" w:type="dxa"/>
            <w:vAlign w:val="bottom"/>
          </w:tcPr>
          <w:p>
            <w:pPr>
              <w:spacing w:after="0"/>
              <w:rPr>
                <w:sz w:val="1"/>
                <w:szCs w:val="1"/>
                <w:color w:val="auto"/>
              </w:rPr>
            </w:pPr>
          </w:p>
        </w:tc>
      </w:tr>
      <w:tr>
        <w:trPr>
          <w:trHeight w:val="85"/>
        </w:trPr>
        <w:tc>
          <w:tcPr>
            <w:tcW w:w="2200" w:type="dxa"/>
            <w:vAlign w:val="bottom"/>
            <w:tcBorders>
              <w:left w:val="single" w:sz="8" w:color="auto"/>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jc w:val="center"/>
              <w:spacing w:after="0" w:line="85" w:lineRule="exact"/>
              <w:rPr>
                <w:sz w:val="20"/>
                <w:szCs w:val="20"/>
                <w:color w:val="auto"/>
              </w:rPr>
            </w:pPr>
            <w:r>
              <w:rPr>
                <w:rFonts w:ascii="Arial" w:cs="Arial" w:eastAsia="Arial" w:hAnsi="Arial"/>
                <w:sz w:val="9"/>
                <w:szCs w:val="9"/>
                <w:color w:val="auto"/>
              </w:rPr>
              <w:t>$86,294 to retire outstanding debt</w:t>
            </w:r>
          </w:p>
        </w:tc>
        <w:tc>
          <w:tcPr>
            <w:tcW w:w="14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w w:val="91"/>
              </w:rPr>
              <w:t>idX has annual sales of $300 million.</w:t>
            </w:r>
          </w:p>
        </w:tc>
        <w:tc>
          <w:tcPr>
            <w:tcW w:w="0" w:type="dxa"/>
            <w:vAlign w:val="bottom"/>
          </w:tcPr>
          <w:p>
            <w:pPr>
              <w:spacing w:after="0"/>
              <w:rPr>
                <w:sz w:val="1"/>
                <w:szCs w:val="1"/>
                <w:color w:val="auto"/>
              </w:rPr>
            </w:pPr>
          </w:p>
        </w:tc>
      </w:tr>
      <w:tr>
        <w:trPr>
          <w:trHeight w:val="69"/>
        </w:trPr>
        <w:tc>
          <w:tcPr>
            <w:tcW w:w="22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88"/>
              </w:rPr>
              <w:t>and $6,536 of certain other</w:t>
            </w:r>
          </w:p>
        </w:tc>
        <w:tc>
          <w:tcPr>
            <w:tcW w:w="14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2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3"/>
              </w:rPr>
              <w:t>obligations.</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shd w:val="clear" w:color="auto" w:fill="CCEEFF"/>
          </w:tcPr>
          <w:p>
            <w:pPr>
              <w:spacing w:after="0"/>
              <w:rPr>
                <w:sz w:val="9"/>
                <w:szCs w:val="9"/>
                <w:color w:val="auto"/>
              </w:rPr>
            </w:pPr>
          </w:p>
        </w:tc>
        <w:tc>
          <w:tcPr>
            <w:tcW w:w="122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89"/>
              </w:rPr>
              <w:t>$1,246</w:t>
            </w:r>
          </w:p>
        </w:tc>
        <w:tc>
          <w:tcPr>
            <w:tcW w:w="140" w:type="dxa"/>
            <w:vAlign w:val="bottom"/>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1680" w:type="dxa"/>
            <w:vAlign w:val="bottom"/>
            <w:tcBorders>
              <w:right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89"/>
              </w:rPr>
              <w:t>A manufacturer and distributor of roof</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restart"/>
            <w:shd w:val="clear" w:color="auto" w:fill="CCEEFF"/>
          </w:tcPr>
          <w:p>
            <w:pPr>
              <w:jc w:val="center"/>
              <w:spacing w:after="0" w:line="122" w:lineRule="exact"/>
              <w:rPr>
                <w:sz w:val="20"/>
                <w:szCs w:val="20"/>
                <w:color w:val="auto"/>
              </w:rPr>
            </w:pPr>
            <w:r>
              <w:rPr>
                <w:rFonts w:ascii="Arial" w:cs="Arial" w:eastAsia="Arial" w:hAnsi="Arial"/>
                <w:sz w:val="11"/>
                <w:szCs w:val="11"/>
                <w:color w:val="auto"/>
                <w:w w:val="87"/>
              </w:rPr>
              <w:t>Seven D Truss, L.P.</w:t>
            </w:r>
          </w:p>
        </w:tc>
        <w:tc>
          <w:tcPr>
            <w:tcW w:w="1220" w:type="dxa"/>
            <w:vAlign w:val="bottom"/>
            <w:tcBorders>
              <w:right w:val="single" w:sz="8" w:color="auto"/>
            </w:tcBorders>
            <w:vMerge w:val="restart"/>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July 29, 2016</w:t>
            </w:r>
          </w:p>
        </w:tc>
        <w:tc>
          <w:tcPr>
            <w:tcW w:w="1500" w:type="dxa"/>
            <w:vAlign w:val="bottom"/>
            <w:tcBorders>
              <w:right w:val="single" w:sz="8" w:color="auto"/>
            </w:tcBorders>
            <w:vMerge w:val="continue"/>
            <w:shd w:val="clear" w:color="auto" w:fill="CCEEFF"/>
          </w:tcPr>
          <w:p>
            <w:pPr>
              <w:spacing w:after="0"/>
              <w:rPr>
                <w:sz w:val="4"/>
                <w:szCs w:val="4"/>
                <w:color w:val="auto"/>
              </w:rPr>
            </w:pPr>
          </w:p>
        </w:tc>
        <w:tc>
          <w:tcPr>
            <w:tcW w:w="140" w:type="dxa"/>
            <w:vAlign w:val="bottom"/>
            <w:vMerge w:val="restart"/>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shd w:val="clear" w:color="auto" w:fill="CCEEFF"/>
          </w:tcPr>
          <w:p>
            <w:pPr>
              <w:jc w:val="right"/>
              <w:spacing w:after="0" w:line="122" w:lineRule="exact"/>
              <w:rPr>
                <w:sz w:val="20"/>
                <w:szCs w:val="20"/>
                <w:color w:val="auto"/>
              </w:rPr>
            </w:pPr>
            <w:r>
              <w:rPr>
                <w:rFonts w:ascii="Arial" w:cs="Arial" w:eastAsia="Arial" w:hAnsi="Arial"/>
                <w:sz w:val="11"/>
                <w:szCs w:val="11"/>
                <w:color w:val="auto"/>
              </w:rPr>
              <w:t>405</w:t>
            </w:r>
          </w:p>
        </w:tc>
        <w:tc>
          <w:tcPr>
            <w:tcW w:w="160" w:type="dxa"/>
            <w:vAlign w:val="bottom"/>
            <w:vMerge w:val="restart"/>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vMerge w:val="restart"/>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841</w:t>
            </w:r>
          </w:p>
        </w:tc>
        <w:tc>
          <w:tcPr>
            <w:tcW w:w="500" w:type="dxa"/>
            <w:vAlign w:val="bottom"/>
            <w:tcBorders>
              <w:right w:val="single" w:sz="8" w:color="auto"/>
            </w:tcBorders>
            <w:vMerge w:val="restart"/>
            <w:shd w:val="clear" w:color="auto" w:fill="CCEEFF"/>
          </w:tcPr>
          <w:p>
            <w:pPr>
              <w:jc w:val="center"/>
              <w:spacing w:after="0" w:line="122" w:lineRule="exact"/>
              <w:rPr>
                <w:sz w:val="20"/>
                <w:szCs w:val="20"/>
                <w:color w:val="auto"/>
              </w:rPr>
            </w:pPr>
            <w:r>
              <w:rPr>
                <w:rFonts w:ascii="Arial" w:cs="Arial" w:eastAsia="Arial" w:hAnsi="Arial"/>
                <w:sz w:val="11"/>
                <w:szCs w:val="11"/>
                <w:color w:val="auto"/>
                <w:w w:val="96"/>
              </w:rPr>
              <w:t>North</w:t>
            </w:r>
          </w:p>
        </w:tc>
        <w:tc>
          <w:tcPr>
            <w:tcW w:w="1680" w:type="dxa"/>
            <w:vAlign w:val="bottom"/>
            <w:tcBorders>
              <w:right w:val="single" w:sz="8" w:color="auto"/>
            </w:tcBorders>
            <w:vMerge w:val="restart"/>
            <w:shd w:val="clear" w:color="auto" w:fill="CCEEFF"/>
          </w:tcPr>
          <w:p>
            <w:pPr>
              <w:spacing w:after="0" w:line="122" w:lineRule="exact"/>
              <w:rPr>
                <w:sz w:val="20"/>
                <w:szCs w:val="20"/>
                <w:color w:val="auto"/>
              </w:rPr>
            </w:pPr>
            <w:r>
              <w:rPr>
                <w:rFonts w:ascii="Arial" w:cs="Arial" w:eastAsia="Arial" w:hAnsi="Arial"/>
                <w:sz w:val="11"/>
                <w:szCs w:val="11"/>
                <w:color w:val="auto"/>
                <w:w w:val="87"/>
              </w:rPr>
              <w:t>and floor trusses. 7D had annual sales</w:t>
            </w:r>
          </w:p>
        </w:tc>
        <w:tc>
          <w:tcPr>
            <w:tcW w:w="0" w:type="dxa"/>
            <w:vAlign w:val="bottom"/>
          </w:tcPr>
          <w:p>
            <w:pPr>
              <w:spacing w:after="0"/>
              <w:rPr>
                <w:sz w:val="1"/>
                <w:szCs w:val="1"/>
                <w:color w:val="auto"/>
              </w:rPr>
            </w:pPr>
          </w:p>
        </w:tc>
      </w:tr>
      <w:tr>
        <w:trPr>
          <w:trHeight w:val="68"/>
        </w:trPr>
        <w:tc>
          <w:tcPr>
            <w:tcW w:w="2200" w:type="dxa"/>
            <w:vAlign w:val="bottom"/>
            <w:tcBorders>
              <w:left w:val="single" w:sz="8" w:color="auto"/>
              <w:right w:val="single" w:sz="8" w:color="auto"/>
            </w:tcBorders>
            <w:vMerge w:val="continue"/>
            <w:shd w:val="clear" w:color="auto" w:fill="CCEEFF"/>
          </w:tcPr>
          <w:p>
            <w:pPr>
              <w:spacing w:after="0"/>
              <w:rPr>
                <w:sz w:val="5"/>
                <w:szCs w:val="5"/>
                <w:color w:val="auto"/>
              </w:rPr>
            </w:pPr>
          </w:p>
        </w:tc>
        <w:tc>
          <w:tcPr>
            <w:tcW w:w="1220" w:type="dxa"/>
            <w:vAlign w:val="bottom"/>
            <w:tcBorders>
              <w:right w:val="single" w:sz="8" w:color="auto"/>
            </w:tcBorders>
            <w:vMerge w:val="continue"/>
            <w:shd w:val="clear" w:color="auto" w:fill="CCEEFF"/>
          </w:tcPr>
          <w:p>
            <w:pPr>
              <w:spacing w:after="0"/>
              <w:rPr>
                <w:sz w:val="5"/>
                <w:szCs w:val="5"/>
                <w:color w:val="auto"/>
              </w:rPr>
            </w:pPr>
          </w:p>
        </w:tc>
        <w:tc>
          <w:tcPr>
            <w:tcW w:w="15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1"/>
                <w:szCs w:val="11"/>
                <w:color w:val="auto"/>
                <w:w w:val="85"/>
              </w:rPr>
              <w:t>cash paid for asset purchase</w:t>
            </w:r>
          </w:p>
        </w:tc>
        <w:tc>
          <w:tcPr>
            <w:tcW w:w="140" w:type="dxa"/>
            <w:vAlign w:val="bottom"/>
            <w:vMerge w:val="continue"/>
            <w:shd w:val="clear" w:color="auto" w:fill="CCEEFF"/>
          </w:tcPr>
          <w:p>
            <w:pPr>
              <w:spacing w:after="0"/>
              <w:rPr>
                <w:sz w:val="5"/>
                <w:szCs w:val="5"/>
                <w:color w:val="auto"/>
              </w:rPr>
            </w:pPr>
          </w:p>
        </w:tc>
        <w:tc>
          <w:tcPr>
            <w:tcW w:w="860" w:type="dxa"/>
            <w:vAlign w:val="bottom"/>
            <w:tcBorders>
              <w:right w:val="single" w:sz="8" w:color="auto"/>
            </w:tcBorders>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tcBorders>
              <w:right w:val="single" w:sz="8" w:color="auto"/>
            </w:tcBorders>
            <w:vMerge w:val="continue"/>
            <w:shd w:val="clear" w:color="auto" w:fill="CCEEFF"/>
          </w:tcPr>
          <w:p>
            <w:pPr>
              <w:spacing w:after="0"/>
              <w:rPr>
                <w:sz w:val="5"/>
                <w:szCs w:val="5"/>
                <w:color w:val="auto"/>
              </w:rPr>
            </w:pPr>
          </w:p>
        </w:tc>
        <w:tc>
          <w:tcPr>
            <w:tcW w:w="500" w:type="dxa"/>
            <w:vAlign w:val="bottom"/>
            <w:tcBorders>
              <w:right w:val="single" w:sz="8" w:color="auto"/>
            </w:tcBorders>
            <w:vMerge w:val="continue"/>
            <w:shd w:val="clear" w:color="auto" w:fill="CCEEFF"/>
          </w:tcPr>
          <w:p>
            <w:pPr>
              <w:spacing w:after="0"/>
              <w:rPr>
                <w:sz w:val="5"/>
                <w:szCs w:val="5"/>
                <w:color w:val="auto"/>
              </w:rPr>
            </w:pPr>
          </w:p>
        </w:tc>
        <w:tc>
          <w:tcPr>
            <w:tcW w:w="168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200" w:type="dxa"/>
            <w:vAlign w:val="bottom"/>
            <w:tcBorders>
              <w:left w:val="single" w:sz="8" w:color="auto"/>
              <w:right w:val="single" w:sz="8" w:color="auto"/>
            </w:tcBorders>
            <w:shd w:val="clear" w:color="auto" w:fill="CCEEFF"/>
          </w:tcPr>
          <w:p>
            <w:pPr>
              <w:spacing w:after="0"/>
              <w:rPr>
                <w:sz w:val="5"/>
                <w:szCs w:val="5"/>
                <w:color w:val="auto"/>
              </w:rPr>
            </w:pPr>
          </w:p>
        </w:tc>
        <w:tc>
          <w:tcPr>
            <w:tcW w:w="1220" w:type="dxa"/>
            <w:vAlign w:val="bottom"/>
            <w:tcBorders>
              <w:right w:val="single" w:sz="8" w:color="auto"/>
            </w:tcBorders>
            <w:shd w:val="clear" w:color="auto" w:fill="CCEEFF"/>
          </w:tcPr>
          <w:p>
            <w:pPr>
              <w:spacing w:after="0"/>
              <w:rPr>
                <w:sz w:val="5"/>
                <w:szCs w:val="5"/>
                <w:color w:val="auto"/>
              </w:rPr>
            </w:pPr>
          </w:p>
        </w:tc>
        <w:tc>
          <w:tcPr>
            <w:tcW w:w="1500" w:type="dxa"/>
            <w:vAlign w:val="bottom"/>
            <w:tcBorders>
              <w:right w:val="single" w:sz="8" w:color="auto"/>
            </w:tcBorders>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60" w:type="dxa"/>
            <w:vAlign w:val="bottom"/>
            <w:tcBorders>
              <w:right w:val="single" w:sz="8" w:color="auto"/>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20" w:type="dxa"/>
            <w:vAlign w:val="bottom"/>
            <w:tcBorders>
              <w:right w:val="single" w:sz="8" w:color="auto"/>
            </w:tcBorders>
            <w:shd w:val="clear" w:color="auto" w:fill="CCEEFF"/>
          </w:tcPr>
          <w:p>
            <w:pPr>
              <w:spacing w:after="0"/>
              <w:rPr>
                <w:sz w:val="5"/>
                <w:szCs w:val="5"/>
                <w:color w:val="auto"/>
              </w:rPr>
            </w:pPr>
          </w:p>
        </w:tc>
        <w:tc>
          <w:tcPr>
            <w:tcW w:w="500" w:type="dxa"/>
            <w:vAlign w:val="bottom"/>
            <w:tcBorders>
              <w:right w:val="single" w:sz="8" w:color="auto"/>
            </w:tcBorders>
            <w:shd w:val="clear" w:color="auto" w:fill="CCEEFF"/>
          </w:tcPr>
          <w:p>
            <w:pPr>
              <w:spacing w:after="0"/>
              <w:rPr>
                <w:sz w:val="5"/>
                <w:szCs w:val="5"/>
                <w:color w:val="auto"/>
              </w:rPr>
            </w:pPr>
          </w:p>
        </w:tc>
        <w:tc>
          <w:tcPr>
            <w:tcW w:w="16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1"/>
                <w:szCs w:val="11"/>
                <w:color w:val="auto"/>
              </w:rPr>
              <w:t>of approximately $4.0 million.</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bottom w:val="single" w:sz="8" w:color="auto"/>
              <w:right w:val="single" w:sz="8" w:color="auto"/>
            </w:tcBorders>
            <w:shd w:val="clear" w:color="auto" w:fill="CCEEFF"/>
          </w:tcPr>
          <w:p>
            <w:pPr>
              <w:spacing w:after="0"/>
              <w:rPr>
                <w:sz w:val="5"/>
                <w:szCs w:val="5"/>
                <w:color w:val="auto"/>
              </w:rPr>
            </w:pPr>
          </w:p>
        </w:tc>
        <w:tc>
          <w:tcPr>
            <w:tcW w:w="1220" w:type="dxa"/>
            <w:vAlign w:val="bottom"/>
            <w:tcBorders>
              <w:bottom w:val="single" w:sz="8" w:color="auto"/>
              <w:right w:val="single" w:sz="8" w:color="auto"/>
            </w:tcBorders>
            <w:shd w:val="clear" w:color="auto" w:fill="CCEEFF"/>
          </w:tcPr>
          <w:p>
            <w:pPr>
              <w:spacing w:after="0"/>
              <w:rPr>
                <w:sz w:val="5"/>
                <w:szCs w:val="5"/>
                <w:color w:val="auto"/>
              </w:rPr>
            </w:pPr>
          </w:p>
        </w:tc>
        <w:tc>
          <w:tcPr>
            <w:tcW w:w="1500" w:type="dxa"/>
            <w:vAlign w:val="bottom"/>
            <w:tcBorders>
              <w:bottom w:val="single" w:sz="8" w:color="auto"/>
              <w:right w:val="single" w:sz="8" w:color="auto"/>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right w:val="single" w:sz="8" w:color="auto"/>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right w:val="single" w:sz="8" w:color="auto"/>
            </w:tcBorders>
            <w:shd w:val="clear" w:color="auto" w:fill="CCEEFF"/>
          </w:tcPr>
          <w:p>
            <w:pPr>
              <w:spacing w:after="0"/>
              <w:rPr>
                <w:sz w:val="5"/>
                <w:szCs w:val="5"/>
                <w:color w:val="auto"/>
              </w:rPr>
            </w:pPr>
          </w:p>
        </w:tc>
        <w:tc>
          <w:tcPr>
            <w:tcW w:w="500" w:type="dxa"/>
            <w:vAlign w:val="bottom"/>
            <w:tcBorders>
              <w:bottom w:val="single" w:sz="8" w:color="auto"/>
              <w:right w:val="single" w:sz="8" w:color="auto"/>
            </w:tcBorders>
            <w:shd w:val="clear" w:color="auto" w:fill="CCEEFF"/>
          </w:tcPr>
          <w:p>
            <w:pPr>
              <w:spacing w:after="0"/>
              <w:rPr>
                <w:sz w:val="5"/>
                <w:szCs w:val="5"/>
                <w:color w:val="auto"/>
              </w:rPr>
            </w:pPr>
          </w:p>
        </w:tc>
        <w:tc>
          <w:tcPr>
            <w:tcW w:w="1680" w:type="dxa"/>
            <w:vAlign w:val="bottom"/>
            <w:tcBorders>
              <w:bottom w:val="single" w:sz="8" w:color="auto"/>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0"/>
              </w:rPr>
              <w:t>$10,787</w:t>
            </w:r>
          </w:p>
        </w:tc>
        <w:tc>
          <w:tcPr>
            <w:tcW w:w="14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line="105" w:lineRule="exact"/>
              <w:rPr>
                <w:sz w:val="20"/>
                <w:szCs w:val="20"/>
                <w:color w:val="auto"/>
              </w:rPr>
            </w:pPr>
            <w:r>
              <w:rPr>
                <w:rFonts w:ascii="Arial" w:cs="Arial" w:eastAsia="Arial" w:hAnsi="Arial"/>
                <w:sz w:val="11"/>
                <w:szCs w:val="11"/>
                <w:color w:val="auto"/>
                <w:w w:val="95"/>
              </w:rPr>
              <w:t>A supplier of products ranging from</w:t>
            </w: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1680" w:type="dxa"/>
            <w:vAlign w:val="bottom"/>
            <w:tcBorders>
              <w:right w:val="single" w:sz="8" w:color="auto"/>
            </w:tcBorders>
            <w:vMerge w:val="restart"/>
          </w:tcPr>
          <w:p>
            <w:pPr>
              <w:spacing w:after="0" w:line="122" w:lineRule="exact"/>
              <w:rPr>
                <w:sz w:val="20"/>
                <w:szCs w:val="20"/>
                <w:color w:val="auto"/>
              </w:rPr>
            </w:pPr>
            <w:r>
              <w:rPr>
                <w:rFonts w:ascii="Arial" w:cs="Arial" w:eastAsia="Arial" w:hAnsi="Arial"/>
                <w:sz w:val="11"/>
                <w:szCs w:val="11"/>
                <w:color w:val="auto"/>
              </w:rPr>
              <w:t>lumber and plywood to siding and</w:t>
            </w:r>
          </w:p>
        </w:tc>
        <w:tc>
          <w:tcPr>
            <w:tcW w:w="0" w:type="dxa"/>
            <w:vAlign w:val="bottom"/>
          </w:tcPr>
          <w:p>
            <w:pPr>
              <w:spacing w:after="0"/>
              <w:rPr>
                <w:sz w:val="1"/>
                <w:szCs w:val="1"/>
                <w:color w:val="auto"/>
              </w:rPr>
            </w:pPr>
          </w:p>
        </w:tc>
      </w:tr>
      <w:tr>
        <w:trPr>
          <w:trHeight w:val="68"/>
        </w:trPr>
        <w:tc>
          <w:tcPr>
            <w:tcW w:w="2200" w:type="dxa"/>
            <w:vAlign w:val="bottom"/>
            <w:tcBorders>
              <w:left w:val="single" w:sz="8" w:color="auto"/>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92"/>
              </w:rPr>
              <w:t>Idaho Western, Inc. ("IWI")</w:t>
            </w:r>
          </w:p>
        </w:tc>
        <w:tc>
          <w:tcPr>
            <w:tcW w:w="1220" w:type="dxa"/>
            <w:vAlign w:val="bottom"/>
            <w:tcBorders>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85"/>
              </w:rPr>
              <w:t>June 30, 2016</w:t>
            </w:r>
          </w:p>
        </w:tc>
        <w:tc>
          <w:tcPr>
            <w:tcW w:w="1500" w:type="dxa"/>
            <w:vAlign w:val="bottom"/>
            <w:tcBorders>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87"/>
              </w:rPr>
              <w:t>cash paid for 100% stock</w:t>
            </w:r>
          </w:p>
        </w:tc>
        <w:tc>
          <w:tcPr>
            <w:tcW w:w="140" w:type="dxa"/>
            <w:vAlign w:val="bottom"/>
            <w:vMerge w:val="restart"/>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vMerge w:val="restart"/>
          </w:tcPr>
          <w:p>
            <w:pPr>
              <w:jc w:val="right"/>
              <w:spacing w:after="0" w:line="122" w:lineRule="exact"/>
              <w:rPr>
                <w:sz w:val="20"/>
                <w:szCs w:val="20"/>
                <w:color w:val="auto"/>
              </w:rPr>
            </w:pPr>
            <w:r>
              <w:rPr>
                <w:rFonts w:ascii="Arial" w:cs="Arial" w:eastAsia="Arial" w:hAnsi="Arial"/>
                <w:sz w:val="11"/>
                <w:szCs w:val="11"/>
                <w:color w:val="auto"/>
              </w:rPr>
              <w:t>6,817</w:t>
            </w:r>
          </w:p>
        </w:tc>
        <w:tc>
          <w:tcPr>
            <w:tcW w:w="160" w:type="dxa"/>
            <w:vAlign w:val="bottom"/>
            <w:vMerge w:val="restart"/>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vMerge w:val="restart"/>
          </w:tcPr>
          <w:p>
            <w:pPr>
              <w:jc w:val="right"/>
              <w:ind w:right="6"/>
              <w:spacing w:after="0" w:line="122" w:lineRule="exact"/>
              <w:rPr>
                <w:sz w:val="20"/>
                <w:szCs w:val="20"/>
                <w:color w:val="auto"/>
              </w:rPr>
            </w:pPr>
            <w:r>
              <w:rPr>
                <w:rFonts w:ascii="Arial" w:cs="Arial" w:eastAsia="Arial" w:hAnsi="Arial"/>
                <w:sz w:val="11"/>
                <w:szCs w:val="11"/>
                <w:color w:val="auto"/>
              </w:rPr>
              <w:t>4,248</w:t>
            </w:r>
          </w:p>
        </w:tc>
        <w:tc>
          <w:tcPr>
            <w:tcW w:w="500" w:type="dxa"/>
            <w:vAlign w:val="bottom"/>
            <w:tcBorders>
              <w:right w:val="single" w:sz="8" w:color="auto"/>
            </w:tcBorders>
            <w:vMerge w:val="restart"/>
          </w:tcPr>
          <w:p>
            <w:pPr>
              <w:jc w:val="center"/>
              <w:spacing w:after="0" w:line="122" w:lineRule="exact"/>
              <w:rPr>
                <w:sz w:val="20"/>
                <w:szCs w:val="20"/>
                <w:color w:val="auto"/>
              </w:rPr>
            </w:pPr>
            <w:r>
              <w:rPr>
                <w:rFonts w:ascii="Arial" w:cs="Arial" w:eastAsia="Arial" w:hAnsi="Arial"/>
                <w:sz w:val="11"/>
                <w:szCs w:val="11"/>
                <w:color w:val="auto"/>
                <w:w w:val="87"/>
              </w:rPr>
              <w:t>West</w:t>
            </w:r>
          </w:p>
        </w:tc>
        <w:tc>
          <w:tcPr>
            <w:tcW w:w="1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20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continue"/>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60" w:type="dxa"/>
            <w:vAlign w:val="bottom"/>
            <w:tcBorders>
              <w:right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20" w:type="dxa"/>
            <w:vAlign w:val="bottom"/>
            <w:tcBorders>
              <w:right w:val="single" w:sz="8" w:color="auto"/>
            </w:tcBorders>
            <w:vMerge w:val="continue"/>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1680" w:type="dxa"/>
            <w:vAlign w:val="bottom"/>
            <w:tcBorders>
              <w:right w:val="single" w:sz="8" w:color="auto"/>
            </w:tcBorders>
            <w:vMerge w:val="restart"/>
          </w:tcPr>
          <w:p>
            <w:pPr>
              <w:spacing w:after="0" w:line="122" w:lineRule="exact"/>
              <w:rPr>
                <w:sz w:val="20"/>
                <w:szCs w:val="20"/>
                <w:color w:val="auto"/>
              </w:rPr>
            </w:pPr>
            <w:r>
              <w:rPr>
                <w:rFonts w:ascii="Arial" w:cs="Arial" w:eastAsia="Arial" w:hAnsi="Arial"/>
                <w:sz w:val="11"/>
                <w:szCs w:val="11"/>
                <w:color w:val="auto"/>
              </w:rPr>
              <w:t>doors. IWI had annual sales of</w:t>
            </w:r>
          </w:p>
        </w:tc>
        <w:tc>
          <w:tcPr>
            <w:tcW w:w="0" w:type="dxa"/>
            <w:vAlign w:val="bottom"/>
          </w:tcPr>
          <w:p>
            <w:pPr>
              <w:spacing w:after="0"/>
              <w:rPr>
                <w:sz w:val="1"/>
                <w:szCs w:val="1"/>
                <w:color w:val="auto"/>
              </w:rPr>
            </w:pPr>
          </w:p>
        </w:tc>
      </w:tr>
      <w:tr>
        <w:trPr>
          <w:trHeight w:val="68"/>
        </w:trPr>
        <w:tc>
          <w:tcPr>
            <w:tcW w:w="22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87"/>
              </w:rPr>
              <w:t>purchase plus $500 holdback.</w:t>
            </w:r>
          </w:p>
        </w:tc>
        <w:tc>
          <w:tcPr>
            <w:tcW w:w="14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20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16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approximately $21 million.</w:t>
            </w:r>
          </w:p>
        </w:tc>
        <w:tc>
          <w:tcPr>
            <w:tcW w:w="0" w:type="dxa"/>
            <w:vAlign w:val="bottom"/>
          </w:tcPr>
          <w:p>
            <w:pPr>
              <w:spacing w:after="0"/>
              <w:rPr>
                <w:sz w:val="1"/>
                <w:szCs w:val="1"/>
                <w:color w:val="auto"/>
              </w:rPr>
            </w:pPr>
          </w:p>
        </w:tc>
      </w:tr>
      <w:tr>
        <w:trPr>
          <w:trHeight w:val="63"/>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shd w:val="clear" w:color="auto" w:fill="CCEEFF"/>
          </w:tcPr>
          <w:p>
            <w:pPr>
              <w:spacing w:after="0"/>
              <w:rPr>
                <w:sz w:val="9"/>
                <w:szCs w:val="9"/>
                <w:color w:val="auto"/>
              </w:rPr>
            </w:pPr>
          </w:p>
        </w:tc>
        <w:tc>
          <w:tcPr>
            <w:tcW w:w="1220" w:type="dxa"/>
            <w:vAlign w:val="bottom"/>
            <w:tcBorders>
              <w:right w:val="single" w:sz="8" w:color="auto"/>
            </w:tcBorders>
            <w:shd w:val="clear" w:color="auto" w:fill="CCEEFF"/>
          </w:tcPr>
          <w:p>
            <w:pPr>
              <w:spacing w:after="0"/>
              <w:rPr>
                <w:sz w:val="9"/>
                <w:szCs w:val="9"/>
                <w:color w:val="auto"/>
              </w:rPr>
            </w:pPr>
          </w:p>
        </w:tc>
        <w:tc>
          <w:tcPr>
            <w:tcW w:w="1500" w:type="dxa"/>
            <w:vAlign w:val="bottom"/>
            <w:tcBorders>
              <w:right w:val="single" w:sz="8" w:color="auto"/>
            </w:tcBorders>
            <w:shd w:val="clear" w:color="auto" w:fill="CCEEFF"/>
          </w:tcPr>
          <w:p>
            <w:pPr>
              <w:jc w:val="center"/>
              <w:spacing w:after="0" w:line="105" w:lineRule="exact"/>
              <w:rPr>
                <w:sz w:val="20"/>
                <w:szCs w:val="20"/>
                <w:color w:val="auto"/>
              </w:rPr>
            </w:pPr>
            <w:r>
              <w:rPr>
                <w:rFonts w:ascii="Arial" w:cs="Arial" w:eastAsia="Arial" w:hAnsi="Arial"/>
                <w:sz w:val="11"/>
                <w:szCs w:val="11"/>
                <w:color w:val="auto"/>
                <w:w w:val="89"/>
              </w:rPr>
              <w:t>$7,506</w:t>
            </w:r>
          </w:p>
        </w:tc>
        <w:tc>
          <w:tcPr>
            <w:tcW w:w="140" w:type="dxa"/>
            <w:vAlign w:val="bottom"/>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500" w:type="dxa"/>
            <w:vAlign w:val="bottom"/>
            <w:tcBorders>
              <w:right w:val="single" w:sz="8" w:color="auto"/>
            </w:tcBorders>
            <w:shd w:val="clear" w:color="auto" w:fill="CCEEFF"/>
          </w:tcPr>
          <w:p>
            <w:pPr>
              <w:spacing w:after="0"/>
              <w:rPr>
                <w:sz w:val="9"/>
                <w:szCs w:val="9"/>
                <w:color w:val="auto"/>
              </w:rPr>
            </w:pPr>
          </w:p>
        </w:tc>
        <w:tc>
          <w:tcPr>
            <w:tcW w:w="168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spacing w:after="0"/>
              <w:rPr>
                <w:sz w:val="10"/>
                <w:szCs w:val="10"/>
                <w:color w:val="auto"/>
              </w:rPr>
            </w:pPr>
          </w:p>
        </w:tc>
        <w:tc>
          <w:tcPr>
            <w:tcW w:w="122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88"/>
              </w:rPr>
              <w:t>November 24, 2014</w:t>
            </w:r>
          </w:p>
        </w:tc>
        <w:tc>
          <w:tcPr>
            <w:tcW w:w="150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88"/>
              </w:rPr>
              <w:t>November 24, 2014 cash paid for</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w w:val="89"/>
              </w:rPr>
              <w:t>A supplier of industrial packaging and</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91"/>
              </w:rPr>
              <w:t>Packnet Ltd (“Packnet”)</w:t>
            </w:r>
          </w:p>
        </w:tc>
        <w:tc>
          <w:tcPr>
            <w:tcW w:w="122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93"/>
              </w:rPr>
              <w:t>(majority interest) April 15,</w:t>
            </w:r>
          </w:p>
        </w:tc>
        <w:tc>
          <w:tcPr>
            <w:tcW w:w="150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89"/>
              </w:rPr>
              <w:t>controlling interest and $1,877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7,885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1,498</w:t>
            </w:r>
          </w:p>
        </w:tc>
        <w:tc>
          <w:tcPr>
            <w:tcW w:w="50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87"/>
              </w:rPr>
              <w:t>West</w:t>
            </w: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w w:val="86"/>
              </w:rPr>
              <w:t>services based in Eagan, MN. Packnet</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shd w:val="clear" w:color="auto" w:fill="CCEEFF"/>
          </w:tcPr>
          <w:p>
            <w:pPr>
              <w:spacing w:after="0"/>
              <w:rPr>
                <w:sz w:val="10"/>
                <w:szCs w:val="10"/>
                <w:color w:val="auto"/>
              </w:rPr>
            </w:pPr>
          </w:p>
        </w:tc>
        <w:tc>
          <w:tcPr>
            <w:tcW w:w="122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92"/>
              </w:rPr>
              <w:t>2016 (minority interest)</w:t>
            </w:r>
          </w:p>
        </w:tc>
        <w:tc>
          <w:tcPr>
            <w:tcW w:w="1500" w:type="dxa"/>
            <w:vAlign w:val="bottom"/>
            <w:tcBorders>
              <w:right w:val="single" w:sz="8" w:color="auto"/>
            </w:tcBorders>
            <w:shd w:val="clear" w:color="auto" w:fill="CCEEFF"/>
          </w:tcPr>
          <w:p>
            <w:pPr>
              <w:jc w:val="center"/>
              <w:spacing w:after="0" w:line="122" w:lineRule="exact"/>
              <w:rPr>
                <w:sz w:val="20"/>
                <w:szCs w:val="20"/>
                <w:color w:val="auto"/>
              </w:rPr>
            </w:pPr>
            <w:r>
              <w:rPr>
                <w:rFonts w:ascii="Arial" w:cs="Arial" w:eastAsia="Arial" w:hAnsi="Arial"/>
                <w:sz w:val="11"/>
                <w:szCs w:val="11"/>
                <w:color w:val="auto"/>
                <w:w w:val="89"/>
              </w:rPr>
              <w:t>cash paid for noncontrolling asset</w:t>
            </w:r>
          </w:p>
        </w:tc>
        <w:tc>
          <w:tcPr>
            <w:tcW w:w="140" w:type="dxa"/>
            <w:vAlign w:val="bottom"/>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500" w:type="dxa"/>
            <w:vAlign w:val="bottom"/>
            <w:tcBorders>
              <w:right w:val="single" w:sz="8" w:color="auto"/>
            </w:tcBorders>
            <w:shd w:val="clear" w:color="auto" w:fill="CCEEFF"/>
          </w:tcPr>
          <w:p>
            <w:pPr>
              <w:spacing w:after="0"/>
              <w:rPr>
                <w:sz w:val="10"/>
                <w:szCs w:val="10"/>
                <w:color w:val="auto"/>
              </w:rPr>
            </w:pPr>
          </w:p>
        </w:tc>
        <w:tc>
          <w:tcPr>
            <w:tcW w:w="168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had annual sales of $9.6 million.</w:t>
            </w:r>
          </w:p>
        </w:tc>
        <w:tc>
          <w:tcPr>
            <w:tcW w:w="0" w:type="dxa"/>
            <w:vAlign w:val="bottom"/>
          </w:tcPr>
          <w:p>
            <w:pPr>
              <w:spacing w:after="0"/>
              <w:rPr>
                <w:sz w:val="1"/>
                <w:szCs w:val="1"/>
                <w:color w:val="auto"/>
              </w:rPr>
            </w:pPr>
          </w:p>
        </w:tc>
      </w:tr>
      <w:tr>
        <w:trPr>
          <w:trHeight w:val="131"/>
        </w:trPr>
        <w:tc>
          <w:tcPr>
            <w:tcW w:w="2200" w:type="dxa"/>
            <w:vAlign w:val="bottom"/>
            <w:tcBorders>
              <w:left w:val="single" w:sz="8" w:color="auto"/>
              <w:bottom w:val="single" w:sz="8" w:color="auto"/>
              <w:right w:val="single" w:sz="8" w:color="auto"/>
            </w:tcBorders>
            <w:shd w:val="clear" w:color="auto" w:fill="CCEEFF"/>
          </w:tcPr>
          <w:p>
            <w:pPr>
              <w:spacing w:after="0"/>
              <w:rPr>
                <w:sz w:val="11"/>
                <w:szCs w:val="11"/>
                <w:color w:val="auto"/>
              </w:rPr>
            </w:pPr>
          </w:p>
        </w:tc>
        <w:tc>
          <w:tcPr>
            <w:tcW w:w="1220" w:type="dxa"/>
            <w:vAlign w:val="bottom"/>
            <w:tcBorders>
              <w:bottom w:val="single" w:sz="8" w:color="auto"/>
              <w:right w:val="single" w:sz="8" w:color="auto"/>
            </w:tcBorders>
            <w:shd w:val="clear" w:color="auto" w:fill="CCEEFF"/>
          </w:tcPr>
          <w:p>
            <w:pPr>
              <w:spacing w:after="0"/>
              <w:rPr>
                <w:sz w:val="11"/>
                <w:szCs w:val="11"/>
                <w:color w:val="auto"/>
              </w:rPr>
            </w:pP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2"/>
              </w:rPr>
              <w:t>purchase.</w:t>
            </w:r>
          </w:p>
        </w:tc>
        <w:tc>
          <w:tcPr>
            <w:tcW w:w="1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right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right w:val="single" w:sz="8" w:color="auto"/>
            </w:tcBorders>
            <w:shd w:val="clear" w:color="auto" w:fill="CCEEFF"/>
          </w:tcPr>
          <w:p>
            <w:pPr>
              <w:spacing w:after="0"/>
              <w:rPr>
                <w:sz w:val="11"/>
                <w:szCs w:val="11"/>
                <w:color w:val="auto"/>
              </w:rPr>
            </w:pPr>
          </w:p>
        </w:tc>
        <w:tc>
          <w:tcPr>
            <w:tcW w:w="500" w:type="dxa"/>
            <w:vAlign w:val="bottom"/>
            <w:tcBorders>
              <w:bottom w:val="single" w:sz="8" w:color="auto"/>
              <w:right w:val="single" w:sz="8" w:color="auto"/>
            </w:tcBorders>
            <w:shd w:val="clear" w:color="auto" w:fill="CCEEFF"/>
          </w:tcPr>
          <w:p>
            <w:pPr>
              <w:spacing w:after="0"/>
              <w:rPr>
                <w:sz w:val="11"/>
                <w:szCs w:val="11"/>
                <w:color w:val="auto"/>
              </w:rPr>
            </w:pPr>
          </w:p>
        </w:tc>
        <w:tc>
          <w:tcPr>
            <w:tcW w:w="1680" w:type="dxa"/>
            <w:vAlign w:val="bottom"/>
            <w:tcBorders>
              <w:bottom w:val="single" w:sz="8" w:color="auto"/>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00" w:type="dxa"/>
            <w:vAlign w:val="bottom"/>
            <w:tcBorders>
              <w:left w:val="single" w:sz="8" w:color="auto"/>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line="105" w:lineRule="exact"/>
              <w:rPr>
                <w:sz w:val="20"/>
                <w:szCs w:val="20"/>
                <w:color w:val="auto"/>
              </w:rPr>
            </w:pPr>
            <w:r>
              <w:rPr>
                <w:rFonts w:ascii="Arial" w:cs="Arial" w:eastAsia="Arial" w:hAnsi="Arial"/>
                <w:sz w:val="11"/>
                <w:szCs w:val="11"/>
                <w:color w:val="auto"/>
              </w:rPr>
              <w:t>A producer of doors and trim for</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$1,682</w:t>
            </w:r>
          </w:p>
        </w:tc>
        <w:tc>
          <w:tcPr>
            <w:tcW w:w="14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w w:val="89"/>
              </w:rPr>
              <w:t>customers in the greater Washington,</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Capital Components &amp; Millwork, Inc. ("CCM")</w:t>
            </w:r>
          </w:p>
        </w:tc>
        <w:tc>
          <w:tcPr>
            <w:tcW w:w="12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April 15, 2016</w:t>
            </w: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cash paid for asset purchase plus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rPr>
              <w:t>1,887</w:t>
            </w:r>
          </w:p>
        </w:tc>
        <w:tc>
          <w:tcPr>
            <w:tcW w:w="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6"/>
              </w:rPr>
              <w:t>North</w:t>
            </w: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w w:val="94"/>
              </w:rPr>
              <w:t>D.C., metro area and Virginia. CCM</w:t>
            </w:r>
          </w:p>
        </w:tc>
        <w:tc>
          <w:tcPr>
            <w:tcW w:w="0" w:type="dxa"/>
            <w:vAlign w:val="bottom"/>
          </w:tcPr>
          <w:p>
            <w:pPr>
              <w:spacing w:after="0"/>
              <w:rPr>
                <w:sz w:val="1"/>
                <w:szCs w:val="1"/>
                <w:color w:val="auto"/>
              </w:rPr>
            </w:pPr>
          </w:p>
        </w:tc>
      </w:tr>
      <w:tr>
        <w:trPr>
          <w:trHeight w:val="122"/>
        </w:trPr>
        <w:tc>
          <w:tcPr>
            <w:tcW w:w="22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$205 assumed liability</w:t>
            </w:r>
          </w:p>
        </w:tc>
        <w:tc>
          <w:tcPr>
            <w:tcW w:w="14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w w:val="98"/>
              </w:rPr>
              <w:t>had approximately $16.6 million in</w:t>
            </w:r>
          </w:p>
        </w:tc>
        <w:tc>
          <w:tcPr>
            <w:tcW w:w="0" w:type="dxa"/>
            <w:vAlign w:val="bottom"/>
          </w:tcPr>
          <w:p>
            <w:pPr>
              <w:spacing w:after="0"/>
              <w:rPr>
                <w:sz w:val="1"/>
                <w:szCs w:val="1"/>
                <w:color w:val="auto"/>
              </w:rPr>
            </w:pPr>
          </w:p>
        </w:tc>
      </w:tr>
      <w:tr>
        <w:trPr>
          <w:trHeight w:val="131"/>
        </w:trPr>
        <w:tc>
          <w:tcPr>
            <w:tcW w:w="2200" w:type="dxa"/>
            <w:vAlign w:val="bottom"/>
            <w:tcBorders>
              <w:left w:val="single" w:sz="8" w:color="auto"/>
              <w:bottom w:val="single" w:sz="8" w:color="auto"/>
              <w:right w:val="single" w:sz="8" w:color="auto"/>
            </w:tcBorders>
          </w:tcPr>
          <w:p>
            <w:pPr>
              <w:spacing w:after="0"/>
              <w:rPr>
                <w:sz w:val="11"/>
                <w:szCs w:val="11"/>
                <w:color w:val="auto"/>
              </w:rPr>
            </w:pPr>
          </w:p>
        </w:tc>
        <w:tc>
          <w:tcPr>
            <w:tcW w:w="122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50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annual sales.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right="140" w:firstLine="648"/>
        <w:spacing w:after="0" w:line="259"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2017, excluding idX, Ubeeco, Quality, and Robbins. Initial estimates have been made for idX, Ubeeco, Quality, and Robbins’ identifiable intangible and goodwill allocations and deferred tax which will be completed in 2017.</w:t>
      </w:r>
    </w:p>
    <w:p>
      <w:pPr>
        <w:spacing w:after="0" w:line="183" w:lineRule="exact"/>
        <w:rPr>
          <w:sz w:val="20"/>
          <w:szCs w:val="20"/>
          <w:color w:val="auto"/>
        </w:rPr>
      </w:pPr>
    </w:p>
    <w:p>
      <w:pPr>
        <w:ind w:left="500" w:hanging="497"/>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48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rFonts w:ascii="Arial" w:cs="Arial" w:eastAsia="Arial" w:hAnsi="Arial"/>
          <w:sz w:val="18"/>
          <w:szCs w:val="18"/>
          <w:b w:val="1"/>
          <w:bCs w:val="1"/>
          <w:color w:val="auto"/>
        </w:rPr>
      </w:pPr>
    </w:p>
    <w:p>
      <w:pPr>
        <w:ind w:left="48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and West divisions. The exceptions to this geographic reporting and management structure are (a) the Company’s Alternative Materials Division, which offers a portfolio of non-wood products and distributes those products nation-wide (b) the Company’s distribution unit (referred to as UFPD) which distributes a variety of products to the manufactured housing industry nation-wide and is accounted for as a reporting unit within the</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North segment, and (c) the idX division, which designs, produces, and installs customized in-store environments, for customers world-wide.</w:t>
      </w:r>
    </w:p>
    <w:p>
      <w:pPr>
        <w:spacing w:after="0" w:line="170" w:lineRule="exact"/>
        <w:rPr>
          <w:sz w:val="20"/>
          <w:szCs w:val="20"/>
          <w:color w:val="auto"/>
        </w:rPr>
      </w:pPr>
    </w:p>
    <w:p>
      <w:pPr>
        <w:ind w:left="480" w:right="100"/>
        <w:spacing w:after="0" w:line="264" w:lineRule="auto"/>
        <w:rPr>
          <w:sz w:val="20"/>
          <w:szCs w:val="20"/>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sz w:val="20"/>
          <w:szCs w:val="20"/>
          <w:color w:val="auto"/>
        </w:rPr>
      </w:pPr>
    </w:p>
    <w:p>
      <w:pPr>
        <w:jc w:val="both"/>
        <w:ind w:left="500" w:right="280"/>
        <w:spacing w:after="0" w:line="264" w:lineRule="auto"/>
        <w:rPr>
          <w:sz w:val="20"/>
          <w:szCs w:val="20"/>
          <w:color w:val="auto"/>
        </w:rPr>
      </w:pPr>
      <w:r>
        <w:rPr>
          <w:rFonts w:ascii="Arial" w:cs="Arial" w:eastAsia="Arial" w:hAnsi="Arial"/>
          <w:sz w:val="18"/>
          <w:szCs w:val="18"/>
          <w:color w:val="auto"/>
        </w:rPr>
        <w:t>Our Alternative Materials, International and recently acquired idX division, have been included in the “All Other” column of the table below. The “Corporate” column includes unallocated administrative costs and certain incentive compensation expense.</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5"/>
              </w:rPr>
              <w:t>Three Months Ended April 1, 2017</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6"/>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North</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South</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West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227,920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188,743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$ 319,161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$ 110,306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$ 846,130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17,278</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21,833</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20,006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75,288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33,821</w:t>
            </w:r>
          </w:p>
        </w:tc>
      </w:tr>
      <w:tr>
        <w:trPr>
          <w:trHeight w:val="385"/>
        </w:trPr>
        <w:tc>
          <w:tcPr>
            <w:tcW w:w="3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3"/>
          </w:tcPr>
          <w:p>
            <w:pPr>
              <w:jc w:val="center"/>
              <w:ind w:left="356"/>
              <w:spacing w:after="0"/>
              <w:rPr>
                <w:sz w:val="20"/>
                <w:szCs w:val="20"/>
                <w:color w:val="auto"/>
              </w:rPr>
            </w:pPr>
            <w:r>
              <w:rPr>
                <w:rFonts w:ascii="Arial" w:cs="Arial" w:eastAsia="Arial" w:hAnsi="Arial"/>
                <w:sz w:val="14"/>
                <w:szCs w:val="14"/>
                <w:b w:val="1"/>
                <w:bCs w:val="1"/>
                <w:color w:val="auto"/>
                <w:w w:val="95"/>
              </w:rPr>
              <w:t>Three Months Ended March 26, 2016</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6"/>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North</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South</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West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202,725</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165,099</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$ 277,588</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$ 36,739</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$ 682,151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9,190</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22,256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5,450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50,010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12,136</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17,320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31,911</w:t>
            </w:r>
          </w:p>
        </w:tc>
      </w:tr>
    </w:tbl>
    <w:p>
      <w:pPr>
        <w:spacing w:after="0" w:line="200" w:lineRule="exact"/>
        <w:rPr>
          <w:sz w:val="20"/>
          <w:szCs w:val="20"/>
          <w:color w:val="auto"/>
        </w:rPr>
      </w:pPr>
    </w:p>
    <w:p>
      <w:pPr>
        <w:spacing w:after="0" w:line="241" w:lineRule="exact"/>
        <w:rPr>
          <w:sz w:val="20"/>
          <w:szCs w:val="20"/>
          <w:color w:val="auto"/>
        </w:rPr>
      </w:pPr>
    </w:p>
    <w:p>
      <w:pPr>
        <w:ind w:left="500" w:hanging="497"/>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00" w:right="360" w:firstLine="648"/>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33.2% in the first quarter of 2017 compared to 34.7% for same period of 2016, primarily due to recording a tax deduction for certain share-based compensation and fees at fair market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first quarter of 2017 were impacted by the following:</w:t>
      </w:r>
    </w:p>
    <w:p>
      <w:pPr>
        <w:spacing w:after="0" w:line="225" w:lineRule="exact"/>
        <w:rPr>
          <w:sz w:val="20"/>
          <w:szCs w:val="20"/>
          <w:color w:val="auto"/>
        </w:rPr>
      </w:pPr>
    </w:p>
    <w:p>
      <w:pPr>
        <w:ind w:left="580" w:right="20" w:hanging="91"/>
        <w:spacing w:after="0" w:line="255"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gross sales increased by 23% compared to the first quarter of 2016, which was comprised of a 17% increase in unit sales and a 6% increase in selling prices primarily due to the commodity lumber market (see Historical Lumber Prices below). Acquired operations contributed 12% to our unit sales growth. Our 5% organic growth rate was primarily driven by our sales to “big box” retail, residential construction, and manufactured housing customers, offset by a decline in sales to certain independent retail customers primarily due to inclement weather in certain regions of the country in the first quarter of 2017.</w:t>
      </w:r>
    </w:p>
    <w:p>
      <w:pPr>
        <w:spacing w:after="0" w:line="193" w:lineRule="exact"/>
        <w:rPr>
          <w:rFonts w:ascii="Arial" w:cs="Arial" w:eastAsia="Arial" w:hAnsi="Arial"/>
          <w:sz w:val="18"/>
          <w:szCs w:val="18"/>
          <w:color w:val="auto"/>
        </w:rPr>
      </w:pPr>
    </w:p>
    <w:p>
      <w:pPr>
        <w:ind w:left="580" w:right="60" w:hanging="91"/>
        <w:spacing w:after="0" w:line="297"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operating profits increased by 6%, which compares unfavorably with our 17% increase in unit sales. The shortfall in our profit growth was primarily due to the impact of acquired operations which contributed unit sales growth without a commensurate increase in operating profits resulting from the seasonality of sales, whereby first quarter sales are significantly lower than other quarters for these operations, and amount of fixed selling, general and administrative costs. Consequently, we do not currently anticipate this trend to continue in future quarters.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7200"/>
        <w:spacing w:after="0"/>
        <w:rPr>
          <w:sz w:val="20"/>
          <w:szCs w:val="20"/>
          <w:color w:val="auto"/>
        </w:rPr>
      </w:pPr>
      <w:r>
        <w:rPr>
          <w:rFonts w:ascii="Arial" w:cs="Arial" w:eastAsia="Arial" w:hAnsi="Arial"/>
          <w:sz w:val="13"/>
          <w:szCs w:val="13"/>
          <w:b w:val="1"/>
          <w:bCs w:val="1"/>
          <w:color w:val="auto"/>
        </w:rPr>
        <w:t>Random Lengths Composite</w:t>
      </w:r>
    </w:p>
    <w:p>
      <w:pPr>
        <w:spacing w:after="0" w:line="9"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Average $/MBF</w:t>
      </w: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February</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comprises approximately 44% and 41% of total lumber purchases through the first three months of 2017 and 2016, respectively.</w:t>
      </w:r>
    </w:p>
    <w:p>
      <w:pPr>
        <w:spacing w:after="0" w:line="186"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Random Lengths SYP</w:t>
      </w:r>
    </w:p>
    <w:p>
      <w:pPr>
        <w:jc w:val="center"/>
        <w:ind w:left="716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February</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8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52.1% and 49.9% of our sales in the first three months of 2017 and 2016, respectively.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580" w:right="20" w:hanging="91"/>
        <w:spacing w:after="0" w:line="276"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20" w:right="600"/>
        <w:spacing w:after="0" w:line="342" w:lineRule="auto"/>
        <w:rPr>
          <w:sz w:val="20"/>
          <w:szCs w:val="20"/>
          <w:color w:val="auto"/>
        </w:rPr>
      </w:pPr>
      <w:r>
        <w:rPr>
          <w:rFonts w:ascii="Arial" w:cs="Arial" w:eastAsia="Arial" w:hAnsi="Arial"/>
          <w:sz w:val="16"/>
          <w:szCs w:val="16"/>
          <w:color w:val="auto"/>
        </w:rPr>
        <w:t>attempt to lock in costs with our suppliers for these sales commitments. Also, the time period and quantity limitations eventually allow us to re-price our products for changes in lumber costs from our suppliers.</w:t>
      </w:r>
    </w:p>
    <w:p>
      <w:pPr>
        <w:spacing w:after="0" w:line="124" w:lineRule="exact"/>
        <w:rPr>
          <w:sz w:val="20"/>
          <w:szCs w:val="20"/>
          <w:color w:val="auto"/>
        </w:rPr>
      </w:pPr>
    </w:p>
    <w:p>
      <w:pPr>
        <w:ind w:left="580" w:right="60" w:hanging="91"/>
        <w:spacing w:after="0" w:line="25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profits.</w:t>
      </w:r>
      <w:r>
        <w:rPr>
          <w:rFonts w:ascii="Arial" w:cs="Arial" w:eastAsia="Arial" w:hAnsi="Arial"/>
          <w:sz w:val="18"/>
          <w:szCs w:val="18"/>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580" w:right="40" w:hanging="91"/>
        <w:spacing w:after="0" w:line="218" w:lineRule="exact"/>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Products with significant inventory levels with low turnover rates, whose selling prices are indexed to the Lumber Market.</w:t>
      </w:r>
      <w:r>
        <w:rPr>
          <w:rFonts w:ascii="Arial" w:cs="Arial" w:eastAsia="Arial" w:hAnsi="Arial"/>
          <w:sz w:val="16"/>
          <w:szCs w:val="16"/>
          <w:color w:val="auto"/>
        </w:rPr>
        <w:t xml:space="preserve"> In other words, the longer the period of time these products remain in inventory, the greater the exposure to changes in the price of lumber. This would include treated lumber, which comprises approximately 18%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6"/>
          <w:szCs w:val="16"/>
          <w:i w:val="1"/>
          <w:iCs w:val="1"/>
          <w:color w:val="auto"/>
        </w:rPr>
        <w:t>Please refer to the “Risk Factors” section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annual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K, filed with the United States Securities and Exchange Commission.</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580" w:right="260" w:hanging="91"/>
        <w:spacing w:after="0" w:line="34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w:t>
      </w:r>
    </w:p>
    <w:p>
      <w:pPr>
        <w:spacing w:after="0" w:line="12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9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completed two business acquisitions during the first three months of 2017 and six during all of 2016. The annual historical sales attributable to acquisitions completed in 2017 and 2016 was approximately $116.0 million and $361.6 million, respectively. These business combinations were not significant to our quarterly or year-to-date operating results individually or in aggregate and thus pro forma results for 2017 or 2016 are not presented.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r>
      <w:tr>
        <w:trPr>
          <w:trHeight w:val="126"/>
        </w:trPr>
        <w:tc>
          <w:tcPr>
            <w:tcW w:w="7100" w:type="dxa"/>
            <w:vAlign w:val="bottom"/>
          </w:tcPr>
          <w:p>
            <w:pPr>
              <w:spacing w:after="0"/>
              <w:rPr>
                <w:sz w:val="10"/>
                <w:szCs w:val="10"/>
                <w:color w:val="auto"/>
              </w:rPr>
            </w:pPr>
          </w:p>
        </w:tc>
        <w:tc>
          <w:tcPr>
            <w:tcW w:w="780" w:type="dxa"/>
            <w:vAlign w:val="bottom"/>
          </w:tcPr>
          <w:p>
            <w:pPr>
              <w:jc w:val="right"/>
              <w:ind w:right="74"/>
              <w:spacing w:after="0" w:line="126" w:lineRule="exact"/>
              <w:rPr>
                <w:sz w:val="20"/>
                <w:szCs w:val="20"/>
                <w:color w:val="auto"/>
              </w:rPr>
            </w:pPr>
            <w:r>
              <w:rPr>
                <w:rFonts w:ascii="Arial" w:cs="Arial" w:eastAsia="Arial" w:hAnsi="Arial"/>
                <w:sz w:val="14"/>
                <w:szCs w:val="14"/>
                <w:b w:val="1"/>
                <w:bCs w:val="1"/>
                <w:color w:val="auto"/>
              </w:rPr>
              <w:t>April 1,</w:t>
            </w:r>
          </w:p>
        </w:tc>
        <w:tc>
          <w:tcPr>
            <w:tcW w:w="24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March 26,</w:t>
            </w:r>
          </w:p>
        </w:tc>
        <w:tc>
          <w:tcPr>
            <w:tcW w:w="160" w:type="dxa"/>
            <w:vAlign w:val="bottom"/>
          </w:tcPr>
          <w:p>
            <w:pPr>
              <w:spacing w:after="0"/>
              <w:rPr>
                <w:sz w:val="10"/>
                <w:szCs w:val="10"/>
                <w:color w:val="auto"/>
              </w:rPr>
            </w:pPr>
          </w:p>
        </w:tc>
      </w:tr>
      <w:tr>
        <w:trPr>
          <w:trHeight w:val="178"/>
        </w:trPr>
        <w:tc>
          <w:tcPr>
            <w:tcW w:w="7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Borders>
              <w:bottom w:val="single" w:sz="8" w:color="CCEEFF"/>
            </w:tcBorders>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 (income), net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19"/>
                <w:szCs w:val="19"/>
                <w:color w:val="auto"/>
              </w:rPr>
            </w:pP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controlling interest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4" w:lineRule="exact"/>
        <w:rPr>
          <w:sz w:val="20"/>
          <w:szCs w:val="20"/>
          <w:color w:val="auto"/>
        </w:rPr>
      </w:pPr>
    </w:p>
    <w:p>
      <w:pPr>
        <w:ind w:left="580" w:right="60" w:hanging="91"/>
        <w:spacing w:after="0" w:line="25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 Expanding geographically in our core businesses, domestically and internationally.</w:t>
      </w:r>
    </w:p>
    <w:p>
      <w:pPr>
        <w:spacing w:after="0" w:line="191" w:lineRule="exact"/>
        <w:rPr>
          <w:rFonts w:ascii="Arial" w:cs="Arial" w:eastAsia="Arial" w:hAnsi="Arial"/>
          <w:sz w:val="18"/>
          <w:szCs w:val="18"/>
          <w:color w:val="auto"/>
        </w:rPr>
      </w:pPr>
    </w:p>
    <w:p>
      <w:pPr>
        <w:ind w:left="580" w:hanging="91"/>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580" w:right="200" w:hanging="91"/>
        <w:spacing w:after="0" w:line="286" w:lineRule="auto"/>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20" w:right="160"/>
        <w:spacing w:after="0" w:line="286" w:lineRule="auto"/>
        <w:rPr>
          <w:sz w:val="20"/>
          <w:szCs w:val="20"/>
          <w:color w:val="auto"/>
        </w:rPr>
      </w:pPr>
      <w:r>
        <w:rPr>
          <w:rFonts w:ascii="Arial" w:cs="Arial" w:eastAsia="Arial" w:hAnsi="Arial"/>
          <w:sz w:val="17"/>
          <w:szCs w:val="17"/>
          <w:color w:val="auto"/>
        </w:rPr>
        <w:t>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66" w:lineRule="exact"/>
        <w:rPr>
          <w:sz w:val="20"/>
          <w:szCs w:val="20"/>
          <w:color w:val="auto"/>
        </w:rPr>
      </w:pPr>
    </w:p>
    <w:p>
      <w:pPr>
        <w:ind w:left="600" w:hanging="111"/>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ind w:left="580" w:right="140" w:hanging="91"/>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new products and expanding our product offering for existing customers. New product sales were $74.6 million in the first quarter of 2017 compared to $64.7 million during the first quarter of 2016.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New Product Sales</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96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right"/>
              <w:ind w:right="396"/>
              <w:spacing w:after="0" w:line="126"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ind w:left="300"/>
              <w:spacing w:after="0" w:line="126" w:lineRule="exact"/>
              <w:rPr>
                <w:sz w:val="20"/>
                <w:szCs w:val="20"/>
                <w:color w:val="auto"/>
              </w:rPr>
            </w:pPr>
            <w:r>
              <w:rPr>
                <w:rFonts w:ascii="Arial" w:cs="Arial" w:eastAsia="Arial" w:hAnsi="Arial"/>
                <w:sz w:val="14"/>
                <w:szCs w:val="14"/>
                <w:b w:val="1"/>
                <w:bCs w:val="1"/>
                <w:color w:val="auto"/>
              </w:rPr>
              <w:t>March 26,</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39,438</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34,096</w:t>
            </w:r>
          </w:p>
        </w:tc>
        <w:tc>
          <w:tcPr>
            <w:tcW w:w="3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19,529</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74,556</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64,652</w:t>
            </w:r>
          </w:p>
        </w:tc>
        <w:tc>
          <w:tcPr>
            <w:tcW w:w="360" w:type="dxa"/>
            <w:vAlign w:val="bottom"/>
          </w:tcPr>
          <w:p>
            <w:pPr>
              <w:spacing w:after="0"/>
              <w:rPr>
                <w:sz w:val="18"/>
                <w:szCs w:val="18"/>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00" w:right="26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5"/>
                <w:szCs w:val="15"/>
                <w:color w:val="auto"/>
              </w:rPr>
            </w:pPr>
          </w:p>
        </w:tc>
        <w:tc>
          <w:tcPr>
            <w:tcW w:w="19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880" w:type="dxa"/>
            <w:vAlign w:val="bottom"/>
            <w:gridSpan w:val="2"/>
            <w:vMerge w:val="continue"/>
          </w:tcPr>
          <w:p>
            <w:pPr>
              <w:spacing w:after="0"/>
              <w:rPr>
                <w:sz w:val="10"/>
                <w:szCs w:val="10"/>
                <w:color w:val="auto"/>
              </w:rPr>
            </w:pPr>
          </w:p>
        </w:tc>
        <w:tc>
          <w:tcPr>
            <w:tcW w:w="2560" w:type="dxa"/>
            <w:vAlign w:val="bottom"/>
          </w:tcPr>
          <w:p>
            <w:pPr>
              <w:spacing w:after="0"/>
              <w:rPr>
                <w:sz w:val="10"/>
                <w:szCs w:val="10"/>
                <w:color w:val="auto"/>
              </w:rPr>
            </w:pPr>
          </w:p>
        </w:tc>
        <w:tc>
          <w:tcPr>
            <w:tcW w:w="98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0"/>
                <w:szCs w:val="10"/>
                <w:color w:val="auto"/>
              </w:rPr>
            </w:pPr>
          </w:p>
        </w:tc>
        <w:tc>
          <w:tcPr>
            <w:tcW w:w="96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March 26,</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5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$ 311,750</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$ 271,258</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277,242</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201,649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267,817</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220,957</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5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856,809</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693,864</w:t>
            </w:r>
          </w:p>
        </w:tc>
        <w:tc>
          <w:tcPr>
            <w:tcW w:w="20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5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56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$ 846,130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$ 682,151</w:t>
            </w:r>
          </w:p>
        </w:tc>
        <w:tc>
          <w:tcPr>
            <w:tcW w:w="200" w:type="dxa"/>
            <w:vAlign w:val="bottom"/>
          </w:tcPr>
          <w:p>
            <w:pPr>
              <w:spacing w:after="0"/>
              <w:rPr>
                <w:sz w:val="18"/>
                <w:szCs w:val="18"/>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2017, certain customers were reclassified to a different market. Prior year information has been restated to reflect these changes.</w:t>
      </w:r>
    </w:p>
    <w:p>
      <w:pPr>
        <w:spacing w:after="0" w:line="22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Gross sales in the first quarter of 2017 increased over 23% compared to the same period of 2016, due to a 17% increase in unit sales and a 6% increase in selling prices primarily due to the Lumber Market. Acquired operations contributed 12% to our unit sales growth and our organic unit sales growth was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Gross sales to the retail market increased almost 15% in the first quarter of 2017 compared to the same period of 2016, due to a 9% increase in unit sales and a 6% increase in selling prices. Within this market, sales to our big box customers increased 19% and sales to other independent retailers increased almost 9%. Businesses we acquired contributed 7% to our growth in unit sales primarily to independent retail customers. Our growth in sales to these customers was adversely impacted by inclement weather in certain regions of the country in the first quarter of 2017.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Gross sales to the industrial market increased over 37% in the first quarter of 2017 compared to the same period of 2016, resulting from a 33% increase in unit sales and a 4% increase in selling prices. Businesses we acquired contributed 29% to our growth in unit sales. Our organic growth in unit sales of 4% was primarily achieved by increasing the number of locations we serve of existing customers and a small improvement in demand from these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sales to the construction market increased almost 21% in the first quarter of 2017 compared to 2016. The increase was due to a 13% increase in unit sales and an 8% increase in our selling prices. Our increase in unit sales was driven by a 14% increase to manufactured housing customers, a 5% increase to commercial construction customers, and a 16% increase to residential construction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580" w:right="240" w:hanging="91"/>
        <w:spacing w:after="0" w:line="25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of HUD-code manufactured homes in January through February 2017, the most recent period reported, was up 26.3% compared to the same period of 2016.</w:t>
      </w:r>
    </w:p>
    <w:p>
      <w:pPr>
        <w:spacing w:after="0" w:line="1" w:lineRule="exact"/>
        <w:rPr>
          <w:rFonts w:ascii="Arial" w:cs="Arial" w:eastAsia="Arial" w:hAnsi="Arial"/>
          <w:sz w:val="18"/>
          <w:szCs w:val="18"/>
          <w:color w:val="auto"/>
        </w:rPr>
      </w:pPr>
    </w:p>
    <w:p>
      <w:pPr>
        <w:ind w:left="580" w:hanging="91"/>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Modular home shipments decreased by 10.3% in the fourth quarter of 2016, the most recent period reported.</w:t>
      </w:r>
    </w:p>
    <w:p>
      <w:pPr>
        <w:spacing w:after="0" w:line="20" w:lineRule="exact"/>
        <w:rPr>
          <w:rFonts w:ascii="Arial" w:cs="Arial" w:eastAsia="Arial" w:hAnsi="Arial"/>
          <w:sz w:val="17"/>
          <w:szCs w:val="17"/>
          <w:color w:val="auto"/>
        </w:rPr>
      </w:pPr>
    </w:p>
    <w:p>
      <w:pPr>
        <w:ind w:left="580" w:right="120" w:hanging="91"/>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Non-residential construction activity in January and February increased approximately 11.7% compared to the same period of 2016.</w:t>
      </w:r>
    </w:p>
    <w:p>
      <w:pPr>
        <w:ind w:left="580" w:right="20" w:hanging="91"/>
        <w:spacing w:after="0" w:line="26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housing starts increased approximately 7.0% in the period from December 2016 through February 2017 (our sales trail housing starts by about a month) compared to the same period of 2016.</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tcPr>
          <w:p>
            <w:pPr>
              <w:spacing w:after="0"/>
              <w:rPr>
                <w:sz w:val="15"/>
                <w:szCs w:val="15"/>
                <w:color w:val="auto"/>
              </w:rPr>
            </w:pPr>
          </w:p>
        </w:tc>
        <w:tc>
          <w:tcPr>
            <w:tcW w:w="196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7100" w:type="dxa"/>
            <w:vAlign w:val="bottom"/>
          </w:tcPr>
          <w:p>
            <w:pPr>
              <w:spacing w:after="0"/>
              <w:rPr>
                <w:sz w:val="10"/>
                <w:szCs w:val="10"/>
                <w:color w:val="auto"/>
              </w:rPr>
            </w:pPr>
          </w:p>
        </w:tc>
        <w:tc>
          <w:tcPr>
            <w:tcW w:w="1020" w:type="dxa"/>
            <w:vAlign w:val="bottom"/>
            <w:tcBorders>
              <w:top w:val="single" w:sz="8" w:color="auto"/>
            </w:tcBorders>
            <w:gridSpan w:val="2"/>
          </w:tcPr>
          <w:p>
            <w:pPr>
              <w:jc w:val="right"/>
              <w:ind w:right="310"/>
              <w:spacing w:after="0" w:line="126" w:lineRule="exact"/>
              <w:rPr>
                <w:sz w:val="20"/>
                <w:szCs w:val="20"/>
                <w:color w:val="auto"/>
              </w:rPr>
            </w:pPr>
            <w:r>
              <w:rPr>
                <w:rFonts w:ascii="Arial" w:cs="Arial" w:eastAsia="Arial" w:hAnsi="Arial"/>
                <w:sz w:val="14"/>
                <w:szCs w:val="14"/>
                <w:b w:val="1"/>
                <w:bCs w:val="1"/>
                <w:color w:val="auto"/>
              </w:rPr>
              <w:t>April 1,</w:t>
            </w:r>
          </w:p>
        </w:tc>
        <w:tc>
          <w:tcPr>
            <w:tcW w:w="7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March 26,</w:t>
            </w:r>
          </w:p>
        </w:tc>
        <w:tc>
          <w:tcPr>
            <w:tcW w:w="160" w:type="dxa"/>
            <w:vAlign w:val="bottom"/>
          </w:tcPr>
          <w:p>
            <w:pPr>
              <w:spacing w:after="0"/>
              <w:rPr>
                <w:sz w:val="10"/>
                <w:szCs w:val="10"/>
                <w:color w:val="auto"/>
              </w:rPr>
            </w:pPr>
          </w:p>
        </w:tc>
      </w:tr>
      <w:tr>
        <w:trPr>
          <w:trHeight w:val="178"/>
        </w:trPr>
        <w:tc>
          <w:tcPr>
            <w:tcW w:w="7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Commodity-Based</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37.3 %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39.0 %</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Our gross margin decreased to 14.3% from 15.1% comparing the first quarter of 2017 to the same period of 2016 due to the higher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year over year lumber prices comparing the first quarter of 2017 with the first quarter of 2016.</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Our gross profit dollars increased by $18.0 million, or 17.5%, which compares favorably with our 17% increase in unit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gross profit dollars was impacted by the following factors:</w:t>
      </w:r>
    </w:p>
    <w:p>
      <w:pPr>
        <w:spacing w:after="0" w:line="211" w:lineRule="exact"/>
        <w:rPr>
          <w:sz w:val="20"/>
          <w:szCs w:val="20"/>
          <w:color w:val="auto"/>
        </w:rPr>
      </w:pPr>
    </w:p>
    <w:p>
      <w:pPr>
        <w:ind w:left="580" w:right="160" w:hanging="91"/>
        <w:spacing w:after="0" w:line="288"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Almost $5 million of our gross profit increase was attributable to our unit sales growth and profitability improvements on sales to the retail market. Profit improvements resulted from favorable sales mix changes and the impact of higher trending lumber prices on products we sell with a variable price indexed to the lumber market.</w:t>
      </w:r>
    </w:p>
    <w:p>
      <w:pPr>
        <w:ind w:left="580" w:right="200" w:hanging="91"/>
        <w:spacing w:after="0" w:line="290"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growth in unit sales to the industrial market resulted in over $4 million improvement to our gross profit, which was primarily due to the businesses we acquired since March of 2016. The favorable impact 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20" w:right="240"/>
        <w:spacing w:after="0" w:line="258" w:lineRule="auto"/>
        <w:rPr>
          <w:sz w:val="20"/>
          <w:szCs w:val="20"/>
          <w:color w:val="auto"/>
        </w:rPr>
      </w:pPr>
      <w:r>
        <w:rPr>
          <w:rFonts w:ascii="Arial" w:cs="Arial" w:eastAsia="Arial" w:hAnsi="Arial"/>
          <w:sz w:val="18"/>
          <w:szCs w:val="18"/>
          <w:color w:val="auto"/>
        </w:rPr>
        <w:t>acquired operations was significantly offset by the impact of the higher cost of lumber on products we sell with fixed selling prices for a certain time period.</w:t>
      </w:r>
    </w:p>
    <w:p>
      <w:pPr>
        <w:spacing w:after="0" w:line="1" w:lineRule="exact"/>
        <w:rPr>
          <w:sz w:val="20"/>
          <w:szCs w:val="20"/>
          <w:color w:val="auto"/>
        </w:rPr>
      </w:pPr>
    </w:p>
    <w:p>
      <w:pPr>
        <w:ind w:left="580" w:hanging="91"/>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Almost $6 million of our gross profit increase was attributable to our unit sales growth to the construction market.</w:t>
      </w:r>
    </w:p>
    <w:p>
      <w:pPr>
        <w:spacing w:after="0" w:line="20" w:lineRule="exact"/>
        <w:rPr>
          <w:rFonts w:ascii="Arial" w:cs="Arial" w:eastAsia="Arial" w:hAnsi="Arial"/>
          <w:sz w:val="17"/>
          <w:szCs w:val="17"/>
          <w:color w:val="auto"/>
        </w:rPr>
      </w:pPr>
    </w:p>
    <w:p>
      <w:pPr>
        <w:ind w:left="580" w:hanging="91"/>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remaining increase was due to vendor rebate and sales allowance improvements.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Selling, general and administrative (“SG&amp;A”) expenses increased by approximately $16.1 million, or 22.7%, in the first quarter of 2017 compared to the same period of 2016, while we reported a 17% increase in unit sales. Acquired operations contributed approximately $13 million to our year over year increase. The remaining increase was primarily due to an increase in compensation and benefit costs and a foreign currency exchange loss.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“core” SG&amp;A expenses, excluding accrued bonus expense, were $78.8 million and $62.4 million, in the first quarters of 2017 and 2016, respectively, due to the factors discussed above. In the fourth quarter of 2016 our core SG&amp;A expense was approximately $77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Net interest costs were higher in the first quarter of 2017 compared to the same period of 2016 due to carrying a higher amount of debt and due to an increase in short-term borrowing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Effective tax rates differ from statutory federal income tax rates, primarily due to provisions for state and local income taxes and permanent tax differences. Our effective tax rate was 33.2% in the first quarter of 2017 compared to 34.7% for same period of 2016, primarily due to recording a tax deduction for certain share-based compensation and fees at fair market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for the periods indicated, our net sales and earnings from operations by reportable segment.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88"/>
              </w:rPr>
              <w:t>Net Sales</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Earnings from Operations</w:t>
            </w:r>
          </w:p>
        </w:tc>
        <w:tc>
          <w:tcPr>
            <w:tcW w:w="4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ind w:left="40"/>
              <w:spacing w:after="0" w:line="149" w:lineRule="exact"/>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6"/>
        </w:trPr>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90"/>
              <w:spacing w:after="0" w:line="126" w:lineRule="exact"/>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0"/>
                <w:szCs w:val="10"/>
                <w:color w:val="auto"/>
              </w:rPr>
            </w:pPr>
          </w:p>
        </w:tc>
        <w:tc>
          <w:tcPr>
            <w:tcW w:w="820" w:type="dxa"/>
            <w:vAlign w:val="bottom"/>
          </w:tcPr>
          <w:p>
            <w:pPr>
              <w:jc w:val="right"/>
              <w:ind w:right="19"/>
              <w:spacing w:after="0" w:line="126" w:lineRule="exact"/>
              <w:rPr>
                <w:sz w:val="20"/>
                <w:szCs w:val="20"/>
                <w:color w:val="auto"/>
              </w:rPr>
            </w:pPr>
            <w:r>
              <w:rPr>
                <w:rFonts w:ascii="Arial" w:cs="Arial" w:eastAsia="Arial" w:hAnsi="Arial"/>
                <w:sz w:val="14"/>
                <w:szCs w:val="14"/>
                <w:b w:val="1"/>
                <w:bCs w:val="1"/>
                <w:color w:val="auto"/>
              </w:rPr>
              <w:t>March 26,</w:t>
            </w:r>
          </w:p>
        </w:tc>
        <w:tc>
          <w:tcPr>
            <w:tcW w:w="960" w:type="dxa"/>
            <w:vAlign w:val="bottom"/>
            <w:gridSpan w:val="2"/>
          </w:tcPr>
          <w:p>
            <w:pPr>
              <w:jc w:val="right"/>
              <w:ind w:right="294"/>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520" w:type="dxa"/>
            <w:vAlign w:val="bottom"/>
          </w:tcPr>
          <w:p>
            <w:pPr>
              <w:jc w:val="right"/>
              <w:ind w:right="94"/>
              <w:spacing w:after="0" w:line="126"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ind w:right="36"/>
              <w:spacing w:after="0" w:line="126" w:lineRule="exact"/>
              <w:rPr>
                <w:sz w:val="20"/>
                <w:szCs w:val="20"/>
                <w:color w:val="auto"/>
              </w:rPr>
            </w:pPr>
            <w:r>
              <w:rPr>
                <w:rFonts w:ascii="Arial" w:cs="Arial" w:eastAsia="Arial" w:hAnsi="Arial"/>
                <w:sz w:val="14"/>
                <w:szCs w:val="14"/>
                <w:b w:val="1"/>
                <w:bCs w:val="1"/>
                <w:color w:val="auto"/>
              </w:rPr>
              <w:t>April 1,</w:t>
            </w:r>
          </w:p>
        </w:tc>
        <w:tc>
          <w:tcPr>
            <w:tcW w:w="160" w:type="dxa"/>
            <w:vAlign w:val="bottom"/>
          </w:tcPr>
          <w:p>
            <w:pPr>
              <w:spacing w:after="0"/>
              <w:rPr>
                <w:sz w:val="10"/>
                <w:szCs w:val="10"/>
                <w:color w:val="auto"/>
              </w:rPr>
            </w:pPr>
          </w:p>
        </w:tc>
        <w:tc>
          <w:tcPr>
            <w:tcW w:w="700" w:type="dxa"/>
            <w:vAlign w:val="bottom"/>
          </w:tcPr>
          <w:p>
            <w:pPr>
              <w:ind w:left="40"/>
              <w:spacing w:after="0" w:line="126" w:lineRule="exact"/>
              <w:rPr>
                <w:sz w:val="20"/>
                <w:szCs w:val="20"/>
                <w:color w:val="auto"/>
              </w:rPr>
            </w:pPr>
            <w:r>
              <w:rPr>
                <w:rFonts w:ascii="Arial" w:cs="Arial" w:eastAsia="Arial" w:hAnsi="Arial"/>
                <w:sz w:val="14"/>
                <w:szCs w:val="14"/>
                <w:b w:val="1"/>
                <w:bCs w:val="1"/>
                <w:color w:val="auto"/>
                <w:w w:val="99"/>
              </w:rPr>
              <w:t>March 26,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25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480" w:type="dxa"/>
            <w:vAlign w:val="bottom"/>
          </w:tcPr>
          <w:p>
            <w:pPr>
              <w:jc w:val="right"/>
              <w:ind w:right="7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r>
      <w:tr>
        <w:trPr>
          <w:trHeight w:val="178"/>
        </w:trPr>
        <w:tc>
          <w:tcPr>
            <w:tcW w:w="20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9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7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8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5"/>
                <w:szCs w:val="15"/>
                <w:color w:val="auto"/>
              </w:rPr>
            </w:pPr>
          </w:p>
        </w:tc>
      </w:tr>
      <w:tr>
        <w:trPr>
          <w:trHeight w:val="216"/>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227,920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$ 202,725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25,195</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9,978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9,289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South</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188,743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165,099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23,644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87"/>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(11.9)%</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319,161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41,573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110,306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36,739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73,567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200.2</w:t>
            </w:r>
          </w:p>
        </w:tc>
        <w:tc>
          <w:tcPr>
            <w:tcW w:w="2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87"/>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(76.4)%</w:t>
            </w:r>
          </w:p>
        </w:tc>
      </w:tr>
      <w:tr>
        <w:trPr>
          <w:trHeight w:val="23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tcBorders>
              <w:right w:val="single" w:sz="8" w:color="auto"/>
            </w:tcBorders>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38.7 %</w:t>
            </w:r>
          </w:p>
        </w:tc>
      </w:tr>
      <w:tr>
        <w:trPr>
          <w:trHeight w:val="210"/>
        </w:trPr>
        <w:tc>
          <w:tcPr>
            <w:tcW w:w="2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5"/>
              </w:rPr>
              <w:t>846,130</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$ 682,151</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$ 163,979</w:t>
            </w: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24.0</w:t>
            </w:r>
          </w:p>
        </w:tc>
        <w:tc>
          <w:tcPr>
            <w:tcW w:w="260" w:type="dxa"/>
            <w:vAlign w:val="bottom"/>
            <w:tcBorders>
              <w:top w:val="single" w:sz="8" w:color="CCEEFF"/>
              <w:right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$ 33,821</w:t>
            </w: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$ 31,911</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1,910</w:t>
            </w:r>
          </w:p>
        </w:tc>
        <w:tc>
          <w:tcPr>
            <w:tcW w:w="1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108"/>
        </w:trPr>
        <w:tc>
          <w:tcPr>
            <w:tcW w:w="2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4" w:lineRule="exact"/>
        <w:rPr>
          <w:sz w:val="20"/>
          <w:szCs w:val="20"/>
          <w:color w:val="auto"/>
        </w:rPr>
      </w:pPr>
    </w:p>
    <w:p>
      <w:pPr>
        <w:ind w:left="260" w:hanging="257"/>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primarily represents over (under) allocated administrative costs and accrued bonus expense.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8"/>
              </w:rPr>
              <w:t>Net Sales</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7"/>
          </w:tcPr>
          <w:p>
            <w:pPr>
              <w:jc w:val="center"/>
              <w:ind w:right="33"/>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0" w:type="dxa"/>
            <w:vAlign w:val="bottom"/>
          </w:tcPr>
          <w:p>
            <w:pPr>
              <w:spacing w:after="0"/>
              <w:rPr>
                <w:sz w:val="1"/>
                <w:szCs w:val="1"/>
                <w:color w:val="auto"/>
              </w:rPr>
            </w:pPr>
          </w:p>
        </w:tc>
      </w:tr>
      <w:tr>
        <w:trPr>
          <w:trHeight w:val="156"/>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6"/>
          </w:tcPr>
          <w:p>
            <w:pPr>
              <w:jc w:val="center"/>
              <w:ind w:left="477"/>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4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March 26,</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86,944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85,044</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28,616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112,795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92,391</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03"/>
        </w:trPr>
        <w:tc>
          <w:tcPr>
            <w:tcW w:w="384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2"/>
              </w:rPr>
              <w:t>232,125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206,051</w:t>
            </w:r>
          </w:p>
        </w:tc>
        <w:tc>
          <w:tcPr>
            <w:tcW w:w="1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6"/>
        </w:trPr>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0"/>
        </w:trPr>
        <w:tc>
          <w:tcPr>
            <w:tcW w:w="384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227,920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202,725</w:t>
            </w:r>
          </w:p>
        </w:tc>
        <w:tc>
          <w:tcPr>
            <w:tcW w:w="180" w:type="dxa"/>
            <w:vAlign w:val="bottom"/>
          </w:tcPr>
          <w:p>
            <w:pPr>
              <w:spacing w:after="0"/>
              <w:rPr>
                <w:sz w:val="18"/>
                <w:szCs w:val="18"/>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Net sales attributable to the North reportable segment increased in the first quarter of 2017 compared to 2016 primarily due to an increase in sales to the construction and industrial markets. Our sales to the construction market increased due to the same factors previously discussed. Acquired operations contributed $3.1 million to our industrial sales increase.</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Earnings from operations for the North reportable segment increased in the first quarter of 2017 by $0.7 million, or 7.4%, due to an increase in gross profit of $2.5 million offset by a $1.8 million increase in SG&amp;A expenses compared to last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53"/>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20" w:type="dxa"/>
            <w:vAlign w:val="bottom"/>
            <w:gridSpan w:val="2"/>
            <w:vMerge w:val="continue"/>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0"/>
                <w:szCs w:val="10"/>
                <w:color w:val="auto"/>
              </w:rPr>
            </w:pPr>
          </w:p>
        </w:tc>
        <w:tc>
          <w:tcPr>
            <w:tcW w:w="7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rPr>
              <w:t>March 26,</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84,323</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72,277</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16.7</w:t>
            </w:r>
          </w:p>
        </w:tc>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59,419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47,085</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89"/>
              </w:rPr>
              <w:t>192,826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89"/>
              </w:rPr>
              <w:t>168,199</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4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188,743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165,099</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14.3</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sales attributable to the South reportable segment increased in the first quarter of 2017 compared to 2016 primarily due to an increase in sales to retail and construction customers. Our sales to the retail market increased primarily due to acquired operations which contributed $7.8 million of sales growth, as well as increased sales with “big box” customers. Our sales to the construction market increased primarily due to increased industry production of manufactured homes.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Earnings from operations for the South reportable segment decreased in the first quarter of 2017 by $1.4 million, or 11.9%, due to a decrease in gross profit of $1.1 million and an increase of $0.3 million in SG&amp;A expenses. The decrease in gross profit was primarily due to higher lumber costs relative to our fixed selling prices on products to the industrial market in the first three months of 2017.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8"/>
              </w:rPr>
              <w:t>Net Sales</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center"/>
              <w:ind w:left="477"/>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00" w:type="dxa"/>
            <w:vAlign w:val="bottom"/>
            <w:gridSpan w:val="2"/>
            <w:vMerge w:val="continue"/>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Arial" w:cs="Arial" w:eastAsia="Arial" w:hAnsi="Arial"/>
                <w:sz w:val="14"/>
                <w:szCs w:val="14"/>
                <w:b w:val="1"/>
                <w:bCs w:val="1"/>
                <w:color w:val="auto"/>
              </w:rPr>
              <w:t>March 26,</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98,848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85,136</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116,355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103,958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107,822</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92,065</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89"/>
              </w:rPr>
              <w:t>323,025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w w:val="92"/>
              </w:rPr>
              <w:t>281,159</w:t>
            </w:r>
          </w:p>
        </w:tc>
        <w:tc>
          <w:tcPr>
            <w:tcW w:w="2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14.9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2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80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4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319,161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277,588</w:t>
            </w:r>
          </w:p>
        </w:tc>
        <w:tc>
          <w:tcPr>
            <w:tcW w:w="200" w:type="dxa"/>
            <w:vAlign w:val="bottom"/>
          </w:tcPr>
          <w:p>
            <w:pPr>
              <w:spacing w:after="0"/>
              <w:rPr>
                <w:sz w:val="18"/>
                <w:szCs w:val="18"/>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15.0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sales attributable to the West reportable segment increased in the first quarter of 2017 compared to 2016 due to the following:</w:t>
      </w:r>
    </w:p>
    <w:p>
      <w:pPr>
        <w:spacing w:after="0" w:line="170" w:lineRule="exact"/>
        <w:rPr>
          <w:sz w:val="20"/>
          <w:szCs w:val="20"/>
          <w:color w:val="auto"/>
        </w:rPr>
      </w:pPr>
    </w:p>
    <w:p>
      <w:pPr>
        <w:ind w:left="640" w:hanging="31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lumber prices</w:t>
      </w:r>
    </w:p>
    <w:p>
      <w:pPr>
        <w:spacing w:after="0" w:line="117" w:lineRule="exact"/>
        <w:rPr>
          <w:rFonts w:ascii="Arial" w:cs="Arial" w:eastAsia="Arial" w:hAnsi="Arial"/>
          <w:sz w:val="18"/>
          <w:szCs w:val="18"/>
          <w:color w:val="auto"/>
        </w:rPr>
      </w:pPr>
    </w:p>
    <w:p>
      <w:pPr>
        <w:ind w:left="400" w:right="580" w:hanging="73"/>
        <w:spacing w:after="0" w:line="277" w:lineRule="auto"/>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contributed $2.1 million, $1.1 million, and $2.9 million in sales growth to the retail, industrial, and construction markets, respectively.</w:t>
      </w:r>
    </w:p>
    <w:p>
      <w:pPr>
        <w:spacing w:after="0" w:line="62" w:lineRule="exact"/>
        <w:rPr>
          <w:rFonts w:ascii="Arial" w:cs="Arial" w:eastAsia="Arial" w:hAnsi="Arial"/>
          <w:sz w:val="18"/>
          <w:szCs w:val="18"/>
          <w:color w:val="auto"/>
        </w:rPr>
      </w:pPr>
    </w:p>
    <w:p>
      <w:pPr>
        <w:ind w:left="440" w:hanging="113"/>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demand from our big box customers within our retail market</w:t>
      </w:r>
    </w:p>
    <w:p>
      <w:pPr>
        <w:spacing w:after="0" w:line="117" w:lineRule="exact"/>
        <w:rPr>
          <w:rFonts w:ascii="Arial" w:cs="Arial" w:eastAsia="Arial" w:hAnsi="Arial"/>
          <w:sz w:val="18"/>
          <w:szCs w:val="18"/>
          <w:color w:val="auto"/>
        </w:rPr>
      </w:pPr>
    </w:p>
    <w:p>
      <w:pPr>
        <w:ind w:left="420" w:hanging="93"/>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demand and market share gain within our industrial and construction markets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Earnings from operations for the West reportable segment increased in the first quarter of 2017 by $1.0 million, or 5.7%, compared to the same period in 2016 due to a $2.4 million increase in gross profit, offset by a $1.4 million increase in SG&amp;A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120" w:type="dxa"/>
            <w:vAlign w:val="bottom"/>
            <w:gridSpan w:val="2"/>
            <w:vMerge w:val="continue"/>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97"/>
              <w:spacing w:after="0" w:line="126" w:lineRule="exact"/>
              <w:rPr>
                <w:sz w:val="20"/>
                <w:szCs w:val="20"/>
                <w:color w:val="auto"/>
              </w:rPr>
            </w:pPr>
            <w:r>
              <w:rPr>
                <w:rFonts w:ascii="Arial" w:cs="Arial" w:eastAsia="Arial" w:hAnsi="Arial"/>
                <w:sz w:val="14"/>
                <w:szCs w:val="14"/>
                <w:b w:val="1"/>
                <w:bCs w:val="1"/>
                <w:color w:val="auto"/>
              </w:rPr>
              <w:t>April 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9"/>
              </w:rPr>
              <w:t>March 26,</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80" w:type="dxa"/>
            <w:vAlign w:val="bottom"/>
            <w:gridSpan w:val="2"/>
          </w:tcPr>
          <w:p>
            <w:pPr>
              <w:spacing w:after="0"/>
              <w:rPr>
                <w:sz w:val="16"/>
                <w:szCs w:val="16"/>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41,636</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$ 28,802</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w:t>
            </w:r>
          </w:p>
        </w:tc>
        <w:tc>
          <w:tcPr>
            <w:tcW w:w="1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67,083</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9,653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594.9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2"/>
              </w:rPr>
              <w:t>108,833</w:t>
            </w:r>
          </w:p>
        </w:tc>
        <w:tc>
          <w:tcPr>
            <w:tcW w:w="180" w:type="dxa"/>
            <w:vAlign w:val="bottom"/>
            <w:gridSpan w:val="2"/>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38,455</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183.0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2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110,306</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$ 36,739</w:t>
            </w:r>
          </w:p>
        </w:tc>
        <w:tc>
          <w:tcPr>
            <w:tcW w:w="8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200.2</w:t>
            </w: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sales attributable to All Other reportable segments increased in the first quarter of 2017 compared to 2016 due to:</w:t>
      </w:r>
    </w:p>
    <w:p>
      <w:pPr>
        <w:spacing w:after="0" w:line="237" w:lineRule="exact"/>
        <w:rPr>
          <w:sz w:val="20"/>
          <w:szCs w:val="20"/>
          <w:color w:val="auto"/>
        </w:rPr>
      </w:pPr>
    </w:p>
    <w:p>
      <w:pPr>
        <w:ind w:left="400" w:hanging="73"/>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$53.5 million increase in the industrial market from businesses we acquired since March of 2016</w:t>
      </w:r>
    </w:p>
    <w:p>
      <w:pPr>
        <w:spacing w:after="0" w:line="117" w:lineRule="exact"/>
        <w:rPr>
          <w:rFonts w:ascii="Arial" w:cs="Arial" w:eastAsia="Arial" w:hAnsi="Arial"/>
          <w:sz w:val="18"/>
          <w:szCs w:val="18"/>
          <w:color w:val="auto"/>
        </w:rPr>
      </w:pPr>
    </w:p>
    <w:p>
      <w:pPr>
        <w:ind w:left="440" w:hanging="113"/>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$9.4 million increase in sales within our International segment.</w:t>
      </w:r>
    </w:p>
    <w:p>
      <w:pPr>
        <w:spacing w:after="0" w:line="117" w:lineRule="exact"/>
        <w:rPr>
          <w:rFonts w:ascii="Arial" w:cs="Arial" w:eastAsia="Arial" w:hAnsi="Arial"/>
          <w:sz w:val="18"/>
          <w:szCs w:val="18"/>
          <w:color w:val="auto"/>
        </w:rPr>
      </w:pPr>
    </w:p>
    <w:p>
      <w:pPr>
        <w:ind w:left="420" w:hanging="93"/>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$4.4 million increase in sales by our Consumer Products reporting unit to the retail market.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Earnings from operations for All Other reportable segments decreased during the first quarter of 2017 by $2.0 million, or 76.4%, compared to the same period of 2016, primarily due to acquired operations. These businesses are seasonal and sales volume is significantly lower in the first quarter compared to other quarters. During the first three months of 2017, gross profit dollars increased $12.3 million, offset by an increase in SG&amp;A expenses of $14.3 million compared to the same period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5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155"/>
              <w:spacing w:after="0" w:line="126" w:lineRule="exact"/>
              <w:rPr>
                <w:sz w:val="20"/>
                <w:szCs w:val="20"/>
                <w:color w:val="auto"/>
              </w:rPr>
            </w:pPr>
            <w:r>
              <w:rPr>
                <w:rFonts w:ascii="Arial" w:cs="Arial" w:eastAsia="Arial" w:hAnsi="Arial"/>
                <w:sz w:val="14"/>
                <w:szCs w:val="14"/>
                <w:b w:val="1"/>
                <w:bCs w:val="1"/>
                <w:color w:val="auto"/>
              </w:rPr>
              <w:t>April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54"/>
              <w:spacing w:after="0" w:line="126" w:lineRule="exact"/>
              <w:rPr>
                <w:sz w:val="20"/>
                <w:szCs w:val="20"/>
                <w:color w:val="auto"/>
              </w:rPr>
            </w:pPr>
            <w:r>
              <w:rPr>
                <w:rFonts w:ascii="Arial" w:cs="Arial" w:eastAsia="Arial" w:hAnsi="Arial"/>
                <w:sz w:val="14"/>
                <w:szCs w:val="14"/>
                <w:b w:val="1"/>
                <w:bCs w:val="1"/>
                <w:color w:val="auto"/>
                <w:w w:val="95"/>
              </w:rPr>
              <w:t>March 26,</w:t>
            </w:r>
          </w:p>
        </w:tc>
      </w:tr>
      <w:tr>
        <w:trPr>
          <w:trHeight w:val="178"/>
        </w:trPr>
        <w:tc>
          <w:tcPr>
            <w:tcW w:w="58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23"/>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(44,138)</w:t>
            </w:r>
          </w:p>
        </w:tc>
      </w:tr>
      <w:tr>
        <w:trPr>
          <w:trHeight w:val="223"/>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88,342</w:t>
            </w:r>
          </w:p>
        </w:tc>
      </w:tr>
      <w:tr>
        <w:trPr>
          <w:trHeight w:val="22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44,204</w:t>
            </w: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59 days in the first three months of 2017 from 54 days in the first three months of 2016, due to the impact of acquired operations which carry comparatively higher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investments in inventory than our other operations. Excluding acquired operations our cash cycle was 53 days in the first quarter of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5240" w:type="dxa"/>
            <w:vAlign w:val="bottom"/>
          </w:tcPr>
          <w:p>
            <w:pPr>
              <w:spacing w:after="0"/>
              <w:rPr>
                <w:sz w:val="10"/>
                <w:szCs w:val="10"/>
                <w:color w:val="auto"/>
              </w:rPr>
            </w:pPr>
          </w:p>
        </w:tc>
        <w:tc>
          <w:tcPr>
            <w:tcW w:w="1100" w:type="dxa"/>
            <w:vAlign w:val="bottom"/>
            <w:gridSpan w:val="2"/>
          </w:tcPr>
          <w:p>
            <w:pPr>
              <w:ind w:left="220"/>
              <w:spacing w:after="0" w:line="126" w:lineRule="exact"/>
              <w:rPr>
                <w:sz w:val="20"/>
                <w:szCs w:val="20"/>
                <w:color w:val="auto"/>
              </w:rPr>
            </w:pPr>
            <w:r>
              <w:rPr>
                <w:rFonts w:ascii="Arial" w:cs="Arial" w:eastAsia="Arial" w:hAnsi="Arial"/>
                <w:sz w:val="14"/>
                <w:szCs w:val="14"/>
                <w:b w:val="1"/>
                <w:bCs w:val="1"/>
                <w:color w:val="auto"/>
              </w:rPr>
              <w:t>April 1,</w:t>
            </w:r>
          </w:p>
        </w:tc>
        <w:tc>
          <w:tcPr>
            <w:tcW w:w="900" w:type="dxa"/>
            <w:vAlign w:val="bottom"/>
          </w:tcPr>
          <w:p>
            <w:pPr>
              <w:jc w:val="right"/>
              <w:ind w:right="56"/>
              <w:spacing w:after="0" w:line="126" w:lineRule="exact"/>
              <w:rPr>
                <w:sz w:val="20"/>
                <w:szCs w:val="20"/>
                <w:color w:val="auto"/>
              </w:rPr>
            </w:pPr>
            <w:r>
              <w:rPr>
                <w:rFonts w:ascii="Arial" w:cs="Arial" w:eastAsia="Arial" w:hAnsi="Arial"/>
                <w:sz w:val="14"/>
                <w:szCs w:val="14"/>
                <w:b w:val="1"/>
                <w:bCs w:val="1"/>
                <w:color w:val="auto"/>
              </w:rPr>
              <w:t>March 26,</w:t>
            </w:r>
          </w:p>
        </w:tc>
      </w:tr>
      <w:tr>
        <w:trPr>
          <w:trHeight w:val="178"/>
        </w:trPr>
        <w:tc>
          <w:tcPr>
            <w:tcW w:w="5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0"/>
        </w:trPr>
        <w:tc>
          <w:tcPr>
            <w:tcW w:w="5240" w:type="dxa"/>
            <w:vAlign w:val="bottom"/>
          </w:tcPr>
          <w:p>
            <w:pPr>
              <w:spacing w:after="0" w:line="203" w:lineRule="exact"/>
              <w:rPr>
                <w:sz w:val="20"/>
                <w:szCs w:val="20"/>
                <w:color w:val="auto"/>
              </w:rPr>
            </w:pPr>
            <w:r>
              <w:rPr>
                <w:rFonts w:ascii="Arial" w:cs="Arial" w:eastAsia="Arial" w:hAnsi="Arial"/>
                <w:sz w:val="18"/>
                <w:szCs w:val="18"/>
                <w:color w:val="auto"/>
              </w:rPr>
              <w:t>Days in cash cycle</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Excluding acquisitions, our reportable segments experienced minimal fluctuations within each metric cash cycle.</w:t>
      </w:r>
    </w:p>
    <w:p>
      <w:pPr>
        <w:spacing w:after="0" w:line="2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first three months of 2017, our cash used in operating activities was $70.7 million, which was comprised of net earnings of $21.6 million, $13.3 million of non-cash expenses, and a $105.6 million seasonal increase in working capital since the end of December 2016. Comparatively, cash used in operating activities was $30.0 million in the first three months of 2016, which was comprised of net earnings of $20.2 million and $10.4 million of non-cash expenses, offset by a $60.6 million seasonal increase in working capital since the end of 2015.</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Acquisitions comprised most of our cash used in investing activities during the first three months of 2017 and totaled $55.4 million. Additionally, purchases of property, plant, and equipment totaled approximately $16.5 million and outstanding purchase commitments on existing capital projects totaled approximately $24.5 million on April 1, 2017. We currently plan to spend $70 million for the year in 2017 on capital expenditures. We intend to fund capital expenditures and purchase commitments through our operating cash flows for the balance of the year. Comparatively, capital expenditures were $12.9 million during the first quarter of 2016. The increase in our capital expenditures is primarily due to requirements of our recently acquired operations.</w:t>
      </w:r>
    </w:p>
    <w:p>
      <w:pPr>
        <w:spacing w:after="0" w:line="18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Cash flows from financing activities primarily consisted of net borrowings under our revolving credit facility of approximately $143.3 million, as a result of seasonal working capital requirements and to finance the acquisitions we completed in the first quarter of 2017.</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April 1, 2017, we had $167.8 million outstanding on our $295 million revolving credit facility. The revolving credit facility also supports letters of credit totaling approximately $9.8 million on April 1, 2017; as a result, we have approximately $117.4 million in remaining availability on our revolver after considering letters of credit. Additionally, we have $150 million in availability under a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April 1, 2017.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31,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have entered into forward foreign exchange rate contracts in 2017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700" w:right="260" w:hanging="202"/>
        <w:spacing w:after="0" w:line="302" w:lineRule="auto"/>
        <w:rPr>
          <w:sz w:val="20"/>
          <w:szCs w:val="20"/>
          <w:color w:val="auto"/>
        </w:rPr>
      </w:pPr>
      <w:r>
        <w:rPr>
          <w:rFonts w:ascii="Arial" w:cs="Arial" w:eastAsia="Arial" w:hAnsi="Arial"/>
          <w:sz w:val="16"/>
          <w:szCs w:val="16"/>
          <w:color w:val="auto"/>
        </w:rPr>
        <w:t>(a)</w:t>
      </w: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April 1, 2017 (the “Evaluation Date”), have concluded that, as of such date, our disclosure controls and procedures were effective.</w:t>
      </w:r>
    </w:p>
    <w:p>
      <w:pPr>
        <w:spacing w:after="0" w:line="154" w:lineRule="exact"/>
        <w:rPr>
          <w:sz w:val="20"/>
          <w:szCs w:val="20"/>
          <w:color w:val="auto"/>
        </w:rPr>
      </w:pPr>
    </w:p>
    <w:p>
      <w:pPr>
        <w:jc w:val="both"/>
        <w:ind w:left="700" w:hanging="215"/>
        <w:spacing w:after="0" w:line="264" w:lineRule="auto"/>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April 1, 2017, there were no changes in our internal control over financial reporting that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UNIVERSAL FOREST PRODUCTS, INC.</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ectPr>
          <w:pgSz w:w="11900" w:h="16838" w:orient="portrait"/>
          <w:cols w:equalWidth="0" w:num="1">
            <w:col w:w="9060"/>
          </w:cols>
          <w:pgMar w:left="1420" w:top="125" w:right="1419" w:bottom="1440" w:gutter="0" w:footer="0" w:header="0"/>
        </w:sectPr>
      </w:pPr>
    </w:p>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2440" w:space="720"/>
            <w:col w:w="5900"/>
          </w:cols>
          <w:pgMar w:left="1420" w:top="125" w:right="1419" w:bottom="1440" w:gutter="0" w:footer="0" w:header="0"/>
          <w:type w:val="continuous"/>
        </w:sectPr>
      </w:pPr>
    </w:p>
    <w:p>
      <w:pPr>
        <w:spacing w:after="0" w:line="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2" w:lineRule="exact"/>
        <w:rPr>
          <w:sz w:val="20"/>
          <w:szCs w:val="20"/>
          <w:color w:val="auto"/>
        </w:rPr>
      </w:pPr>
    </w:p>
    <w:p>
      <w:pPr>
        <w:sectPr>
          <w:pgSz w:w="11900" w:h="16838" w:orient="portrait"/>
          <w:cols w:equalWidth="0" w:num="2">
            <w:col w:w="2560" w:space="720"/>
            <w:col w:w="5780"/>
          </w:cols>
          <w:pgMar w:left="1420" w:top="125" w:right="1419" w:bottom="1440" w:gutter="0" w:footer="0" w:header="0"/>
          <w:type w:val="continuous"/>
        </w:sectPr>
      </w:pPr>
    </w:p>
    <w:p>
      <w:pPr>
        <w:spacing w:after="0" w:line="25" w:lineRule="exact"/>
        <w:rPr>
          <w:sz w:val="20"/>
          <w:szCs w:val="20"/>
          <w:color w:val="auto"/>
        </w:rPr>
      </w:pPr>
    </w:p>
    <w:p>
      <w:pPr>
        <w:ind w:left="1100" w:hanging="611"/>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Month</w:t>
            </w:r>
          </w:p>
        </w:tc>
        <w:tc>
          <w:tcPr>
            <w:tcW w:w="5240" w:type="dxa"/>
            <w:vAlign w:val="bottom"/>
            <w:gridSpan w:val="2"/>
          </w:tcPr>
          <w:p>
            <w:pPr>
              <w:spacing w:after="0"/>
              <w:rPr>
                <w:sz w:val="16"/>
                <w:szCs w:val="16"/>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6"/>
                <w:szCs w:val="16"/>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r>
      <w:tr>
        <w:trPr>
          <w:trHeight w:val="203"/>
        </w:trPr>
        <w:tc>
          <w:tcPr>
            <w:tcW w:w="60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January 1 - February 4, 2017</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2,869,603</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February 5 - March 4, 2017</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2,869,603</w:t>
            </w:r>
          </w:p>
        </w:tc>
      </w:tr>
      <w:tr>
        <w:trPr>
          <w:trHeight w:val="202"/>
        </w:trPr>
        <w:tc>
          <w:tcPr>
            <w:tcW w:w="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5 - April 1, 2017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2,868,723</w:t>
            </w:r>
          </w:p>
        </w:tc>
      </w:tr>
      <w:tr>
        <w:trPr>
          <w:trHeight w:val="108"/>
        </w:trPr>
        <w:tc>
          <w:tcPr>
            <w:tcW w:w="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ind w:left="680" w:hanging="677"/>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840" w:hanging="837"/>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280" w:hanging="277"/>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2.9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1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20" w:hanging="51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520" w:hanging="51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-1939925</wp:posOffset>
            </wp:positionV>
            <wp:extent cx="575437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-1528445</wp:posOffset>
            </wp:positionV>
            <wp:extent cx="57543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-1116965</wp:posOffset>
            </wp:positionV>
            <wp:extent cx="575437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-842645</wp:posOffset>
            </wp:positionV>
            <wp:extent cx="57543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-431165</wp:posOffset>
            </wp:positionV>
            <wp:extent cx="57543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-19050</wp:posOffset>
            </wp:positionV>
            <wp:extent cx="57543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5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101</w:t>
        <w:tab/>
        <w:t>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 XBRL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(LAB)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9" w:lineRule="exact"/>
        <w:rPr>
          <w:sz w:val="20"/>
          <w:szCs w:val="20"/>
          <w:color w:val="auto"/>
        </w:rPr>
      </w:pPr>
    </w:p>
    <w:p>
      <w:pPr>
        <w:ind w:left="300" w:hanging="297"/>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May 3, 2017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-130810</wp:posOffset>
            </wp:positionV>
            <wp:extent cx="271018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20" w:space="720"/>
            <w:col w:w="4599"/>
          </w:cols>
          <w:pgMar w:left="1420" w:top="125"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480" w:hanging="47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300" w:right="19" w:hanging="446"/>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300" w:right="39" w:hanging="446"/>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480" w:hanging="477"/>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300" w:right="19" w:hanging="446"/>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300" w:right="39" w:hanging="446"/>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101</w:t>
        <w:tab/>
        <w:t>Interactive Data File.</w:t>
      </w:r>
    </w:p>
    <w:p>
      <w:pPr>
        <w:sectPr>
          <w:pgSz w:w="11900" w:h="16838" w:orient="portrait"/>
          <w:cols w:equalWidth="0" w:num="1">
            <w:col w:w="9039"/>
          </w:cols>
          <w:pgMar w:left="1420" w:top="125" w:right="1440" w:bottom="1440" w:gutter="0" w:footer="0" w:header="0"/>
        </w:sectPr>
      </w:pP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22" w:lineRule="exact"/>
        <w:rPr>
          <w:sz w:val="20"/>
          <w:szCs w:val="20"/>
          <w:color w:val="auto"/>
        </w:rPr>
      </w:pPr>
    </w:p>
    <w:p>
      <w:pPr>
        <w:sectPr>
          <w:pgSz w:w="11900" w:h="16838" w:orient="portrait"/>
          <w:cols w:equalWidth="0" w:num="2">
            <w:col w:w="900" w:space="400"/>
            <w:col w:w="7739"/>
          </w:cols>
          <w:pgMar w:left="1420" w:top="125" w:right="1440" w:bottom="1440" w:gutter="0" w:footer="0" w:header="0"/>
          <w:type w:val="continuous"/>
        </w:sectPr>
      </w:pP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(SCH)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Schema Document.</w:t>
      </w:r>
    </w:p>
    <w:p>
      <w:pPr>
        <w:spacing w:after="0" w:line="211" w:lineRule="exact"/>
        <w:rPr>
          <w:sz w:val="20"/>
          <w:szCs w:val="20"/>
          <w:color w:val="auto"/>
        </w:rPr>
      </w:pPr>
    </w:p>
    <w:p>
      <w:pPr>
        <w:sectPr>
          <w:pgSz w:w="11900" w:h="16838" w:orient="portrait"/>
          <w:cols w:equalWidth="0" w:num="2">
            <w:col w:w="960" w:space="340"/>
            <w:col w:w="7739"/>
          </w:cols>
          <w:pgMar w:left="1420" w:top="125" w:right="1440" w:bottom="1440" w:gutter="0" w:footer="0" w:header="0"/>
          <w:type w:val="continuous"/>
        </w:sectPr>
      </w:pPr>
    </w:p>
    <w:p>
      <w:pPr>
        <w:spacing w:after="0" w:line="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22" w:lineRule="exact"/>
        <w:rPr>
          <w:sz w:val="20"/>
          <w:szCs w:val="20"/>
          <w:color w:val="auto"/>
        </w:rPr>
      </w:pPr>
    </w:p>
    <w:p>
      <w:pPr>
        <w:sectPr>
          <w:pgSz w:w="11900" w:h="16838" w:orient="portrait"/>
          <w:cols w:equalWidth="0" w:num="2">
            <w:col w:w="960" w:space="340"/>
            <w:col w:w="7739"/>
          </w:cols>
          <w:pgMar w:left="1420" w:top="125" w:right="1440" w:bottom="1440" w:gutter="0" w:footer="0" w:header="0"/>
          <w:type w:val="continuous"/>
        </w:sectPr>
      </w:pP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(LAB)</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22" w:lineRule="exact"/>
        <w:rPr>
          <w:sz w:val="20"/>
          <w:szCs w:val="20"/>
          <w:color w:val="auto"/>
        </w:rPr>
      </w:pPr>
    </w:p>
    <w:p>
      <w:pPr>
        <w:sectPr>
          <w:pgSz w:w="11900" w:h="16838" w:orient="portrait"/>
          <w:cols w:equalWidth="0" w:num="2">
            <w:col w:w="960" w:space="340"/>
            <w:col w:w="7739"/>
          </w:cols>
          <w:pgMar w:left="1420" w:top="125" w:right="1440" w:bottom="1440" w:gutter="0" w:footer="0" w:header="0"/>
          <w:type w:val="continuous"/>
        </w:sectPr>
      </w:pPr>
    </w:p>
    <w:p>
      <w:pPr>
        <w:spacing w:after="0" w:line="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940" w:space="360"/>
            <w:col w:w="7739"/>
          </w:cols>
          <w:pgMar w:left="1420" w:top="125" w:right="1440" w:bottom="1440" w:gutter="0" w:footer="0" w:header="0"/>
          <w:type w:val="continuous"/>
        </w:sectPr>
      </w:pPr>
    </w:p>
    <w:p>
      <w:pPr>
        <w:spacing w:after="0" w:line="4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(DEF)</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97790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940" w:space="360"/>
            <w:col w:w="7739"/>
          </w:cols>
          <w:pgMar w:left="1420" w:top="125" w:right="1440" w:bottom="1440" w:gutter="0" w:footer="0" w:header="0"/>
          <w:type w:val="continuous"/>
        </w:sectPr>
      </w:pPr>
    </w:p>
    <w:p>
      <w:pPr>
        <w:spacing w:after="0" w:line="50" w:lineRule="exact"/>
        <w:rPr>
          <w:sz w:val="20"/>
          <w:szCs w:val="20"/>
          <w:color w:val="auto"/>
        </w:rPr>
      </w:pPr>
    </w:p>
    <w:p>
      <w:pPr>
        <w:ind w:left="300" w:hanging="297"/>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360" w:hanging="357"/>
        <w:spacing w:after="0" w:line="207" w:lineRule="exact"/>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280" w:hanging="277"/>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280" w:hanging="277"/>
        <w:spacing w:after="0" w:line="264" w:lineRule="auto"/>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280" w:hanging="277"/>
        <w:spacing w:after="0" w:line="221" w:lineRule="exact"/>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2" w:lineRule="exact"/>
        <w:rPr>
          <w:sz w:val="20"/>
          <w:szCs w:val="20"/>
          <w:color w:val="auto"/>
        </w:rPr>
      </w:pPr>
    </w:p>
    <w:p>
      <w:pPr>
        <w:jc w:val="both"/>
        <w:ind w:left="620" w:hanging="134"/>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sz w:val="20"/>
          <w:szCs w:val="20"/>
          <w:color w:val="auto"/>
        </w:rPr>
      </w:pPr>
    </w:p>
    <w:p>
      <w:pPr>
        <w:jc w:val="both"/>
        <w:ind w:left="620" w:hanging="134"/>
        <w:spacing w:after="0" w:line="25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ind w:left="62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jc w:val="both"/>
        <w:ind w:left="620" w:hanging="134"/>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jc w:val="both"/>
        <w:ind w:left="280" w:hanging="277"/>
        <w:spacing w:after="0" w:line="264"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sz w:val="20"/>
          <w:szCs w:val="20"/>
          <w:color w:val="auto"/>
        </w:rPr>
      </w:pPr>
    </w:p>
    <w:p>
      <w:pPr>
        <w:jc w:val="both"/>
        <w:ind w:left="6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jc w:val="both"/>
        <w:ind w:left="62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May 3, 2017</w:t>
            </w:r>
          </w:p>
        </w:tc>
        <w:tc>
          <w:tcPr>
            <w:tcW w:w="452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453"/>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360" w:hanging="357"/>
        <w:spacing w:after="0" w:line="207" w:lineRule="exact"/>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280" w:hanging="277"/>
        <w:spacing w:after="0" w:line="264"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280" w:hanging="277"/>
        <w:spacing w:after="0" w:line="264"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280" w:hanging="277"/>
        <w:spacing w:after="0" w:line="221" w:lineRule="exact"/>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2" w:lineRule="exact"/>
        <w:rPr>
          <w:sz w:val="20"/>
          <w:szCs w:val="20"/>
          <w:color w:val="auto"/>
        </w:rPr>
      </w:pPr>
    </w:p>
    <w:p>
      <w:pPr>
        <w:jc w:val="both"/>
        <w:ind w:left="620" w:hanging="134"/>
        <w:spacing w:after="0" w:line="25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sz w:val="20"/>
          <w:szCs w:val="20"/>
          <w:color w:val="auto"/>
        </w:rPr>
      </w:pPr>
    </w:p>
    <w:p>
      <w:pPr>
        <w:jc w:val="both"/>
        <w:ind w:left="620" w:hanging="134"/>
        <w:spacing w:after="0" w:line="259"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ind w:left="620" w:hanging="134"/>
        <w:spacing w:after="0" w:line="26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sz w:val="20"/>
          <w:szCs w:val="20"/>
          <w:color w:val="auto"/>
        </w:rPr>
      </w:pPr>
    </w:p>
    <w:p>
      <w:pPr>
        <w:jc w:val="both"/>
        <w:ind w:left="620" w:hanging="134"/>
        <w:spacing w:after="0" w:line="25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jc w:val="both"/>
        <w:ind w:left="280" w:hanging="277"/>
        <w:spacing w:after="0" w:line="264"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sz w:val="20"/>
          <w:szCs w:val="20"/>
          <w:color w:val="auto"/>
        </w:rPr>
      </w:pPr>
    </w:p>
    <w:p>
      <w:pPr>
        <w:jc w:val="both"/>
        <w:ind w:left="620" w:hanging="134"/>
        <w:spacing w:after="0" w:line="26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jc w:val="both"/>
        <w:ind w:left="620" w:hanging="134"/>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May 3, 2017</w:t>
            </w:r>
          </w:p>
        </w:tc>
        <w:tc>
          <w:tcPr>
            <w:tcW w:w="452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453"/>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360" w:hanging="357"/>
        <w:spacing w:after="0" w:line="224" w:lineRule="exact"/>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April 1, 2017, which this statement accompanies, fully complies with requirements of Section 13(a) or 15(d) of the Securities Exchange Act of 1934; and</w:t>
      </w:r>
    </w:p>
    <w:p>
      <w:pPr>
        <w:spacing w:after="0" w:line="201" w:lineRule="exact"/>
        <w:rPr>
          <w:rFonts w:ascii="Arial" w:cs="Arial" w:eastAsia="Arial" w:hAnsi="Arial"/>
          <w:sz w:val="17"/>
          <w:szCs w:val="17"/>
          <w:color w:val="auto"/>
        </w:rPr>
      </w:pPr>
    </w:p>
    <w:p>
      <w:pPr>
        <w:ind w:left="360" w:hanging="357"/>
        <w:spacing w:after="0" w:line="224" w:lineRule="exact"/>
        <w:tabs>
          <w:tab w:leader="none" w:pos="3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April 1, 2017, fairly presents, in all material respects, the financial condition and results of operations of Universal Forest Products,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May 3, 2017</w:t>
            </w:r>
          </w:p>
        </w:tc>
        <w:tc>
          <w:tcPr>
            <w:tcW w:w="452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360" w:hanging="357"/>
        <w:spacing w:after="0" w:line="224" w:lineRule="exact"/>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April 1, 2017, which this statement accompanies, fully complies with requirements of Section 13(a) or 15(d) of the Securities Exchange Act of 1934; and</w:t>
      </w:r>
    </w:p>
    <w:p>
      <w:pPr>
        <w:spacing w:after="0" w:line="201" w:lineRule="exact"/>
        <w:rPr>
          <w:rFonts w:ascii="Arial" w:cs="Arial" w:eastAsia="Arial" w:hAnsi="Arial"/>
          <w:sz w:val="17"/>
          <w:szCs w:val="17"/>
          <w:color w:val="auto"/>
        </w:rPr>
      </w:pPr>
    </w:p>
    <w:p>
      <w:pPr>
        <w:ind w:left="360" w:hanging="357"/>
        <w:spacing w:after="0" w:line="224" w:lineRule="exact"/>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April 1, 2017, fairly presents, in all material respects, the financial condition and results of operations of Universal Forest Products,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May 3, 2017</w:t>
            </w:r>
          </w:p>
        </w:tc>
        <w:tc>
          <w:tcPr>
            <w:tcW w:w="452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upperLetter"/>
      <w:start w:val="3"/>
    </w:lvl>
  </w:abstractNum>
  <w:abstractNum w:abstractNumId="4">
    <w:nsid w:val="7C83E458"/>
    <w:multiLevelType w:val="hybridMultilevel"/>
    <w:lvl w:ilvl="0">
      <w:lvlJc w:val="left"/>
      <w:lvlText w:val="%1."/>
      <w:numFmt w:val="upperLetter"/>
      <w:start w:val="4"/>
    </w:lvl>
  </w:abstractNum>
  <w:abstractNum w:abstractNumId="5">
    <w:nsid w:val="257130A3"/>
    <w:multiLevelType w:val="hybridMultilevel"/>
    <w:lvl w:ilvl="0">
      <w:lvlJc w:val="left"/>
      <w:lvlText w:val="%1."/>
      <w:numFmt w:val="upperLetter"/>
      <w:start w:val="5"/>
    </w:lvl>
  </w:abstractNum>
  <w:abstractNum w:abstractNumId="6">
    <w:nsid w:val="62BBD95A"/>
    <w:multiLevelType w:val="hybridMultilevel"/>
    <w:lvl w:ilvl="0">
      <w:lvlJc w:val="left"/>
      <w:lvlText w:val="%1."/>
      <w:numFmt w:val="upperLetter"/>
      <w:start w:val="6"/>
    </w:lvl>
  </w:abstractNum>
  <w:abstractNum w:abstractNumId="7">
    <w:nsid w:val="436C6125"/>
    <w:multiLevelType w:val="hybridMultilevel"/>
    <w:lvl w:ilvl="0">
      <w:lvlJc w:val="left"/>
      <w:lvlText w:val="%1."/>
      <w:numFmt w:val="upperLetter"/>
      <w:start w:val="7"/>
    </w:lvl>
  </w:abstractNum>
  <w:abstractNum w:abstractNumId="8">
    <w:nsid w:val="628C895D"/>
    <w:multiLevelType w:val="hybridMultilevel"/>
    <w:lvl w:ilvl="0">
      <w:lvlJc w:val="left"/>
      <w:lvlText w:val="%1."/>
      <w:numFmt w:val="upperLetter"/>
      <w:start w:val="8"/>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Letter"/>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decimal"/>
      <w:start w:val="31"/>
    </w:lvl>
    <w:lvl w:ilvl="1">
      <w:lvlJc w:val="left"/>
      <w:lvlText w:val="(%2)"/>
      <w:numFmt w:val="lowerLetter"/>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31"/>
    </w:lvl>
    <w:lvl w:ilvl="1">
      <w:lvlJc w:val="left"/>
      <w:lvlText w:val="(%2)"/>
      <w:numFmt w:val="lowerLetter"/>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5"/>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5"/>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2019-12-29T06:01:44Z</dcterms:created>
  <dcterms:modified xsi:type="dcterms:W3CDTF">2019-12-29T06:01:44Z</dcterms:modified>
</cp:coreProperties>
</file>