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UNITED STATES SECURITIES AND EXCHANGE COMMISSION</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FORM 10-Q</w:t>
      </w:r>
    </w:p>
    <w:p>
      <w:pPr>
        <w:spacing w:after="0" w:line="207" w:lineRule="exact"/>
        <w:rPr>
          <w:sz w:val="24"/>
          <w:szCs w:val="24"/>
          <w:color w:val="auto"/>
        </w:rPr>
      </w:pPr>
    </w:p>
    <w:p>
      <w:pPr>
        <w:ind w:left="520" w:hanging="410"/>
        <w:spacing w:after="0"/>
        <w:tabs>
          <w:tab w:leader="none" w:pos="52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EXCHANGE ACT OF 1934</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For the quarterly period ended June 29, 1996</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OR</w:t>
      </w:r>
    </w:p>
    <w:p>
      <w:pPr>
        <w:spacing w:after="0" w:line="207" w:lineRule="exact"/>
        <w:rPr>
          <w:sz w:val="24"/>
          <w:szCs w:val="24"/>
          <w:color w:val="auto"/>
        </w:rPr>
      </w:pPr>
    </w:p>
    <w:p>
      <w:pPr>
        <w:ind w:right="2619" w:firstLine="623"/>
        <w:spacing w:after="0" w:line="251" w:lineRule="auto"/>
        <w:rPr>
          <w:sz w:val="20"/>
          <w:szCs w:val="20"/>
          <w:color w:val="auto"/>
        </w:rPr>
      </w:pPr>
      <w:r>
        <w:rPr>
          <w:rFonts w:ascii="Courier New" w:cs="Courier New" w:eastAsia="Courier New" w:hAnsi="Courier New"/>
          <w:sz w:val="17"/>
          <w:szCs w:val="17"/>
          <w:color w:val="auto"/>
        </w:rPr>
        <w:t>TRANSITION REPORT PURSUANT TO SECTION 13 OR 15(d) OF THE SECURITIES - --- EXCHANGE ACT OF 1934</w:t>
      </w:r>
    </w:p>
    <w:p>
      <w:pPr>
        <w:spacing w:after="0" w:line="19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Commission File Number 0-22684</w:t>
      </w:r>
    </w:p>
    <w:p>
      <w:pPr>
        <w:spacing w:after="0" w:line="200" w:lineRule="exact"/>
        <w:rPr>
          <w:sz w:val="24"/>
          <w:szCs w:val="24"/>
          <w:color w:val="auto"/>
        </w:rPr>
      </w:pPr>
    </w:p>
    <w:p>
      <w:pPr>
        <w:spacing w:after="0" w:line="207"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7"/>
          <w:szCs w:val="17"/>
          <w:color w:val="auto"/>
        </w:rPr>
        <w:t>UNIVERSAL FOREST PRODUCTS, INC.</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07" w:lineRule="exact"/>
        <w:rPr>
          <w:sz w:val="24"/>
          <w:szCs w:val="24"/>
          <w:color w:val="auto"/>
        </w:rPr>
      </w:pPr>
    </w:p>
    <w:tbl>
      <w:tblPr>
        <w:tblLayout w:type="fixed"/>
        <w:tblInd w:w="320" w:type="dxa"/>
        <w:tblCellMar>
          <w:top w:w="0" w:type="dxa"/>
          <w:left w:w="0" w:type="dxa"/>
          <w:bottom w:w="0" w:type="dxa"/>
          <w:right w:w="0" w:type="dxa"/>
        </w:tblCellMar>
      </w:tblPr>
      <w:tr>
        <w:trPr>
          <w:trHeight w:val="194"/>
        </w:trPr>
        <w:tc>
          <w:tcPr>
            <w:tcW w:w="4780" w:type="dxa"/>
            <w:vAlign w:val="bottom"/>
          </w:tcPr>
          <w:p>
            <w:pPr>
              <w:ind w:left="1240"/>
              <w:spacing w:after="0"/>
              <w:rPr>
                <w:sz w:val="20"/>
                <w:szCs w:val="20"/>
                <w:color w:val="auto"/>
              </w:rPr>
            </w:pPr>
            <w:r>
              <w:rPr>
                <w:rFonts w:ascii="Courier New" w:cs="Courier New" w:eastAsia="Courier New" w:hAnsi="Courier New"/>
                <w:sz w:val="17"/>
                <w:szCs w:val="17"/>
                <w:color w:val="auto"/>
              </w:rPr>
              <w:t>Michigan</w:t>
            </w:r>
          </w:p>
        </w:tc>
        <w:tc>
          <w:tcPr>
            <w:tcW w:w="290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38-1465835</w:t>
            </w:r>
          </w:p>
        </w:tc>
      </w:tr>
      <w:tr>
        <w:trPr>
          <w:trHeight w:val="200"/>
        </w:trPr>
        <w:tc>
          <w:tcPr>
            <w:tcW w:w="47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9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r>
      <w:tr>
        <w:trPr>
          <w:trHeight w:val="200"/>
        </w:trPr>
        <w:tc>
          <w:tcPr>
            <w:tcW w:w="4780" w:type="dxa"/>
            <w:vAlign w:val="bottom"/>
          </w:tcPr>
          <w:p>
            <w:pPr>
              <w:spacing w:after="0"/>
              <w:rPr>
                <w:sz w:val="20"/>
                <w:szCs w:val="20"/>
                <w:color w:val="auto"/>
              </w:rPr>
            </w:pPr>
            <w:r>
              <w:rPr>
                <w:rFonts w:ascii="Courier New" w:cs="Courier New" w:eastAsia="Courier New" w:hAnsi="Courier New"/>
                <w:sz w:val="17"/>
                <w:szCs w:val="17"/>
                <w:color w:val="auto"/>
              </w:rPr>
              <w:t>(State or other jurisdiction of</w:t>
            </w:r>
          </w:p>
        </w:tc>
        <w:tc>
          <w:tcPr>
            <w:tcW w:w="2900" w:type="dxa"/>
            <w:vAlign w:val="bottom"/>
          </w:tcPr>
          <w:p>
            <w:pPr>
              <w:jc w:val="center"/>
              <w:ind w:right="313"/>
              <w:spacing w:after="0"/>
              <w:rPr>
                <w:sz w:val="20"/>
                <w:szCs w:val="20"/>
                <w:color w:val="auto"/>
              </w:rPr>
            </w:pPr>
            <w:r>
              <w:rPr>
                <w:rFonts w:ascii="Courier New" w:cs="Courier New" w:eastAsia="Courier New" w:hAnsi="Courier New"/>
                <w:sz w:val="17"/>
                <w:szCs w:val="17"/>
                <w:color w:val="auto"/>
              </w:rPr>
              <w:t>(I.R.S. Employer</w:t>
            </w:r>
          </w:p>
        </w:tc>
      </w:tr>
      <w:tr>
        <w:trPr>
          <w:trHeight w:val="200"/>
        </w:trPr>
        <w:tc>
          <w:tcPr>
            <w:tcW w:w="4780" w:type="dxa"/>
            <w:vAlign w:val="bottom"/>
          </w:tcPr>
          <w:p>
            <w:pPr>
              <w:spacing w:after="0"/>
              <w:rPr>
                <w:sz w:val="20"/>
                <w:szCs w:val="20"/>
                <w:color w:val="auto"/>
              </w:rPr>
            </w:pPr>
            <w:r>
              <w:rPr>
                <w:rFonts w:ascii="Courier New" w:cs="Courier New" w:eastAsia="Courier New" w:hAnsi="Courier New"/>
                <w:sz w:val="17"/>
                <w:szCs w:val="17"/>
                <w:color w:val="auto"/>
              </w:rPr>
              <w:t>incorporation or organization)</w:t>
            </w:r>
          </w:p>
        </w:tc>
        <w:tc>
          <w:tcPr>
            <w:tcW w:w="2900" w:type="dxa"/>
            <w:vAlign w:val="bottom"/>
          </w:tcPr>
          <w:p>
            <w:pPr>
              <w:ind w:left="100"/>
              <w:spacing w:after="0"/>
              <w:rPr>
                <w:sz w:val="20"/>
                <w:szCs w:val="20"/>
                <w:color w:val="auto"/>
              </w:rPr>
            </w:pPr>
            <w:r>
              <w:rPr>
                <w:rFonts w:ascii="Courier New" w:cs="Courier New" w:eastAsia="Courier New" w:hAnsi="Courier New"/>
                <w:sz w:val="17"/>
                <w:szCs w:val="17"/>
                <w:color w:val="auto"/>
              </w:rPr>
              <w:t>Identification Number)</w:t>
            </w:r>
          </w:p>
        </w:tc>
      </w:tr>
      <w:tr>
        <w:trPr>
          <w:trHeight w:val="599"/>
        </w:trPr>
        <w:tc>
          <w:tcPr>
            <w:tcW w:w="4780" w:type="dxa"/>
            <w:vAlign w:val="bottom"/>
          </w:tcPr>
          <w:p>
            <w:pPr>
              <w:spacing w:after="0"/>
              <w:rPr>
                <w:sz w:val="20"/>
                <w:szCs w:val="20"/>
                <w:color w:val="auto"/>
              </w:rPr>
            </w:pPr>
            <w:r>
              <w:rPr>
                <w:rFonts w:ascii="Courier New" w:cs="Courier New" w:eastAsia="Courier New" w:hAnsi="Courier New"/>
                <w:sz w:val="17"/>
                <w:szCs w:val="17"/>
                <w:color w:val="auto"/>
              </w:rPr>
              <w:t>2801 East Beltline NE, Grand Rapids, Michigan</w:t>
            </w:r>
          </w:p>
        </w:tc>
        <w:tc>
          <w:tcPr>
            <w:tcW w:w="2900" w:type="dxa"/>
            <w:vAlign w:val="bottom"/>
          </w:tcPr>
          <w:p>
            <w:pPr>
              <w:jc w:val="right"/>
              <w:ind w:right="1253"/>
              <w:spacing w:after="0"/>
              <w:rPr>
                <w:sz w:val="20"/>
                <w:szCs w:val="20"/>
                <w:color w:val="auto"/>
              </w:rPr>
            </w:pPr>
            <w:r>
              <w:rPr>
                <w:rFonts w:ascii="Courier New" w:cs="Courier New" w:eastAsia="Courier New" w:hAnsi="Courier New"/>
                <w:sz w:val="17"/>
                <w:szCs w:val="17"/>
                <w:color w:val="auto"/>
              </w:rPr>
              <w:t>49505</w:t>
            </w:r>
          </w:p>
        </w:tc>
      </w:tr>
      <w:tr>
        <w:trPr>
          <w:trHeight w:val="200"/>
        </w:trPr>
        <w:tc>
          <w:tcPr>
            <w:tcW w:w="478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9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r>
      <w:tr>
        <w:trPr>
          <w:trHeight w:val="200"/>
        </w:trPr>
        <w:tc>
          <w:tcPr>
            <w:tcW w:w="4780" w:type="dxa"/>
            <w:vAlign w:val="bottom"/>
          </w:tcPr>
          <w:p>
            <w:pPr>
              <w:spacing w:after="0"/>
              <w:rPr>
                <w:sz w:val="20"/>
                <w:szCs w:val="20"/>
                <w:color w:val="auto"/>
              </w:rPr>
            </w:pPr>
            <w:r>
              <w:rPr>
                <w:rFonts w:ascii="Courier New" w:cs="Courier New" w:eastAsia="Courier New" w:hAnsi="Courier New"/>
                <w:sz w:val="17"/>
                <w:szCs w:val="17"/>
                <w:color w:val="auto"/>
              </w:rPr>
              <w:t>(Address of principal executive offices)</w:t>
            </w:r>
          </w:p>
        </w:tc>
        <w:tc>
          <w:tcPr>
            <w:tcW w:w="290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(Zip Code)</w:t>
            </w:r>
          </w:p>
        </w:tc>
      </w:tr>
    </w:tbl>
    <w:p>
      <w:pPr>
        <w:spacing w:after="0" w:line="200" w:lineRule="exact"/>
        <w:rPr>
          <w:sz w:val="24"/>
          <w:szCs w:val="24"/>
          <w:color w:val="auto"/>
        </w:rPr>
      </w:pPr>
    </w:p>
    <w:p>
      <w:pPr>
        <w:spacing w:after="0" w:line="205"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Registrant's telephone number, including area code (616) 364-6161</w:t>
      </w:r>
    </w:p>
    <w:p>
      <w:pPr>
        <w:spacing w:after="0" w:line="200" w:lineRule="exact"/>
        <w:rPr>
          <w:sz w:val="24"/>
          <w:szCs w:val="24"/>
          <w:color w:val="auto"/>
        </w:r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NONE</w:t>
      </w:r>
    </w:p>
    <w:p>
      <w:pPr>
        <w:spacing w:after="0" w:line="7"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Indicate by check mark whether the registrant (1) has filed all reports</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520" w:type="dxa"/>
            <w:vAlign w:val="bottom"/>
          </w:tcPr>
          <w:p>
            <w:pPr>
              <w:spacing w:after="0"/>
              <w:rPr>
                <w:sz w:val="20"/>
                <w:szCs w:val="20"/>
                <w:color w:val="auto"/>
              </w:rPr>
            </w:pPr>
            <w:r>
              <w:rPr>
                <w:rFonts w:ascii="Courier New" w:cs="Courier New" w:eastAsia="Courier New" w:hAnsi="Courier New"/>
                <w:sz w:val="17"/>
                <w:szCs w:val="17"/>
                <w:color w:val="auto"/>
              </w:rPr>
              <w:t>required to be</w:t>
            </w:r>
          </w:p>
        </w:tc>
        <w:tc>
          <w:tcPr>
            <w:tcW w:w="920" w:type="dxa"/>
            <w:vAlign w:val="bottom"/>
          </w:tcPr>
          <w:p>
            <w:pPr>
              <w:ind w:left="40"/>
              <w:spacing w:after="0"/>
              <w:rPr>
                <w:sz w:val="20"/>
                <w:szCs w:val="20"/>
                <w:color w:val="auto"/>
              </w:rPr>
            </w:pPr>
            <w:r>
              <w:rPr>
                <w:rFonts w:ascii="Courier New" w:cs="Courier New" w:eastAsia="Courier New" w:hAnsi="Courier New"/>
                <w:sz w:val="17"/>
                <w:szCs w:val="17"/>
                <w:color w:val="auto"/>
              </w:rPr>
              <w:t>filed by</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Section</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13 or 15(d) of</w:t>
            </w:r>
          </w:p>
        </w:tc>
        <w:tc>
          <w:tcPr>
            <w:tcW w:w="2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the Securities Exchange Act</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r>
      <w:tr>
        <w:trPr>
          <w:trHeight w:val="200"/>
        </w:trPr>
        <w:tc>
          <w:tcPr>
            <w:tcW w:w="7740" w:type="dxa"/>
            <w:vAlign w:val="bottom"/>
            <w:gridSpan w:val="6"/>
          </w:tcPr>
          <w:p>
            <w:pPr>
              <w:spacing w:after="0"/>
              <w:rPr>
                <w:sz w:val="20"/>
                <w:szCs w:val="20"/>
                <w:color w:val="auto"/>
              </w:rPr>
            </w:pPr>
            <w:r>
              <w:rPr>
                <w:rFonts w:ascii="Courier New" w:cs="Courier New" w:eastAsia="Courier New" w:hAnsi="Courier New"/>
                <w:sz w:val="17"/>
                <w:szCs w:val="17"/>
                <w:color w:val="auto"/>
              </w:rPr>
              <w:t>1934 during the preceding 12 months (or for such shorter period that the</w:t>
            </w:r>
          </w:p>
        </w:tc>
        <w:tc>
          <w:tcPr>
            <w:tcW w:w="480" w:type="dxa"/>
            <w:vAlign w:val="bottom"/>
          </w:tcPr>
          <w:p>
            <w:pPr>
              <w:spacing w:after="0"/>
              <w:rPr>
                <w:sz w:val="17"/>
                <w:szCs w:val="17"/>
                <w:color w:val="auto"/>
              </w:rPr>
            </w:pPr>
          </w:p>
        </w:tc>
      </w:tr>
      <w:tr>
        <w:trPr>
          <w:trHeight w:val="200"/>
        </w:trPr>
        <w:tc>
          <w:tcPr>
            <w:tcW w:w="1520" w:type="dxa"/>
            <w:vAlign w:val="bottom"/>
          </w:tcPr>
          <w:p>
            <w:pPr>
              <w:spacing w:after="0"/>
              <w:rPr>
                <w:sz w:val="20"/>
                <w:szCs w:val="20"/>
                <w:color w:val="auto"/>
              </w:rPr>
            </w:pPr>
            <w:r>
              <w:rPr>
                <w:rFonts w:ascii="Courier New" w:cs="Courier New" w:eastAsia="Courier New" w:hAnsi="Courier New"/>
                <w:sz w:val="17"/>
                <w:szCs w:val="17"/>
                <w:color w:val="auto"/>
              </w:rPr>
              <w:t>registrant was</w:t>
            </w:r>
          </w:p>
        </w:tc>
        <w:tc>
          <w:tcPr>
            <w:tcW w:w="920" w:type="dxa"/>
            <w:vAlign w:val="bottom"/>
          </w:tcPr>
          <w:p>
            <w:pPr>
              <w:ind w:left="40"/>
              <w:spacing w:after="0"/>
              <w:rPr>
                <w:sz w:val="20"/>
                <w:szCs w:val="20"/>
                <w:color w:val="auto"/>
              </w:rPr>
            </w:pPr>
            <w:r>
              <w:rPr>
                <w:rFonts w:ascii="Courier New" w:cs="Courier New" w:eastAsia="Courier New" w:hAnsi="Courier New"/>
                <w:sz w:val="17"/>
                <w:szCs w:val="17"/>
                <w:color w:val="auto"/>
              </w:rPr>
              <w:t>required</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to file</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such reports),</w:t>
            </w:r>
          </w:p>
        </w:tc>
        <w:tc>
          <w:tcPr>
            <w:tcW w:w="2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and (2) has been subject to</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w w:val="97"/>
              </w:rPr>
              <w:t>such</w:t>
            </w:r>
          </w:p>
        </w:tc>
      </w:tr>
      <w:tr>
        <w:trPr>
          <w:trHeight w:val="200"/>
        </w:trPr>
        <w:tc>
          <w:tcPr>
            <w:tcW w:w="2440" w:type="dxa"/>
            <w:vAlign w:val="bottom"/>
            <w:gridSpan w:val="2"/>
          </w:tcPr>
          <w:p>
            <w:pPr>
              <w:spacing w:after="0"/>
              <w:rPr>
                <w:sz w:val="20"/>
                <w:szCs w:val="20"/>
                <w:color w:val="auto"/>
              </w:rPr>
            </w:pPr>
            <w:r>
              <w:rPr>
                <w:rFonts w:ascii="Courier New" w:cs="Courier New" w:eastAsia="Courier New" w:hAnsi="Courier New"/>
                <w:sz w:val="17"/>
                <w:szCs w:val="17"/>
                <w:color w:val="auto"/>
              </w:rPr>
              <w:t>filing requirements for</w:t>
            </w:r>
          </w:p>
        </w:tc>
        <w:tc>
          <w:tcPr>
            <w:tcW w:w="2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past 90 days.  Yes</w:t>
            </w:r>
          </w:p>
        </w:tc>
        <w:tc>
          <w:tcPr>
            <w:tcW w:w="520" w:type="dxa"/>
            <w:vAlign w:val="bottom"/>
          </w:tcPr>
          <w:p>
            <w:pPr>
              <w:ind w:left="160"/>
              <w:spacing w:after="0"/>
              <w:rPr>
                <w:sz w:val="20"/>
                <w:szCs w:val="20"/>
                <w:color w:val="auto"/>
              </w:rPr>
            </w:pPr>
            <w:r>
              <w:rPr>
                <w:rFonts w:ascii="Courier New" w:cs="Courier New" w:eastAsia="Courier New" w:hAnsi="Courier New"/>
                <w:sz w:val="17"/>
                <w:szCs w:val="17"/>
                <w:color w:val="auto"/>
              </w:rPr>
              <w:t>X</w:t>
            </w:r>
          </w:p>
        </w:tc>
        <w:tc>
          <w:tcPr>
            <w:tcW w:w="2380" w:type="dxa"/>
            <w:vAlign w:val="bottom"/>
          </w:tcPr>
          <w:p>
            <w:pPr>
              <w:jc w:val="right"/>
              <w:ind w:right="1933"/>
              <w:spacing w:after="0"/>
              <w:rPr>
                <w:sz w:val="20"/>
                <w:szCs w:val="20"/>
                <w:color w:val="auto"/>
              </w:rPr>
            </w:pPr>
            <w:r>
              <w:rPr>
                <w:rFonts w:ascii="Courier New" w:cs="Courier New" w:eastAsia="Courier New" w:hAnsi="Courier New"/>
                <w:sz w:val="17"/>
                <w:szCs w:val="17"/>
                <w:color w:val="auto"/>
              </w:rPr>
              <w:t>No</w:t>
            </w:r>
          </w:p>
        </w:tc>
        <w:tc>
          <w:tcPr>
            <w:tcW w:w="480" w:type="dxa"/>
            <w:vAlign w:val="bottom"/>
          </w:tcPr>
          <w:p>
            <w:pPr>
              <w:spacing w:after="0"/>
              <w:rPr>
                <w:sz w:val="17"/>
                <w:szCs w:val="17"/>
                <w:color w:val="auto"/>
              </w:rPr>
            </w:pPr>
          </w:p>
        </w:tc>
      </w:tr>
      <w:tr>
        <w:trPr>
          <w:trHeight w:val="200"/>
        </w:trPr>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151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r>
    </w:tbl>
    <w:p>
      <w:pPr>
        <w:spacing w:after="0" w:line="205" w:lineRule="exact"/>
        <w:rPr>
          <w:sz w:val="24"/>
          <w:szCs w:val="24"/>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Indicate the number of shares of each of the issuer's classes of common stock, as of the latest practicable date:</w:t>
      </w:r>
    </w:p>
    <w:p>
      <w:pPr>
        <w:sectPr>
          <w:pgSz w:w="11900" w:h="16838" w:orient="portrait"/>
          <w:cols w:equalWidth="0" w:num="1">
            <w:col w:w="10219"/>
          </w:cols>
          <w:pgMar w:left="240" w:top="248" w:right="1440" w:bottom="1440" w:gutter="0" w:footer="0" w:header="0"/>
        </w:sectPr>
      </w:pPr>
    </w:p>
    <w:p>
      <w:pPr>
        <w:spacing w:after="0" w:line="197" w:lineRule="exact"/>
        <w:rPr>
          <w:sz w:val="24"/>
          <w:szCs w:val="24"/>
          <w:color w:val="auto"/>
        </w:rPr>
      </w:pPr>
    </w:p>
    <w:p>
      <w:pPr>
        <w:ind w:left="1980"/>
        <w:spacing w:after="0"/>
        <w:rPr>
          <w:sz w:val="20"/>
          <w:szCs w:val="20"/>
          <w:color w:val="auto"/>
        </w:rPr>
      </w:pPr>
      <w:r>
        <w:rPr>
          <w:rFonts w:ascii="Courier New" w:cs="Courier New" w:eastAsia="Courier New" w:hAnsi="Courier New"/>
          <w:sz w:val="17"/>
          <w:szCs w:val="17"/>
          <w:color w:val="auto"/>
        </w:rPr>
        <w:t>Class</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7"/>
          <w:szCs w:val="17"/>
          <w:color w:val="auto"/>
        </w:rPr>
        <w:t>Common stock, no par value</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Outstanding as of August 1, 1996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17,039,020</w:t>
      </w:r>
    </w:p>
    <w:p>
      <w:pPr>
        <w:spacing w:after="0" w:line="200" w:lineRule="exact"/>
        <w:rPr>
          <w:sz w:val="24"/>
          <w:szCs w:val="24"/>
          <w:color w:val="auto"/>
        </w:rPr>
      </w:pPr>
    </w:p>
    <w:p>
      <w:pPr>
        <w:sectPr>
          <w:pgSz w:w="11900" w:h="16838" w:orient="portrait"/>
          <w:cols w:equalWidth="0" w:num="2">
            <w:col w:w="3740" w:space="220"/>
            <w:col w:w="6259"/>
          </w:cols>
          <w:pgMar w:left="240" w:top="248"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Page 1 of 16</w:t>
      </w:r>
    </w:p>
    <w:p>
      <w:pPr>
        <w:sectPr>
          <w:pgSz w:w="11900" w:h="16838" w:orient="portrait"/>
          <w:cols w:equalWidth="0" w:num="1">
            <w:col w:w="10219"/>
          </w:cols>
          <w:pgMar w:left="240" w:top="24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PAGE NO.</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4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FINANCIAL INFORMATION.</w:t>
            </w:r>
          </w:p>
        </w:tc>
        <w:tc>
          <w:tcPr>
            <w:tcW w:w="520" w:type="dxa"/>
            <w:vAlign w:val="bottom"/>
          </w:tcPr>
          <w:p>
            <w:pPr>
              <w:spacing w:after="0"/>
              <w:rPr>
                <w:sz w:val="16"/>
                <w:szCs w:val="16"/>
                <w:color w:val="auto"/>
              </w:rPr>
            </w:pPr>
          </w:p>
        </w:tc>
      </w:tr>
      <w:tr>
        <w:trPr>
          <w:trHeight w:val="400"/>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1.</w:t>
            </w: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Financial Statements:</w:t>
            </w:r>
          </w:p>
        </w:tc>
        <w:tc>
          <w:tcPr>
            <w:tcW w:w="520" w:type="dxa"/>
            <w:vAlign w:val="bottom"/>
          </w:tcPr>
          <w:p>
            <w:pPr>
              <w:spacing w:after="0"/>
              <w:rPr>
                <w:sz w:val="24"/>
                <w:szCs w:val="24"/>
                <w:color w:val="auto"/>
              </w:rPr>
            </w:pPr>
          </w:p>
        </w:tc>
      </w:tr>
      <w:tr>
        <w:trPr>
          <w:trHeight w:val="400"/>
        </w:trPr>
        <w:tc>
          <w:tcPr>
            <w:tcW w:w="104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Consolidated Condensed Balance Sheets at June 29, 1996</w:t>
            </w:r>
          </w:p>
        </w:tc>
        <w:tc>
          <w:tcPr>
            <w:tcW w:w="520" w:type="dxa"/>
            <w:vAlign w:val="bottom"/>
          </w:tcPr>
          <w:p>
            <w:pPr>
              <w:spacing w:after="0"/>
              <w:rPr>
                <w:sz w:val="24"/>
                <w:szCs w:val="24"/>
                <w:color w:val="auto"/>
              </w:rPr>
            </w:pPr>
          </w:p>
        </w:tc>
      </w:tr>
      <w:tr>
        <w:trPr>
          <w:trHeight w:val="200"/>
        </w:trPr>
        <w:tc>
          <w:tcPr>
            <w:tcW w:w="104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Courier New" w:cs="Courier New" w:eastAsia="Courier New" w:hAnsi="Courier New"/>
                <w:sz w:val="17"/>
                <w:szCs w:val="17"/>
                <w:color w:val="auto"/>
              </w:rPr>
              <w:t>and December 30, 1995.</w:t>
            </w:r>
          </w:p>
        </w:tc>
        <w:tc>
          <w:tcPr>
            <w:tcW w:w="520" w:type="dxa"/>
            <w:vAlign w:val="bottom"/>
          </w:tcPr>
          <w:p>
            <w:pPr>
              <w:ind w:left="320"/>
              <w:spacing w:after="0"/>
              <w:rPr>
                <w:sz w:val="20"/>
                <w:szCs w:val="20"/>
                <w:color w:val="auto"/>
              </w:rPr>
            </w:pPr>
            <w:r>
              <w:rPr>
                <w:rFonts w:ascii="Courier New" w:cs="Courier New" w:eastAsia="Courier New" w:hAnsi="Courier New"/>
                <w:sz w:val="17"/>
                <w:szCs w:val="17"/>
                <w:color w:val="auto"/>
              </w:rPr>
              <w:t>3</w:t>
            </w:r>
          </w:p>
        </w:tc>
      </w:tr>
      <w:tr>
        <w:trPr>
          <w:trHeight w:val="400"/>
        </w:trPr>
        <w:tc>
          <w:tcPr>
            <w:tcW w:w="104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Consolidated Condensed Statements of Earnings for the Three and</w:t>
            </w:r>
          </w:p>
        </w:tc>
        <w:tc>
          <w:tcPr>
            <w:tcW w:w="520" w:type="dxa"/>
            <w:vAlign w:val="bottom"/>
          </w:tcPr>
          <w:p>
            <w:pPr>
              <w:spacing w:after="0"/>
              <w:rPr>
                <w:sz w:val="24"/>
                <w:szCs w:val="24"/>
                <w:color w:val="auto"/>
              </w:rPr>
            </w:pPr>
          </w:p>
        </w:tc>
      </w:tr>
      <w:tr>
        <w:trPr>
          <w:trHeight w:val="200"/>
        </w:trPr>
        <w:tc>
          <w:tcPr>
            <w:tcW w:w="104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Courier New" w:cs="Courier New" w:eastAsia="Courier New" w:hAnsi="Courier New"/>
                <w:sz w:val="17"/>
                <w:szCs w:val="17"/>
                <w:color w:val="auto"/>
              </w:rPr>
              <w:t>Six Months Ended June 29, 1996 and July 1, 1995.</w:t>
            </w:r>
          </w:p>
        </w:tc>
        <w:tc>
          <w:tcPr>
            <w:tcW w:w="520" w:type="dxa"/>
            <w:vAlign w:val="bottom"/>
          </w:tcPr>
          <w:p>
            <w:pPr>
              <w:ind w:left="320"/>
              <w:spacing w:after="0"/>
              <w:rPr>
                <w:sz w:val="20"/>
                <w:szCs w:val="20"/>
                <w:color w:val="auto"/>
              </w:rPr>
            </w:pPr>
            <w:r>
              <w:rPr>
                <w:rFonts w:ascii="Courier New" w:cs="Courier New" w:eastAsia="Courier New" w:hAnsi="Courier New"/>
                <w:sz w:val="17"/>
                <w:szCs w:val="17"/>
                <w:color w:val="auto"/>
              </w:rPr>
              <w:t>4</w:t>
            </w:r>
          </w:p>
        </w:tc>
      </w:tr>
      <w:tr>
        <w:trPr>
          <w:trHeight w:val="400"/>
        </w:trPr>
        <w:tc>
          <w:tcPr>
            <w:tcW w:w="104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Consolidated Condensed Statements of Cash Flows for the Six</w:t>
            </w:r>
          </w:p>
        </w:tc>
        <w:tc>
          <w:tcPr>
            <w:tcW w:w="520" w:type="dxa"/>
            <w:vAlign w:val="bottom"/>
          </w:tcPr>
          <w:p>
            <w:pPr>
              <w:spacing w:after="0"/>
              <w:rPr>
                <w:sz w:val="24"/>
                <w:szCs w:val="24"/>
                <w:color w:val="auto"/>
              </w:rPr>
            </w:pPr>
          </w:p>
        </w:tc>
      </w:tr>
      <w:tr>
        <w:trPr>
          <w:trHeight w:val="200"/>
        </w:trPr>
        <w:tc>
          <w:tcPr>
            <w:tcW w:w="104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Courier New" w:cs="Courier New" w:eastAsia="Courier New" w:hAnsi="Courier New"/>
                <w:sz w:val="17"/>
                <w:szCs w:val="17"/>
                <w:color w:val="auto"/>
              </w:rPr>
              <w:t>Months Ended June 29, 1996 and July 1, 1995.</w:t>
            </w:r>
          </w:p>
        </w:tc>
        <w:tc>
          <w:tcPr>
            <w:tcW w:w="520" w:type="dxa"/>
            <w:vAlign w:val="bottom"/>
          </w:tcPr>
          <w:p>
            <w:pPr>
              <w:ind w:left="320"/>
              <w:spacing w:after="0"/>
              <w:rPr>
                <w:sz w:val="20"/>
                <w:szCs w:val="20"/>
                <w:color w:val="auto"/>
              </w:rPr>
            </w:pPr>
            <w:r>
              <w:rPr>
                <w:rFonts w:ascii="Courier New" w:cs="Courier New" w:eastAsia="Courier New" w:hAnsi="Courier New"/>
                <w:sz w:val="17"/>
                <w:szCs w:val="17"/>
                <w:color w:val="auto"/>
              </w:rPr>
              <w:t>5</w:t>
            </w:r>
          </w:p>
        </w:tc>
      </w:tr>
      <w:tr>
        <w:trPr>
          <w:trHeight w:val="400"/>
        </w:trPr>
        <w:tc>
          <w:tcPr>
            <w:tcW w:w="104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Notes to Consolidated Condensed Financial Statements.</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w w:val="97"/>
              </w:rPr>
              <w:t>6-7</w:t>
            </w:r>
          </w:p>
        </w:tc>
      </w:tr>
      <w:tr>
        <w:trPr>
          <w:trHeight w:val="400"/>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2.</w:t>
            </w: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w:t>
            </w:r>
          </w:p>
        </w:tc>
        <w:tc>
          <w:tcPr>
            <w:tcW w:w="520" w:type="dxa"/>
            <w:vAlign w:val="bottom"/>
          </w:tcPr>
          <w:p>
            <w:pPr>
              <w:spacing w:after="0"/>
              <w:rPr>
                <w:sz w:val="24"/>
                <w:szCs w:val="24"/>
                <w:color w:val="auto"/>
              </w:rPr>
            </w:pPr>
          </w:p>
        </w:tc>
      </w:tr>
      <w:tr>
        <w:trPr>
          <w:trHeight w:val="200"/>
        </w:trPr>
        <w:tc>
          <w:tcPr>
            <w:tcW w:w="1040" w:type="dxa"/>
            <w:vAlign w:val="bottom"/>
          </w:tcPr>
          <w:p>
            <w:pPr>
              <w:spacing w:after="0"/>
              <w:rPr>
                <w:sz w:val="17"/>
                <w:szCs w:val="17"/>
                <w:color w:val="auto"/>
              </w:rPr>
            </w:pPr>
          </w:p>
        </w:tc>
        <w:tc>
          <w:tcPr>
            <w:tcW w:w="6760" w:type="dxa"/>
            <w:vAlign w:val="bottom"/>
          </w:tcPr>
          <w:p>
            <w:pPr>
              <w:ind w:left="320"/>
              <w:spacing w:after="0"/>
              <w:rPr>
                <w:sz w:val="20"/>
                <w:szCs w:val="20"/>
                <w:color w:val="auto"/>
              </w:rPr>
            </w:pPr>
            <w:r>
              <w:rPr>
                <w:rFonts w:ascii="Courier New" w:cs="Courier New" w:eastAsia="Courier New" w:hAnsi="Courier New"/>
                <w:sz w:val="17"/>
                <w:szCs w:val="17"/>
                <w:color w:val="auto"/>
              </w:rPr>
              <w:t>Condition and Results of Operations.</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w w:val="97"/>
              </w:rPr>
              <w:t>8-13</w:t>
            </w:r>
          </w:p>
        </w:tc>
      </w:tr>
      <w:tr>
        <w:trPr>
          <w:trHeight w:val="400"/>
        </w:trPr>
        <w:tc>
          <w:tcPr>
            <w:tcW w:w="104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Forward-Looking Statements and Risk Factors.</w:t>
            </w:r>
          </w:p>
        </w:tc>
        <w:tc>
          <w:tcPr>
            <w:tcW w:w="520" w:type="dxa"/>
            <w:vAlign w:val="bottom"/>
          </w:tcPr>
          <w:p>
            <w:pPr>
              <w:ind w:left="200"/>
              <w:spacing w:after="0"/>
              <w:rPr>
                <w:sz w:val="20"/>
                <w:szCs w:val="20"/>
                <w:color w:val="auto"/>
              </w:rPr>
            </w:pPr>
            <w:r>
              <w:rPr>
                <w:rFonts w:ascii="Courier New" w:cs="Courier New" w:eastAsia="Courier New" w:hAnsi="Courier New"/>
                <w:sz w:val="17"/>
                <w:szCs w:val="17"/>
                <w:color w:val="auto"/>
              </w:rPr>
              <w:t>14</w:t>
            </w:r>
          </w:p>
        </w:tc>
      </w:tr>
      <w:tr>
        <w:trPr>
          <w:trHeight w:val="599"/>
        </w:trPr>
        <w:tc>
          <w:tcPr>
            <w:tcW w:w="1040" w:type="dxa"/>
            <w:vAlign w:val="bottom"/>
          </w:tcPr>
          <w:p>
            <w:pPr>
              <w:spacing w:after="0"/>
              <w:rPr>
                <w:sz w:val="20"/>
                <w:szCs w:val="20"/>
                <w:color w:val="auto"/>
              </w:rPr>
            </w:pPr>
            <w:r>
              <w:rPr>
                <w:rFonts w:ascii="Courier New" w:cs="Courier New" w:eastAsia="Courier New" w:hAnsi="Courier New"/>
                <w:sz w:val="17"/>
                <w:szCs w:val="17"/>
                <w:color w:val="auto"/>
              </w:rPr>
              <w:t>PART II.</w:t>
            </w: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OTHER INFORMATION.</w:t>
            </w:r>
          </w:p>
        </w:tc>
        <w:tc>
          <w:tcPr>
            <w:tcW w:w="520" w:type="dxa"/>
            <w:vAlign w:val="bottom"/>
          </w:tcPr>
          <w:p>
            <w:pPr>
              <w:spacing w:after="0"/>
              <w:rPr>
                <w:sz w:val="24"/>
                <w:szCs w:val="24"/>
                <w:color w:val="auto"/>
              </w:rPr>
            </w:pPr>
          </w:p>
        </w:tc>
      </w:tr>
      <w:tr>
        <w:trPr>
          <w:trHeight w:val="400"/>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1.</w:t>
            </w: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Legal Proceedings - NONE.</w:t>
            </w:r>
          </w:p>
        </w:tc>
        <w:tc>
          <w:tcPr>
            <w:tcW w:w="520" w:type="dxa"/>
            <w:vAlign w:val="bottom"/>
          </w:tcPr>
          <w:p>
            <w:pPr>
              <w:spacing w:after="0"/>
              <w:rPr>
                <w:sz w:val="24"/>
                <w:szCs w:val="24"/>
                <w:color w:val="auto"/>
              </w:rPr>
            </w:pPr>
          </w:p>
        </w:tc>
      </w:tr>
      <w:tr>
        <w:trPr>
          <w:trHeight w:val="400"/>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2.</w:t>
            </w: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Changes in Securities - NONE.</w:t>
            </w:r>
          </w:p>
        </w:tc>
        <w:tc>
          <w:tcPr>
            <w:tcW w:w="520" w:type="dxa"/>
            <w:vAlign w:val="bottom"/>
          </w:tcPr>
          <w:p>
            <w:pPr>
              <w:spacing w:after="0"/>
              <w:rPr>
                <w:sz w:val="24"/>
                <w:szCs w:val="24"/>
                <w:color w:val="auto"/>
              </w:rPr>
            </w:pPr>
          </w:p>
        </w:tc>
      </w:tr>
      <w:tr>
        <w:trPr>
          <w:trHeight w:val="400"/>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3.</w:t>
            </w: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Defaults Upon Senior Securities - NONE.</w:t>
            </w:r>
          </w:p>
        </w:tc>
        <w:tc>
          <w:tcPr>
            <w:tcW w:w="520" w:type="dxa"/>
            <w:vAlign w:val="bottom"/>
          </w:tcPr>
          <w:p>
            <w:pPr>
              <w:spacing w:after="0"/>
              <w:rPr>
                <w:sz w:val="24"/>
                <w:szCs w:val="24"/>
                <w:color w:val="auto"/>
              </w:rPr>
            </w:pPr>
          </w:p>
        </w:tc>
      </w:tr>
      <w:tr>
        <w:trPr>
          <w:trHeight w:val="400"/>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4.</w:t>
            </w: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Submission of Matters to a Vote of Security Holders.</w:t>
            </w:r>
          </w:p>
        </w:tc>
        <w:tc>
          <w:tcPr>
            <w:tcW w:w="520" w:type="dxa"/>
            <w:vAlign w:val="bottom"/>
          </w:tcPr>
          <w:p>
            <w:pPr>
              <w:ind w:left="320"/>
              <w:spacing w:after="0"/>
              <w:rPr>
                <w:sz w:val="20"/>
                <w:szCs w:val="20"/>
                <w:color w:val="auto"/>
              </w:rPr>
            </w:pPr>
            <w:r>
              <w:rPr>
                <w:rFonts w:ascii="Courier New" w:cs="Courier New" w:eastAsia="Courier New" w:hAnsi="Courier New"/>
                <w:sz w:val="17"/>
                <w:szCs w:val="17"/>
                <w:color w:val="auto"/>
                <w:w w:val="87"/>
              </w:rPr>
              <w:t>15</w:t>
            </w:r>
          </w:p>
        </w:tc>
      </w:tr>
      <w:tr>
        <w:trPr>
          <w:trHeight w:val="400"/>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5.</w:t>
            </w: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Other Information - NONE.</w:t>
            </w:r>
          </w:p>
        </w:tc>
        <w:tc>
          <w:tcPr>
            <w:tcW w:w="520" w:type="dxa"/>
            <w:vAlign w:val="bottom"/>
          </w:tcPr>
          <w:p>
            <w:pPr>
              <w:spacing w:after="0"/>
              <w:rPr>
                <w:sz w:val="24"/>
                <w:szCs w:val="24"/>
                <w:color w:val="auto"/>
              </w:rPr>
            </w:pPr>
          </w:p>
        </w:tc>
      </w:tr>
      <w:tr>
        <w:trPr>
          <w:trHeight w:val="400"/>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6.</w:t>
            </w: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520" w:type="dxa"/>
            <w:vAlign w:val="bottom"/>
          </w:tcPr>
          <w:p>
            <w:pPr>
              <w:spacing w:after="0"/>
              <w:rPr>
                <w:sz w:val="24"/>
                <w:szCs w:val="24"/>
                <w:color w:val="auto"/>
              </w:rPr>
            </w:pPr>
          </w:p>
        </w:tc>
      </w:tr>
      <w:tr>
        <w:trPr>
          <w:trHeight w:val="400"/>
        </w:trPr>
        <w:tc>
          <w:tcPr>
            <w:tcW w:w="104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(a) Exhibit Index</w:t>
            </w:r>
          </w:p>
        </w:tc>
        <w:tc>
          <w:tcPr>
            <w:tcW w:w="520" w:type="dxa"/>
            <w:vAlign w:val="bottom"/>
          </w:tcPr>
          <w:p>
            <w:pPr>
              <w:ind w:left="320"/>
              <w:spacing w:after="0"/>
              <w:rPr>
                <w:sz w:val="20"/>
                <w:szCs w:val="20"/>
                <w:color w:val="auto"/>
              </w:rPr>
            </w:pPr>
            <w:r>
              <w:rPr>
                <w:rFonts w:ascii="Courier New" w:cs="Courier New" w:eastAsia="Courier New" w:hAnsi="Courier New"/>
                <w:sz w:val="17"/>
                <w:szCs w:val="17"/>
                <w:color w:val="auto"/>
                <w:w w:val="87"/>
              </w:rPr>
              <w:t>17</w:t>
            </w:r>
          </w:p>
        </w:tc>
      </w:tr>
      <w:tr>
        <w:trPr>
          <w:trHeight w:val="400"/>
        </w:trPr>
        <w:tc>
          <w:tcPr>
            <w:tcW w:w="1040" w:type="dxa"/>
            <w:vAlign w:val="bottom"/>
          </w:tcPr>
          <w:p>
            <w:pPr>
              <w:spacing w:after="0"/>
              <w:rPr>
                <w:sz w:val="24"/>
                <w:szCs w:val="24"/>
                <w:color w:val="auto"/>
              </w:rPr>
            </w:pPr>
          </w:p>
        </w:tc>
        <w:tc>
          <w:tcPr>
            <w:tcW w:w="6760" w:type="dxa"/>
            <w:vAlign w:val="bottom"/>
          </w:tcPr>
          <w:p>
            <w:pPr>
              <w:ind w:left="100"/>
              <w:spacing w:after="0"/>
              <w:rPr>
                <w:sz w:val="20"/>
                <w:szCs w:val="20"/>
                <w:color w:val="auto"/>
              </w:rPr>
            </w:pPr>
            <w:r>
              <w:rPr>
                <w:rFonts w:ascii="Courier New" w:cs="Courier New" w:eastAsia="Courier New" w:hAnsi="Courier New"/>
                <w:sz w:val="17"/>
                <w:szCs w:val="17"/>
                <w:color w:val="auto"/>
              </w:rPr>
              <w:t>(b)  No reports were filed on Form 8-K during the</w:t>
            </w:r>
          </w:p>
        </w:tc>
        <w:tc>
          <w:tcPr>
            <w:tcW w:w="520" w:type="dxa"/>
            <w:vAlign w:val="bottom"/>
          </w:tcPr>
          <w:p>
            <w:pPr>
              <w:spacing w:after="0"/>
              <w:rPr>
                <w:sz w:val="24"/>
                <w:szCs w:val="24"/>
                <w:color w:val="auto"/>
              </w:rPr>
            </w:pPr>
          </w:p>
        </w:tc>
      </w:tr>
      <w:tr>
        <w:trPr>
          <w:trHeight w:val="200"/>
        </w:trPr>
        <w:tc>
          <w:tcPr>
            <w:tcW w:w="1040" w:type="dxa"/>
            <w:vAlign w:val="bottom"/>
          </w:tcPr>
          <w:p>
            <w:pPr>
              <w:spacing w:after="0"/>
              <w:rPr>
                <w:sz w:val="17"/>
                <w:szCs w:val="17"/>
                <w:color w:val="auto"/>
              </w:rPr>
            </w:pPr>
          </w:p>
        </w:tc>
        <w:tc>
          <w:tcPr>
            <w:tcW w:w="6760" w:type="dxa"/>
            <w:vAlign w:val="bottom"/>
          </w:tcPr>
          <w:p>
            <w:pPr>
              <w:ind w:left="620"/>
              <w:spacing w:after="0"/>
              <w:rPr>
                <w:sz w:val="20"/>
                <w:szCs w:val="20"/>
                <w:color w:val="auto"/>
              </w:rPr>
            </w:pPr>
            <w:r>
              <w:rPr>
                <w:rFonts w:ascii="Courier New" w:cs="Courier New" w:eastAsia="Courier New" w:hAnsi="Courier New"/>
                <w:sz w:val="17"/>
                <w:szCs w:val="17"/>
                <w:color w:val="auto"/>
              </w:rPr>
              <w:t>six months ended June 29, 1996.</w:t>
            </w:r>
          </w:p>
        </w:tc>
        <w:tc>
          <w:tcPr>
            <w:tcW w:w="520" w:type="dxa"/>
            <w:vAlign w:val="bottom"/>
          </w:tcPr>
          <w:p>
            <w:pPr>
              <w:spacing w:after="0"/>
              <w:rPr>
                <w:sz w:val="17"/>
                <w:szCs w:val="17"/>
                <w:color w:val="auto"/>
              </w:rPr>
            </w:pPr>
          </w:p>
        </w:tc>
      </w:tr>
      <w:tr>
        <w:trPr>
          <w:trHeight w:val="400"/>
        </w:trPr>
        <w:tc>
          <w:tcPr>
            <w:tcW w:w="1040" w:type="dxa"/>
            <w:vAlign w:val="bottom"/>
          </w:tcPr>
          <w:p>
            <w:pPr>
              <w:spacing w:after="0"/>
              <w:rPr>
                <w:sz w:val="24"/>
                <w:szCs w:val="24"/>
                <w:color w:val="auto"/>
              </w:rPr>
            </w:pPr>
          </w:p>
        </w:tc>
        <w:tc>
          <w:tcPr>
            <w:tcW w:w="6760" w:type="dxa"/>
            <w:vAlign w:val="bottom"/>
          </w:tcPr>
          <w:p>
            <w:pPr>
              <w:ind w:left="2920"/>
              <w:spacing w:after="0"/>
              <w:rPr>
                <w:sz w:val="20"/>
                <w:szCs w:val="20"/>
                <w:color w:val="auto"/>
              </w:rPr>
            </w:pPr>
            <w:r>
              <w:rPr>
                <w:rFonts w:ascii="Courier New" w:cs="Courier New" w:eastAsia="Courier New" w:hAnsi="Courier New"/>
                <w:sz w:val="17"/>
                <w:szCs w:val="17"/>
                <w:color w:val="auto"/>
              </w:rPr>
              <w:t>2</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31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7"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7"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CONSOLIDATED CONDENSED BALANCE SHEETS</w:t>
      </w:r>
    </w:p>
    <w:p>
      <w:pPr>
        <w:spacing w:after="0" w:line="7"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June 29,</w:t>
            </w:r>
          </w:p>
        </w:tc>
        <w:tc>
          <w:tcPr>
            <w:tcW w:w="1480" w:type="dxa"/>
            <w:vAlign w:val="bottom"/>
          </w:tcPr>
          <w:p>
            <w:pPr>
              <w:jc w:val="right"/>
              <w:ind w:right="93"/>
              <w:spacing w:after="0"/>
              <w:rPr>
                <w:sz w:val="20"/>
                <w:szCs w:val="20"/>
                <w:color w:val="auto"/>
              </w:rPr>
            </w:pPr>
            <w:r>
              <w:rPr>
                <w:rFonts w:ascii="Courier New" w:cs="Courier New" w:eastAsia="Courier New" w:hAnsi="Courier New"/>
                <w:sz w:val="17"/>
                <w:szCs w:val="17"/>
                <w:color w:val="auto"/>
              </w:rPr>
              <w:t>December 30,</w:t>
            </w:r>
          </w:p>
        </w:tc>
      </w:tr>
      <w:tr>
        <w:trPr>
          <w:trHeight w:val="200"/>
        </w:trPr>
        <w:tc>
          <w:tcPr>
            <w:tcW w:w="8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1996</w:t>
            </w:r>
          </w:p>
        </w:tc>
        <w:tc>
          <w:tcPr>
            <w:tcW w:w="148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93"/>
              <w:spacing w:after="0"/>
              <w:rPr>
                <w:sz w:val="20"/>
                <w:szCs w:val="20"/>
                <w:color w:val="auto"/>
              </w:rPr>
            </w:pPr>
            <w:r>
              <w:rPr>
                <w:rFonts w:ascii="Courier New" w:cs="Courier New" w:eastAsia="Courier New" w:hAnsi="Courier New"/>
                <w:sz w:val="17"/>
                <w:szCs w:val="17"/>
                <w:color w:val="auto"/>
              </w:rPr>
              <w:t>------------</w:t>
            </w:r>
          </w:p>
        </w:tc>
      </w:tr>
      <w:tr>
        <w:trPr>
          <w:trHeight w:val="400"/>
        </w:trPr>
        <w:tc>
          <w:tcPr>
            <w:tcW w:w="85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0"/>
        </w:trPr>
        <w:tc>
          <w:tcPr>
            <w:tcW w:w="85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0"/>
        </w:trPr>
        <w:tc>
          <w:tcPr>
            <w:tcW w:w="8520" w:type="dxa"/>
            <w:vAlign w:val="bottom"/>
          </w:tcPr>
          <w:p>
            <w:pPr>
              <w:ind w:left="220"/>
              <w:spacing w:after="0"/>
              <w:rPr>
                <w:sz w:val="20"/>
                <w:szCs w:val="20"/>
                <w:color w:val="auto"/>
              </w:rPr>
            </w:pPr>
            <w:r>
              <w:rPr>
                <w:rFonts w:ascii="Courier New" w:cs="Courier New" w:eastAsia="Courier New" w:hAnsi="Courier New"/>
                <w:sz w:val="17"/>
                <w:szCs w:val="17"/>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126,644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$ 21,471,821</w:t>
            </w:r>
          </w:p>
        </w:tc>
      </w:tr>
      <w:tr>
        <w:trPr>
          <w:trHeight w:val="200"/>
        </w:trPr>
        <w:tc>
          <w:tcPr>
            <w:tcW w:w="852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61,548,339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24,569,330</w:t>
            </w:r>
          </w:p>
        </w:tc>
      </w:tr>
      <w:tr>
        <w:trPr>
          <w:trHeight w:val="200"/>
        </w:trPr>
        <w:tc>
          <w:tcPr>
            <w:tcW w:w="8520" w:type="dxa"/>
            <w:vAlign w:val="bottom"/>
          </w:tcPr>
          <w:p>
            <w:pPr>
              <w:ind w:left="220"/>
              <w:spacing w:after="0"/>
              <w:rPr>
                <w:sz w:val="20"/>
                <w:szCs w:val="20"/>
                <w:color w:val="auto"/>
              </w:rPr>
            </w:pPr>
            <w:r>
              <w:rPr>
                <w:rFonts w:ascii="Courier New" w:cs="Courier New" w:eastAsia="Courier New" w:hAnsi="Courier New"/>
                <w:sz w:val="17"/>
                <w:szCs w:val="17"/>
                <w:color w:val="auto"/>
              </w:rPr>
              <w:t>Inventories: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Raw materials................................................................</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26,533,010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22,409,785</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Finished goods...............................................................</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51,505,254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43,501,348</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Prepaid income taxes...........................................................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810,666</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current assets...........................................................</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3,415,408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3,566,812</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CURRENT ASSETS....................................................</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143,128,655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116,329,762</w:t>
            </w:r>
          </w:p>
        </w:tc>
      </w:tr>
      <w:tr>
        <w:trPr>
          <w:trHeight w:val="4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ASSETS.....................................................................</w:t>
            </w:r>
          </w:p>
        </w:tc>
        <w:tc>
          <w:tcPr>
            <w:tcW w:w="22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5,320,264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4,041,369</w:t>
            </w:r>
          </w:p>
        </w:tc>
      </w:tr>
      <w:tr>
        <w:trPr>
          <w:trHeight w:val="400"/>
        </w:trPr>
        <w:tc>
          <w:tcPr>
            <w:tcW w:w="8520" w:type="dxa"/>
            <w:vAlign w:val="bottom"/>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Property, plant and equipment, at cost.........................................</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95,947,671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91,766,778</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Accumulated depreciation and amortization......................................</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(40,213,848)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(36,481,076)</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PROPERTY, PLANT AND EQUIPMENT, NET......................................</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55,733,823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55,285,702</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8520" w:type="dxa"/>
            <w:vAlign w:val="bottom"/>
          </w:tcPr>
          <w:p>
            <w:pPr>
              <w:spacing w:after="0"/>
              <w:rPr>
                <w:sz w:val="24"/>
                <w:szCs w:val="24"/>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$204,182,742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$175,656,833</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52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0"/>
        </w:trPr>
        <w:tc>
          <w:tcPr>
            <w:tcW w:w="85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Accounts payable...............................................................</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$32,146,610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$14,138,012</w:t>
            </w:r>
          </w:p>
        </w:tc>
      </w:tr>
      <w:tr>
        <w:trPr>
          <w:trHeight w:val="200"/>
        </w:trPr>
        <w:tc>
          <w:tcPr>
            <w:tcW w:w="8520" w:type="dxa"/>
            <w:vAlign w:val="bottom"/>
          </w:tcPr>
          <w:p>
            <w:pPr>
              <w:ind w:left="220"/>
              <w:spacing w:after="0"/>
              <w:rPr>
                <w:sz w:val="20"/>
                <w:szCs w:val="20"/>
                <w:color w:val="auto"/>
              </w:rPr>
            </w:pPr>
            <w:r>
              <w:rPr>
                <w:rFonts w:ascii="Courier New" w:cs="Courier New" w:eastAsia="Courier New" w:hAnsi="Courier New"/>
                <w:sz w:val="17"/>
                <w:szCs w:val="17"/>
                <w:color w:val="auto"/>
              </w:rPr>
              <w:t>Accrued liabilities: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Compensation and benefits....................................................</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13,641,622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14,572,566</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Income taxes.................................................................</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2,398,563</w:t>
            </w:r>
          </w:p>
        </w:tc>
        <w:tc>
          <w:tcPr>
            <w:tcW w:w="1480" w:type="dxa"/>
            <w:vAlign w:val="bottom"/>
          </w:tcPr>
          <w:p>
            <w:pPr>
              <w:spacing w:after="0"/>
              <w:rPr>
                <w:sz w:val="17"/>
                <w:szCs w:val="17"/>
                <w:color w:val="auto"/>
              </w:rPr>
            </w:pP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3,780,849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4,131,833</w:t>
            </w:r>
          </w:p>
        </w:tc>
      </w:tr>
      <w:tr>
        <w:trPr>
          <w:trHeight w:val="200"/>
        </w:trPr>
        <w:tc>
          <w:tcPr>
            <w:tcW w:w="8520" w:type="dxa"/>
            <w:vAlign w:val="bottom"/>
          </w:tcPr>
          <w:p>
            <w:pPr>
              <w:ind w:left="220"/>
              <w:spacing w:after="0"/>
              <w:rPr>
                <w:sz w:val="20"/>
                <w:szCs w:val="20"/>
                <w:color w:val="auto"/>
              </w:rPr>
            </w:pPr>
            <w:r>
              <w:rPr>
                <w:rFonts w:ascii="Courier New" w:cs="Courier New" w:eastAsia="Courier New" w:hAnsi="Courier New"/>
                <w:sz w:val="17"/>
                <w:szCs w:val="17"/>
                <w:color w:val="auto"/>
              </w:rPr>
              <w:t>Current portion of long-term debt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and capital lease obligations ................................................</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3,913,000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3,928,433</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CURRENT LIABILITIES...............................................</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55,880,644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36,770,844</w:t>
            </w:r>
          </w:p>
        </w:tc>
      </w:tr>
      <w:tr>
        <w:trPr>
          <w:trHeight w:val="400"/>
        </w:trPr>
        <w:tc>
          <w:tcPr>
            <w:tcW w:w="8520" w:type="dxa"/>
            <w:vAlign w:val="bottom"/>
          </w:tcPr>
          <w:p>
            <w:pPr>
              <w:spacing w:after="0"/>
              <w:rPr>
                <w:sz w:val="20"/>
                <w:szCs w:val="20"/>
                <w:color w:val="auto"/>
              </w:rPr>
            </w:pPr>
            <w:r>
              <w:rPr>
                <w:rFonts w:ascii="Courier New" w:cs="Courier New" w:eastAsia="Courier New" w:hAnsi="Courier New"/>
                <w:sz w:val="17"/>
                <w:szCs w:val="17"/>
                <w:color w:val="auto"/>
              </w:rPr>
              <w:t>LONG-TERM DEBT AND CAPITAL LEASE</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OBLIGATIONS, less current portion..............................................</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50,564,275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52,455,513</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LIABILITIES................................................................</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4,142,631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2,991,622</w:t>
            </w:r>
          </w:p>
        </w:tc>
      </w:tr>
      <w:tr>
        <w:trPr>
          <w:trHeight w:val="400"/>
        </w:trPr>
        <w:tc>
          <w:tcPr>
            <w:tcW w:w="85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0"/>
        </w:trPr>
        <w:tc>
          <w:tcPr>
            <w:tcW w:w="852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no par value; shares authorized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0"/>
        </w:trPr>
        <w:tc>
          <w:tcPr>
            <w:tcW w:w="8520" w:type="dxa"/>
            <w:vAlign w:val="bottom"/>
          </w:tcPr>
          <w:p>
            <w:pPr>
              <w:ind w:left="420"/>
              <w:spacing w:after="0"/>
              <w:rPr>
                <w:sz w:val="20"/>
                <w:szCs w:val="20"/>
                <w:color w:val="auto"/>
              </w:rPr>
            </w:pPr>
            <w:r>
              <w:rPr>
                <w:rFonts w:ascii="Courier New" w:cs="Courier New" w:eastAsia="Courier New" w:hAnsi="Courier New"/>
                <w:sz w:val="17"/>
                <w:szCs w:val="17"/>
                <w:color w:val="auto"/>
              </w:rPr>
              <w:t>1,000,000; issued and outstanding, none</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0"/>
        </w:trPr>
        <w:tc>
          <w:tcPr>
            <w:tcW w:w="8520" w:type="dxa"/>
            <w:vAlign w:val="bottom"/>
          </w:tcPr>
          <w:p>
            <w:pPr>
              <w:ind w:left="220"/>
              <w:spacing w:after="0"/>
              <w:rPr>
                <w:sz w:val="20"/>
                <w:szCs w:val="20"/>
                <w:color w:val="auto"/>
              </w:rPr>
            </w:pPr>
            <w:r>
              <w:rPr>
                <w:rFonts w:ascii="Courier New" w:cs="Courier New" w:eastAsia="Courier New" w:hAnsi="Courier New"/>
                <w:sz w:val="17"/>
                <w:szCs w:val="17"/>
                <w:color w:val="auto"/>
              </w:rPr>
              <w:t>Common stock, no par value; shares authorized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0"/>
        </w:trPr>
        <w:tc>
          <w:tcPr>
            <w:tcW w:w="8520" w:type="dxa"/>
            <w:vAlign w:val="bottom"/>
          </w:tcPr>
          <w:p>
            <w:pPr>
              <w:ind w:left="420"/>
              <w:spacing w:after="0"/>
              <w:rPr>
                <w:sz w:val="20"/>
                <w:szCs w:val="20"/>
                <w:color w:val="auto"/>
              </w:rPr>
            </w:pPr>
            <w:r>
              <w:rPr>
                <w:rFonts w:ascii="Courier New" w:cs="Courier New" w:eastAsia="Courier New" w:hAnsi="Courier New"/>
                <w:sz w:val="17"/>
                <w:szCs w:val="17"/>
                <w:color w:val="auto"/>
              </w:rPr>
              <w:t>25,000,000; issued and outstanding, 17,038,200</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and 17,041,496...............................................................</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17,038,200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17,041,496</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Additional paid-in capital.....................................................</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28,779,292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28,615,581</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Retained earnings..............................................................</w:t>
            </w: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49,106,320</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39,525,149</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Foreign currency translation adjustment........................................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(656,093)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(997,549)</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94,267,719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84,184,677</w:t>
            </w:r>
          </w:p>
        </w:tc>
      </w:tr>
      <w:tr>
        <w:trPr>
          <w:trHeight w:val="200"/>
        </w:trPr>
        <w:tc>
          <w:tcPr>
            <w:tcW w:w="8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Officers' stock notes receivable...............................................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(672,527)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(745,823)</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93,595,192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83,438,854</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$204,182,742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$175,656,833</w:t>
            </w:r>
          </w:p>
        </w:tc>
      </w:tr>
      <w:tr>
        <w:trPr>
          <w:trHeight w:val="200"/>
        </w:trPr>
        <w:tc>
          <w:tcPr>
            <w:tcW w:w="8520" w:type="dxa"/>
            <w:vAlign w:val="bottom"/>
          </w:tcPr>
          <w:p>
            <w:pPr>
              <w:spacing w:after="0"/>
              <w:rPr>
                <w:sz w:val="17"/>
                <w:szCs w:val="17"/>
                <w:color w:val="auto"/>
              </w:rPr>
            </w:pPr>
          </w:p>
        </w:tc>
        <w:tc>
          <w:tcPr>
            <w:tcW w:w="15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condensed financial statements.</w:t>
      </w:r>
    </w:p>
    <w:p>
      <w:pPr>
        <w:sectPr>
          <w:pgSz w:w="11900" w:h="16838" w:orient="portrait"/>
          <w:cols w:equalWidth="0" w:num="1">
            <w:col w:w="11520"/>
          </w:cols>
          <w:pgMar w:left="240" w:top="315" w:right="139" w:bottom="1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315" w:right="139" w:bottom="193"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CONSOLIDATED CONDENSED STATEMENTS OF EARNINGS</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3"/>
          </w:tcPr>
          <w:p>
            <w:pPr>
              <w:jc w:val="right"/>
              <w:ind w:right="493"/>
              <w:spacing w:after="0"/>
              <w:rPr>
                <w:sz w:val="20"/>
                <w:szCs w:val="20"/>
                <w:color w:val="auto"/>
              </w:rPr>
            </w:pPr>
            <w:r>
              <w:rPr>
                <w:rFonts w:ascii="Courier New" w:cs="Courier New" w:eastAsia="Courier New" w:hAnsi="Courier New"/>
                <w:sz w:val="17"/>
                <w:szCs w:val="17"/>
                <w:color w:val="auto"/>
              </w:rPr>
              <w:t>Three Months Ended</w:t>
            </w:r>
          </w:p>
        </w:tc>
        <w:tc>
          <w:tcPr>
            <w:tcW w:w="160" w:type="dxa"/>
            <w:vAlign w:val="bottom"/>
          </w:tcPr>
          <w:p>
            <w:pPr>
              <w:spacing w:after="0"/>
              <w:rPr>
                <w:sz w:val="16"/>
                <w:szCs w:val="16"/>
                <w:color w:val="auto"/>
              </w:rPr>
            </w:pPr>
          </w:p>
        </w:tc>
        <w:tc>
          <w:tcPr>
            <w:tcW w:w="2700" w:type="dxa"/>
            <w:vAlign w:val="bottom"/>
            <w:gridSpan w:val="3"/>
          </w:tcPr>
          <w:p>
            <w:pPr>
              <w:jc w:val="right"/>
              <w:ind w:right="553"/>
              <w:spacing w:after="0"/>
              <w:rPr>
                <w:sz w:val="20"/>
                <w:szCs w:val="20"/>
                <w:color w:val="auto"/>
              </w:rPr>
            </w:pPr>
            <w:r>
              <w:rPr>
                <w:rFonts w:ascii="Courier New" w:cs="Courier New" w:eastAsia="Courier New" w:hAnsi="Courier New"/>
                <w:sz w:val="17"/>
                <w:szCs w:val="17"/>
                <w:color w:val="auto"/>
              </w:rPr>
              <w:t>Six Months Ended</w:t>
            </w:r>
          </w:p>
        </w:tc>
      </w:tr>
      <w:tr>
        <w:trPr>
          <w:trHeight w:val="200"/>
        </w:trPr>
        <w:tc>
          <w:tcPr>
            <w:tcW w:w="334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6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June 29,</w:t>
            </w:r>
          </w:p>
        </w:tc>
        <w:tc>
          <w:tcPr>
            <w:tcW w:w="14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July 1,</w:t>
            </w:r>
          </w:p>
        </w:tc>
        <w:tc>
          <w:tcPr>
            <w:tcW w:w="160" w:type="dxa"/>
            <w:vAlign w:val="bottom"/>
          </w:tcPr>
          <w:p>
            <w:pPr>
              <w:spacing w:after="0"/>
              <w:rPr>
                <w:sz w:val="17"/>
                <w:szCs w:val="17"/>
                <w:color w:val="auto"/>
              </w:rPr>
            </w:pPr>
          </w:p>
        </w:tc>
        <w:tc>
          <w:tcPr>
            <w:tcW w:w="1300" w:type="dxa"/>
            <w:vAlign w:val="bottom"/>
          </w:tcPr>
          <w:p>
            <w:pPr>
              <w:jc w:val="right"/>
              <w:ind w:right="393"/>
              <w:spacing w:after="0"/>
              <w:rPr>
                <w:sz w:val="20"/>
                <w:szCs w:val="20"/>
                <w:color w:val="auto"/>
              </w:rPr>
            </w:pPr>
            <w:r>
              <w:rPr>
                <w:rFonts w:ascii="Courier New" w:cs="Courier New" w:eastAsia="Courier New" w:hAnsi="Courier New"/>
                <w:sz w:val="17"/>
                <w:szCs w:val="17"/>
                <w:color w:val="auto"/>
                <w:w w:val="97"/>
              </w:rPr>
              <w:t>June 29,</w:t>
            </w:r>
          </w:p>
        </w:tc>
        <w:tc>
          <w:tcPr>
            <w:tcW w:w="140" w:type="dxa"/>
            <w:vAlign w:val="bottom"/>
          </w:tcPr>
          <w:p>
            <w:pPr>
              <w:spacing w:after="0"/>
              <w:rPr>
                <w:sz w:val="17"/>
                <w:szCs w:val="17"/>
                <w:color w:val="auto"/>
              </w:rPr>
            </w:pPr>
          </w:p>
        </w:tc>
        <w:tc>
          <w:tcPr>
            <w:tcW w:w="12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July 1,</w:t>
            </w:r>
          </w:p>
        </w:tc>
      </w:tr>
      <w:tr>
        <w:trPr>
          <w:trHeight w:val="200"/>
        </w:trPr>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1996</w:t>
            </w:r>
          </w:p>
        </w:tc>
        <w:tc>
          <w:tcPr>
            <w:tcW w:w="260" w:type="dxa"/>
            <w:vAlign w:val="bottom"/>
          </w:tcPr>
          <w:p>
            <w:pPr>
              <w:spacing w:after="0"/>
              <w:rPr>
                <w:sz w:val="17"/>
                <w:szCs w:val="17"/>
                <w:color w:val="auto"/>
              </w:rPr>
            </w:pPr>
          </w:p>
        </w:tc>
        <w:tc>
          <w:tcPr>
            <w:tcW w:w="1200" w:type="dxa"/>
            <w:vAlign w:val="bottom"/>
          </w:tcPr>
          <w:p>
            <w:pPr>
              <w:jc w:val="right"/>
              <w:ind w:right="693"/>
              <w:spacing w:after="0"/>
              <w:rPr>
                <w:sz w:val="20"/>
                <w:szCs w:val="20"/>
                <w:color w:val="auto"/>
              </w:rPr>
            </w:pPr>
            <w:r>
              <w:rPr>
                <w:rFonts w:ascii="Courier New" w:cs="Courier New" w:eastAsia="Courier New" w:hAnsi="Courier New"/>
                <w:sz w:val="17"/>
                <w:szCs w:val="17"/>
                <w:color w:val="auto"/>
                <w:w w:val="97"/>
              </w:rPr>
              <w:t>1995</w:t>
            </w:r>
          </w:p>
        </w:tc>
        <w:tc>
          <w:tcPr>
            <w:tcW w:w="160" w:type="dxa"/>
            <w:vAlign w:val="bottom"/>
          </w:tcPr>
          <w:p>
            <w:pPr>
              <w:spacing w:after="0"/>
              <w:rPr>
                <w:sz w:val="17"/>
                <w:szCs w:val="17"/>
                <w:color w:val="auto"/>
              </w:rPr>
            </w:pPr>
          </w:p>
        </w:tc>
        <w:tc>
          <w:tcPr>
            <w:tcW w:w="13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7"/>
                <w:szCs w:val="17"/>
                <w:color w:val="auto"/>
              </w:rPr>
            </w:pPr>
          </w:p>
        </w:tc>
        <w:tc>
          <w:tcPr>
            <w:tcW w:w="126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3340" w:type="dxa"/>
            <w:vAlign w:val="bottom"/>
          </w:tcPr>
          <w:p>
            <w:pPr>
              <w:spacing w:after="0"/>
              <w:rPr>
                <w:sz w:val="17"/>
                <w:szCs w:val="17"/>
                <w:color w:val="auto"/>
              </w:rPr>
            </w:pPr>
          </w:p>
        </w:tc>
        <w:tc>
          <w:tcPr>
            <w:tcW w:w="16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599"/>
        </w:trPr>
        <w:tc>
          <w:tcPr>
            <w:tcW w:w="3340" w:type="dxa"/>
            <w:vAlign w:val="bottom"/>
          </w:tcPr>
          <w:p>
            <w:pPr>
              <w:spacing w:after="0"/>
              <w:rPr>
                <w:sz w:val="20"/>
                <w:szCs w:val="20"/>
                <w:color w:val="auto"/>
              </w:rPr>
            </w:pPr>
            <w:r>
              <w:rPr>
                <w:rFonts w:ascii="Courier New" w:cs="Courier New" w:eastAsia="Courier New" w:hAnsi="Courier New"/>
                <w:sz w:val="17"/>
                <w:szCs w:val="17"/>
                <w:color w:val="auto"/>
              </w:rPr>
              <w:t>NET SALES .....................</w:t>
            </w:r>
          </w:p>
        </w:tc>
        <w:tc>
          <w:tcPr>
            <w:tcW w:w="16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$275,727,249</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$235,436,944</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$435,308,166</w:t>
            </w:r>
          </w:p>
        </w:tc>
        <w:tc>
          <w:tcPr>
            <w:tcW w:w="14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$410,424,751</w:t>
            </w:r>
          </w:p>
        </w:tc>
      </w:tr>
      <w:tr>
        <w:trPr>
          <w:trHeight w:val="4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COST OF GOODS SOLD ............</w:t>
            </w:r>
          </w:p>
        </w:tc>
        <w:tc>
          <w:tcPr>
            <w:tcW w:w="30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244,844,785</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212,062,613</w:t>
            </w:r>
          </w:p>
        </w:tc>
        <w:tc>
          <w:tcPr>
            <w:tcW w:w="1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387,441,737</w:t>
            </w:r>
          </w:p>
        </w:tc>
        <w:tc>
          <w:tcPr>
            <w:tcW w:w="140" w:type="dxa"/>
            <w:vAlign w:val="bottom"/>
          </w:tcPr>
          <w:p>
            <w:pPr>
              <w:spacing w:after="0"/>
              <w:rPr>
                <w:sz w:val="24"/>
                <w:szCs w:val="24"/>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368,064,437</w:t>
            </w:r>
          </w:p>
        </w:tc>
      </w:tr>
      <w:tr>
        <w:trPr>
          <w:trHeight w:val="200"/>
        </w:trPr>
        <w:tc>
          <w:tcPr>
            <w:tcW w:w="3340" w:type="dxa"/>
            <w:vAlign w:val="bottom"/>
          </w:tcPr>
          <w:p>
            <w:pPr>
              <w:spacing w:after="0"/>
              <w:rPr>
                <w:sz w:val="17"/>
                <w:szCs w:val="17"/>
                <w:color w:val="auto"/>
              </w:rPr>
            </w:pPr>
          </w:p>
        </w:tc>
        <w:tc>
          <w:tcPr>
            <w:tcW w:w="16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GROSS PROFIT ..................</w:t>
            </w:r>
          </w:p>
        </w:tc>
        <w:tc>
          <w:tcPr>
            <w:tcW w:w="30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30,882,464</w:t>
            </w:r>
          </w:p>
        </w:tc>
        <w:tc>
          <w:tcPr>
            <w:tcW w:w="26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23,374,331</w:t>
            </w:r>
          </w:p>
        </w:tc>
        <w:tc>
          <w:tcPr>
            <w:tcW w:w="1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47,866,429</w:t>
            </w:r>
          </w:p>
        </w:tc>
        <w:tc>
          <w:tcPr>
            <w:tcW w:w="140" w:type="dxa"/>
            <w:vAlign w:val="bottom"/>
          </w:tcPr>
          <w:p>
            <w:pPr>
              <w:spacing w:after="0"/>
              <w:rPr>
                <w:sz w:val="24"/>
                <w:szCs w:val="24"/>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42,360,314</w:t>
            </w:r>
          </w:p>
        </w:tc>
      </w:tr>
      <w:tr>
        <w:trPr>
          <w:trHeight w:val="4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SELLING, GENERAL AND</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ADMINISTRATIVE EXPENSES ......</w:t>
            </w:r>
          </w:p>
        </w:tc>
        <w:tc>
          <w:tcPr>
            <w:tcW w:w="30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16,350,916</w:t>
            </w:r>
          </w:p>
        </w:tc>
        <w:tc>
          <w:tcPr>
            <w:tcW w:w="26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13,498,165</w:t>
            </w:r>
          </w:p>
        </w:tc>
        <w:tc>
          <w:tcPr>
            <w:tcW w:w="16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28,136,479</w:t>
            </w:r>
          </w:p>
        </w:tc>
        <w:tc>
          <w:tcPr>
            <w:tcW w:w="140" w:type="dxa"/>
            <w:vAlign w:val="bottom"/>
          </w:tcPr>
          <w:p>
            <w:pPr>
              <w:spacing w:after="0"/>
              <w:rPr>
                <w:sz w:val="17"/>
                <w:szCs w:val="17"/>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25,419,524</w:t>
            </w:r>
          </w:p>
        </w:tc>
      </w:tr>
      <w:tr>
        <w:trPr>
          <w:trHeight w:val="200"/>
        </w:trPr>
        <w:tc>
          <w:tcPr>
            <w:tcW w:w="3340" w:type="dxa"/>
            <w:vAlign w:val="bottom"/>
          </w:tcPr>
          <w:p>
            <w:pPr>
              <w:spacing w:after="0"/>
              <w:rPr>
                <w:sz w:val="17"/>
                <w:szCs w:val="17"/>
                <w:color w:val="auto"/>
              </w:rPr>
            </w:pPr>
          </w:p>
        </w:tc>
        <w:tc>
          <w:tcPr>
            <w:tcW w:w="16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EARNINGS FROM OPERATIONS ......</w:t>
            </w:r>
          </w:p>
        </w:tc>
        <w:tc>
          <w:tcPr>
            <w:tcW w:w="30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14,531,548</w:t>
            </w:r>
          </w:p>
        </w:tc>
        <w:tc>
          <w:tcPr>
            <w:tcW w:w="26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9,876,166</w:t>
            </w:r>
          </w:p>
        </w:tc>
        <w:tc>
          <w:tcPr>
            <w:tcW w:w="1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19,729,950</w:t>
            </w:r>
          </w:p>
        </w:tc>
        <w:tc>
          <w:tcPr>
            <w:tcW w:w="140" w:type="dxa"/>
            <w:vAlign w:val="bottom"/>
          </w:tcPr>
          <w:p>
            <w:pPr>
              <w:spacing w:after="0"/>
              <w:rPr>
                <w:sz w:val="24"/>
                <w:szCs w:val="24"/>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16,940,790</w:t>
            </w:r>
          </w:p>
        </w:tc>
      </w:tr>
      <w:tr>
        <w:trPr>
          <w:trHeight w:val="4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Interest income ..............</w:t>
            </w:r>
          </w:p>
        </w:tc>
        <w:tc>
          <w:tcPr>
            <w:tcW w:w="30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119,504</w:t>
            </w:r>
          </w:p>
        </w:tc>
        <w:tc>
          <w:tcPr>
            <w:tcW w:w="26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94,238</w:t>
            </w:r>
          </w:p>
        </w:tc>
        <w:tc>
          <w:tcPr>
            <w:tcW w:w="16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289,679</w:t>
            </w:r>
          </w:p>
        </w:tc>
        <w:tc>
          <w:tcPr>
            <w:tcW w:w="140" w:type="dxa"/>
            <w:vAlign w:val="bottom"/>
          </w:tcPr>
          <w:p>
            <w:pPr>
              <w:spacing w:after="0"/>
              <w:rPr>
                <w:sz w:val="17"/>
                <w:szCs w:val="17"/>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154,303</w:t>
            </w:r>
          </w:p>
        </w:tc>
      </w:tr>
      <w:tr>
        <w:trPr>
          <w:trHeight w:val="2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Interest expense .............</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(1,017,646)</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w w:val="99"/>
              </w:rPr>
              <w:t>(1,246,069)</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(2,045,691)</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(2,620,562)</w:t>
            </w:r>
          </w:p>
        </w:tc>
      </w:tr>
      <w:tr>
        <w:trPr>
          <w:trHeight w:val="2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Other, net ...................</w:t>
            </w:r>
          </w:p>
        </w:tc>
        <w:tc>
          <w:tcPr>
            <w:tcW w:w="30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142,976</w:t>
            </w:r>
          </w:p>
        </w:tc>
        <w:tc>
          <w:tcPr>
            <w:tcW w:w="26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178,695</w:t>
            </w:r>
          </w:p>
        </w:tc>
        <w:tc>
          <w:tcPr>
            <w:tcW w:w="16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201,262</w:t>
            </w:r>
          </w:p>
        </w:tc>
        <w:tc>
          <w:tcPr>
            <w:tcW w:w="140" w:type="dxa"/>
            <w:vAlign w:val="bottom"/>
          </w:tcPr>
          <w:p>
            <w:pPr>
              <w:spacing w:after="0"/>
              <w:rPr>
                <w:sz w:val="17"/>
                <w:szCs w:val="17"/>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409,479</w:t>
            </w:r>
          </w:p>
        </w:tc>
      </w:tr>
      <w:tr>
        <w:trPr>
          <w:trHeight w:val="200"/>
        </w:trPr>
        <w:tc>
          <w:tcPr>
            <w:tcW w:w="3340" w:type="dxa"/>
            <w:vAlign w:val="bottom"/>
          </w:tcPr>
          <w:p>
            <w:pPr>
              <w:spacing w:after="0"/>
              <w:rPr>
                <w:sz w:val="17"/>
                <w:szCs w:val="17"/>
                <w:color w:val="auto"/>
              </w:rPr>
            </w:pPr>
          </w:p>
        </w:tc>
        <w:tc>
          <w:tcPr>
            <w:tcW w:w="16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3340" w:type="dxa"/>
            <w:vAlign w:val="bottom"/>
          </w:tcPr>
          <w:p>
            <w:pPr>
              <w:jc w:val="right"/>
              <w:ind w:right="1593"/>
              <w:spacing w:after="0"/>
              <w:rPr>
                <w:sz w:val="20"/>
                <w:szCs w:val="20"/>
                <w:color w:val="auto"/>
              </w:rPr>
            </w:pPr>
            <w:r>
              <w:rPr>
                <w:rFonts w:ascii="Courier New" w:cs="Courier New" w:eastAsia="Courier New" w:hAnsi="Courier New"/>
                <w:sz w:val="17"/>
                <w:szCs w:val="17"/>
                <w:color w:val="auto"/>
              </w:rPr>
              <w:t>TOTAL OTHER</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INCOME (EXPENSE) .........</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(755,166)</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(973,136)</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(1,554,750)</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(2,056,780)</w:t>
            </w:r>
          </w:p>
        </w:tc>
      </w:tr>
      <w:tr>
        <w:trPr>
          <w:trHeight w:val="200"/>
        </w:trPr>
        <w:tc>
          <w:tcPr>
            <w:tcW w:w="3340" w:type="dxa"/>
            <w:vAlign w:val="bottom"/>
          </w:tcPr>
          <w:p>
            <w:pPr>
              <w:spacing w:after="0"/>
              <w:rPr>
                <w:sz w:val="17"/>
                <w:szCs w:val="17"/>
                <w:color w:val="auto"/>
              </w:rPr>
            </w:pPr>
          </w:p>
        </w:tc>
        <w:tc>
          <w:tcPr>
            <w:tcW w:w="16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EARNINGS BEFORE INCOME TAXES ..</w:t>
            </w:r>
          </w:p>
        </w:tc>
        <w:tc>
          <w:tcPr>
            <w:tcW w:w="30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13,776,382</w:t>
            </w:r>
          </w:p>
        </w:tc>
        <w:tc>
          <w:tcPr>
            <w:tcW w:w="26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8,903,030</w:t>
            </w:r>
          </w:p>
        </w:tc>
        <w:tc>
          <w:tcPr>
            <w:tcW w:w="1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18,175,200</w:t>
            </w:r>
          </w:p>
        </w:tc>
        <w:tc>
          <w:tcPr>
            <w:tcW w:w="140" w:type="dxa"/>
            <w:vAlign w:val="bottom"/>
          </w:tcPr>
          <w:p>
            <w:pPr>
              <w:spacing w:after="0"/>
              <w:rPr>
                <w:sz w:val="24"/>
                <w:szCs w:val="24"/>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14,884,010</w:t>
            </w:r>
          </w:p>
        </w:tc>
      </w:tr>
      <w:tr>
        <w:trPr>
          <w:trHeight w:val="4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INCOME TAXES ..................</w:t>
            </w:r>
          </w:p>
        </w:tc>
        <w:tc>
          <w:tcPr>
            <w:tcW w:w="30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5,579,000</w:t>
            </w:r>
          </w:p>
        </w:tc>
        <w:tc>
          <w:tcPr>
            <w:tcW w:w="26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3,602,000</w:t>
            </w:r>
          </w:p>
        </w:tc>
        <w:tc>
          <w:tcPr>
            <w:tcW w:w="160" w:type="dxa"/>
            <w:vAlign w:val="bottom"/>
          </w:tcPr>
          <w:p>
            <w:pPr>
              <w:spacing w:after="0"/>
              <w:rPr>
                <w:sz w:val="24"/>
                <w:szCs w:val="24"/>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7,361,000</w:t>
            </w:r>
          </w:p>
        </w:tc>
        <w:tc>
          <w:tcPr>
            <w:tcW w:w="140" w:type="dxa"/>
            <w:vAlign w:val="bottom"/>
          </w:tcPr>
          <w:p>
            <w:pPr>
              <w:spacing w:after="0"/>
              <w:rPr>
                <w:sz w:val="24"/>
                <w:szCs w:val="24"/>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6,066,000</w:t>
            </w:r>
          </w:p>
        </w:tc>
      </w:tr>
      <w:tr>
        <w:trPr>
          <w:trHeight w:val="200"/>
        </w:trPr>
        <w:tc>
          <w:tcPr>
            <w:tcW w:w="3340" w:type="dxa"/>
            <w:vAlign w:val="bottom"/>
          </w:tcPr>
          <w:p>
            <w:pPr>
              <w:spacing w:after="0"/>
              <w:rPr>
                <w:sz w:val="17"/>
                <w:szCs w:val="17"/>
                <w:color w:val="auto"/>
              </w:rPr>
            </w:pPr>
          </w:p>
        </w:tc>
        <w:tc>
          <w:tcPr>
            <w:tcW w:w="16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NET EARNINGS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8,197,382</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$ 5,301,030</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$ 10,814,200</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8,818,010</w:t>
            </w:r>
          </w:p>
        </w:tc>
      </w:tr>
      <w:tr>
        <w:trPr>
          <w:trHeight w:val="200"/>
        </w:trPr>
        <w:tc>
          <w:tcPr>
            <w:tcW w:w="3340" w:type="dxa"/>
            <w:vAlign w:val="bottom"/>
          </w:tcPr>
          <w:p>
            <w:pPr>
              <w:spacing w:after="0"/>
              <w:rPr>
                <w:sz w:val="17"/>
                <w:szCs w:val="17"/>
                <w:color w:val="auto"/>
              </w:rPr>
            </w:pPr>
          </w:p>
        </w:tc>
        <w:tc>
          <w:tcPr>
            <w:tcW w:w="16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EARNINGS PER SHARE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.46</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.50</w:t>
            </w:r>
          </w:p>
        </w:tc>
      </w:tr>
      <w:tr>
        <w:trPr>
          <w:trHeight w:val="400"/>
        </w:trPr>
        <w:tc>
          <w:tcPr>
            <w:tcW w:w="3340" w:type="dxa"/>
            <w:vAlign w:val="bottom"/>
          </w:tcPr>
          <w:p>
            <w:pPr>
              <w:spacing w:after="0"/>
              <w:rPr>
                <w:sz w:val="20"/>
                <w:szCs w:val="20"/>
                <w:color w:val="auto"/>
              </w:rPr>
            </w:pPr>
            <w:r>
              <w:rPr>
                <w:rFonts w:ascii="Courier New" w:cs="Courier New" w:eastAsia="Courier New" w:hAnsi="Courier New"/>
                <w:sz w:val="17"/>
                <w:szCs w:val="17"/>
                <w:color w:val="auto"/>
              </w:rPr>
              <w:t>WEIGHTED AVERAGE SHARES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33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OUTSTANDING ..................</w:t>
            </w:r>
          </w:p>
        </w:tc>
        <w:tc>
          <w:tcPr>
            <w:tcW w:w="30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17,658,000</w:t>
            </w:r>
          </w:p>
        </w:tc>
        <w:tc>
          <w:tcPr>
            <w:tcW w:w="260" w:type="dxa"/>
            <w:vAlign w:val="bottom"/>
          </w:tcPr>
          <w:p>
            <w:pPr>
              <w:spacing w:after="0"/>
              <w:rPr>
                <w:sz w:val="17"/>
                <w:szCs w:val="17"/>
                <w:color w:val="auto"/>
              </w:rPr>
            </w:pPr>
          </w:p>
        </w:tc>
        <w:tc>
          <w:tcPr>
            <w:tcW w:w="120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9"/>
              </w:rPr>
              <w:t>17,565,000</w:t>
            </w:r>
          </w:p>
        </w:tc>
        <w:tc>
          <w:tcPr>
            <w:tcW w:w="16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17,663,000</w:t>
            </w:r>
          </w:p>
        </w:tc>
        <w:tc>
          <w:tcPr>
            <w:tcW w:w="140" w:type="dxa"/>
            <w:vAlign w:val="bottom"/>
          </w:tcPr>
          <w:p>
            <w:pPr>
              <w:spacing w:after="0"/>
              <w:rPr>
                <w:sz w:val="17"/>
                <w:szCs w:val="17"/>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17,563,000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condensed financial statements.</w:t>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CONSOLIDATED CONDENSED STATEMENTS OF CASH FLOWS</w:t>
      </w:r>
    </w:p>
    <w:p>
      <w:pPr>
        <w:spacing w:after="0" w:line="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0" w:type="dxa"/>
            <w:vAlign w:val="bottom"/>
            <w:gridSpan w:val="2"/>
          </w:tcPr>
          <w:p>
            <w:pPr>
              <w:jc w:val="right"/>
              <w:ind w:right="733"/>
              <w:spacing w:after="0"/>
              <w:rPr>
                <w:sz w:val="20"/>
                <w:szCs w:val="20"/>
                <w:color w:val="auto"/>
              </w:rPr>
            </w:pPr>
            <w:r>
              <w:rPr>
                <w:rFonts w:ascii="Courier New" w:cs="Courier New" w:eastAsia="Courier New" w:hAnsi="Courier New"/>
                <w:sz w:val="17"/>
                <w:szCs w:val="17"/>
                <w:color w:val="auto"/>
              </w:rPr>
              <w:t>Six Months Ended</w:t>
            </w:r>
          </w:p>
        </w:tc>
      </w:tr>
      <w:tr>
        <w:trPr>
          <w:trHeight w:val="200"/>
        </w:trPr>
        <w:tc>
          <w:tcPr>
            <w:tcW w:w="5720" w:type="dxa"/>
            <w:vAlign w:val="bottom"/>
          </w:tcPr>
          <w:p>
            <w:pPr>
              <w:spacing w:after="0"/>
              <w:rPr>
                <w:sz w:val="17"/>
                <w:szCs w:val="17"/>
                <w:color w:val="auto"/>
              </w:rPr>
            </w:pPr>
          </w:p>
        </w:tc>
        <w:tc>
          <w:tcPr>
            <w:tcW w:w="322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spacing w:after="0"/>
              <w:rPr>
                <w:sz w:val="17"/>
                <w:szCs w:val="17"/>
                <w:color w:val="auto"/>
              </w:rPr>
            </w:pPr>
          </w:p>
        </w:tc>
        <w:tc>
          <w:tcPr>
            <w:tcW w:w="172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June 29,</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July 1,</w:t>
            </w:r>
          </w:p>
        </w:tc>
      </w:tr>
      <w:tr>
        <w:trPr>
          <w:trHeight w:val="200"/>
        </w:trPr>
        <w:tc>
          <w:tcPr>
            <w:tcW w:w="5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ind w:right="793"/>
              <w:spacing w:after="0"/>
              <w:rPr>
                <w:sz w:val="20"/>
                <w:szCs w:val="20"/>
                <w:color w:val="auto"/>
              </w:rPr>
            </w:pPr>
            <w:r>
              <w:rPr>
                <w:rFonts w:ascii="Courier New" w:cs="Courier New" w:eastAsia="Courier New" w:hAnsi="Courier New"/>
                <w:sz w:val="17"/>
                <w:szCs w:val="17"/>
                <w:color w:val="auto"/>
                <w:w w:val="97"/>
              </w:rPr>
              <w:t>1996</w:t>
            </w:r>
          </w:p>
        </w:tc>
        <w:tc>
          <w:tcPr>
            <w:tcW w:w="15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720" w:type="dxa"/>
            <w:vAlign w:val="bottom"/>
          </w:tcPr>
          <w:p>
            <w:pPr>
              <w:spacing w:after="0"/>
              <w:rPr>
                <w:sz w:val="17"/>
                <w:szCs w:val="17"/>
                <w:color w:val="auto"/>
              </w:rPr>
            </w:pPr>
          </w:p>
        </w:tc>
        <w:tc>
          <w:tcPr>
            <w:tcW w:w="17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Net earnings .........................................</w:t>
            </w:r>
          </w:p>
        </w:tc>
        <w:tc>
          <w:tcPr>
            <w:tcW w:w="17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$ 10,814,200</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$ 8,818,010</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earnings to net</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0"/>
        </w:trPr>
        <w:tc>
          <w:tcPr>
            <w:tcW w:w="57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cash provided by (used in) operating activities: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Depreciation and amortization ......................</w:t>
            </w:r>
          </w:p>
        </w:tc>
        <w:tc>
          <w:tcPr>
            <w:tcW w:w="4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4,109,978</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3,276,559</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Stock Gift Program expense .........................</w:t>
            </w:r>
          </w:p>
        </w:tc>
        <w:tc>
          <w:tcPr>
            <w:tcW w:w="4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1,764</w:t>
            </w:r>
          </w:p>
        </w:tc>
        <w:tc>
          <w:tcPr>
            <w:tcW w:w="1500" w:type="dxa"/>
            <w:vAlign w:val="bottom"/>
          </w:tcPr>
          <w:p>
            <w:pPr>
              <w:spacing w:after="0"/>
              <w:rPr>
                <w:sz w:val="17"/>
                <w:szCs w:val="17"/>
                <w:color w:val="auto"/>
              </w:rPr>
            </w:pPr>
          </w:p>
        </w:tc>
      </w:tr>
      <w:tr>
        <w:trPr>
          <w:trHeight w:val="200"/>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Loss (gain) on disposal of property, plant</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and equipment .....................................</w:t>
            </w:r>
          </w:p>
        </w:tc>
        <w:tc>
          <w:tcPr>
            <w:tcW w:w="4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613</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(156,809)</w:t>
            </w:r>
          </w:p>
        </w:tc>
      </w:tr>
      <w:tr>
        <w:trPr>
          <w:trHeight w:val="200"/>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Change in:</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Accounts receivable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(36,637,552)</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(17,080,621)</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Inventories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(12,127,131)</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11,008,292</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(80,756)</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(5,851)</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Accounts payable ..................................</w:t>
            </w:r>
          </w:p>
        </w:tc>
        <w:tc>
          <w:tcPr>
            <w:tcW w:w="4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18,008,597</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7,817,382</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Accrued liabilities ...............................</w:t>
            </w:r>
          </w:p>
        </w:tc>
        <w:tc>
          <w:tcPr>
            <w:tcW w:w="4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1,927,298</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2,164,000</w:t>
            </w:r>
          </w:p>
        </w:tc>
      </w:tr>
      <w:tr>
        <w:trPr>
          <w:trHeight w:val="200"/>
        </w:trPr>
        <w:tc>
          <w:tcPr>
            <w:tcW w:w="5720" w:type="dxa"/>
            <w:vAlign w:val="bottom"/>
          </w:tcPr>
          <w:p>
            <w:pPr>
              <w:spacing w:after="0"/>
              <w:rPr>
                <w:sz w:val="17"/>
                <w:szCs w:val="17"/>
                <w:color w:val="auto"/>
              </w:rPr>
            </w:pPr>
          </w:p>
        </w:tc>
        <w:tc>
          <w:tcPr>
            <w:tcW w:w="17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jc w:val="right"/>
              <w:ind w:right="1993"/>
              <w:spacing w:after="0"/>
              <w:rPr>
                <w:sz w:val="20"/>
                <w:szCs w:val="20"/>
                <w:color w:val="auto"/>
              </w:rPr>
            </w:pPr>
            <w:r>
              <w:rPr>
                <w:rFonts w:ascii="Courier New" w:cs="Courier New" w:eastAsia="Courier New" w:hAnsi="Courier New"/>
                <w:sz w:val="17"/>
                <w:szCs w:val="17"/>
                <w:color w:val="auto"/>
              </w:rPr>
              <w:t>NET CASH PROVIDED BY (USED IN)</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OPERATING ACTIVITIES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(13,982,989)</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15,840,962</w:t>
            </w:r>
          </w:p>
        </w:tc>
      </w:tr>
      <w:tr>
        <w:trPr>
          <w:trHeight w:val="4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Collection of notes receivable .......................</w:t>
            </w:r>
          </w:p>
        </w:tc>
        <w:tc>
          <w:tcPr>
            <w:tcW w:w="4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177,571</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256,174</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Purchases of property, plant and equipment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(4,549,359)</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(9,205,396)</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Proceeds from sale of property, plant and equipment ..</w:t>
            </w:r>
          </w:p>
        </w:tc>
        <w:tc>
          <w:tcPr>
            <w:tcW w:w="4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49,770</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489,487</w:t>
            </w:r>
          </w:p>
        </w:tc>
      </w:tr>
      <w:tr>
        <w:trPr>
          <w:trHeight w:val="200"/>
        </w:trPr>
        <w:tc>
          <w:tcPr>
            <w:tcW w:w="5720" w:type="dxa"/>
            <w:vAlign w:val="bottom"/>
          </w:tcPr>
          <w:p>
            <w:pPr>
              <w:spacing w:after="0"/>
              <w:rPr>
                <w:sz w:val="17"/>
                <w:szCs w:val="17"/>
                <w:color w:val="auto"/>
              </w:rPr>
            </w:pPr>
          </w:p>
        </w:tc>
        <w:tc>
          <w:tcPr>
            <w:tcW w:w="17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CASH USED IN INVESTING ACTIVITIES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(4,322,018)</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(8,459,735)</w:t>
            </w:r>
          </w:p>
        </w:tc>
      </w:tr>
      <w:tr>
        <w:trPr>
          <w:trHeight w:val="4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repayments of notes payable ......................</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(1,600,000)</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Proceeds from issuance of common stock ...............</w:t>
            </w:r>
          </w:p>
        </w:tc>
        <w:tc>
          <w:tcPr>
            <w:tcW w:w="4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258,652</w:t>
            </w:r>
          </w:p>
        </w:tc>
        <w:tc>
          <w:tcPr>
            <w:tcW w:w="1500" w:type="dxa"/>
            <w:vAlign w:val="bottom"/>
          </w:tcPr>
          <w:p>
            <w:pPr>
              <w:spacing w:after="0"/>
              <w:rPr>
                <w:sz w:val="17"/>
                <w:szCs w:val="17"/>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Cash dividends paid to shareholders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(511,146)</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(426,012)</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Repayment of long-term debt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(1,965,794)</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(2,174,028)</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Repurchase of common stock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(821,882)</w:t>
            </w:r>
          </w:p>
        </w:tc>
        <w:tc>
          <w:tcPr>
            <w:tcW w:w="1500" w:type="dxa"/>
            <w:vAlign w:val="bottom"/>
          </w:tcPr>
          <w:p>
            <w:pPr>
              <w:spacing w:after="0"/>
              <w:rPr>
                <w:sz w:val="17"/>
                <w:szCs w:val="17"/>
                <w:color w:val="auto"/>
              </w:rPr>
            </w:pPr>
          </w:p>
        </w:tc>
      </w:tr>
      <w:tr>
        <w:trPr>
          <w:trHeight w:val="200"/>
        </w:trPr>
        <w:tc>
          <w:tcPr>
            <w:tcW w:w="5720" w:type="dxa"/>
            <w:vAlign w:val="bottom"/>
          </w:tcPr>
          <w:p>
            <w:pPr>
              <w:spacing w:after="0"/>
              <w:rPr>
                <w:sz w:val="17"/>
                <w:szCs w:val="17"/>
                <w:color w:val="auto"/>
              </w:rPr>
            </w:pPr>
          </w:p>
        </w:tc>
        <w:tc>
          <w:tcPr>
            <w:tcW w:w="172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6"/>
              </w:rPr>
              <w:t>--------------</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CASH USED IN FINANCING ACTIVITIES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(3,040,170)</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(4,200,040)</w:t>
            </w:r>
          </w:p>
        </w:tc>
      </w:tr>
      <w:tr>
        <w:trPr>
          <w:trHeight w:val="200"/>
        </w:trPr>
        <w:tc>
          <w:tcPr>
            <w:tcW w:w="5720" w:type="dxa"/>
            <w:vAlign w:val="bottom"/>
          </w:tcPr>
          <w:p>
            <w:pPr>
              <w:spacing w:after="0"/>
              <w:rPr>
                <w:sz w:val="17"/>
                <w:szCs w:val="17"/>
                <w:color w:val="auto"/>
              </w:rPr>
            </w:pPr>
          </w:p>
        </w:tc>
        <w:tc>
          <w:tcPr>
            <w:tcW w:w="172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6"/>
              </w:rPr>
              <w:t>--------------</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 AND</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CASH EQUIVALENTS ....................................</w:t>
            </w:r>
          </w:p>
        </w:tc>
        <w:tc>
          <w:tcPr>
            <w:tcW w:w="4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(21,345,177)</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3,181,187</w:t>
            </w:r>
          </w:p>
        </w:tc>
      </w:tr>
      <w:tr>
        <w:trPr>
          <w:trHeight w:val="4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OF PERIOD ...........................................</w:t>
            </w:r>
          </w:p>
        </w:tc>
        <w:tc>
          <w:tcPr>
            <w:tcW w:w="4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21,471,821</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103,355</w:t>
            </w:r>
          </w:p>
        </w:tc>
      </w:tr>
      <w:tr>
        <w:trPr>
          <w:trHeight w:val="200"/>
        </w:trPr>
        <w:tc>
          <w:tcPr>
            <w:tcW w:w="5720" w:type="dxa"/>
            <w:vAlign w:val="bottom"/>
          </w:tcPr>
          <w:p>
            <w:pPr>
              <w:spacing w:after="0"/>
              <w:rPr>
                <w:sz w:val="17"/>
                <w:szCs w:val="17"/>
                <w:color w:val="auto"/>
              </w:rPr>
            </w:pPr>
          </w:p>
        </w:tc>
        <w:tc>
          <w:tcPr>
            <w:tcW w:w="172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6"/>
              </w:rPr>
              <w:t>--------------</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CASH AND CASH EQUIVALENTS, END OF PERIOD .............</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126,644</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$ 3,284,542</w:t>
            </w:r>
          </w:p>
        </w:tc>
      </w:tr>
      <w:tr>
        <w:trPr>
          <w:trHeight w:val="200"/>
        </w:trPr>
        <w:tc>
          <w:tcPr>
            <w:tcW w:w="5720" w:type="dxa"/>
            <w:vAlign w:val="bottom"/>
          </w:tcPr>
          <w:p>
            <w:pPr>
              <w:spacing w:after="0"/>
              <w:rPr>
                <w:sz w:val="17"/>
                <w:szCs w:val="17"/>
                <w:color w:val="auto"/>
              </w:rPr>
            </w:pPr>
          </w:p>
        </w:tc>
        <w:tc>
          <w:tcPr>
            <w:tcW w:w="17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SUPPLEMENTAL SCHEDULE OF CASH FLOW INFORMATION:</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paid during the period for:</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Interest ...........................................</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3,035,330</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$ 2,663,000</w:t>
            </w: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Income taxes .......................................</w:t>
            </w:r>
          </w:p>
        </w:tc>
        <w:tc>
          <w:tcPr>
            <w:tcW w:w="4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4,151,771</w:t>
            </w:r>
          </w:p>
        </w:tc>
        <w:tc>
          <w:tcPr>
            <w:tcW w:w="15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4,711,000</w:t>
            </w:r>
          </w:p>
        </w:tc>
      </w:tr>
      <w:tr>
        <w:trPr>
          <w:trHeight w:val="4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NONCASH INVESTING ACTIVITIES: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0"/>
        </w:trPr>
        <w:tc>
          <w:tcPr>
            <w:tcW w:w="5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Equipment acquired through long-term debt ............</w:t>
            </w:r>
          </w:p>
        </w:tc>
        <w:tc>
          <w:tcPr>
            <w:tcW w:w="420" w:type="dxa"/>
            <w:vAlign w:val="bottom"/>
          </w:tcPr>
          <w:p>
            <w:pPr>
              <w:ind w:left="320"/>
              <w:spacing w:after="0"/>
              <w:rPr>
                <w:sz w:val="20"/>
                <w:szCs w:val="20"/>
                <w:color w:val="auto"/>
              </w:rPr>
            </w:pPr>
            <w:r>
              <w:rPr>
                <w:rFonts w:ascii="Courier New" w:cs="Courier New" w:eastAsia="Courier New" w:hAnsi="Courier New"/>
                <w:sz w:val="17"/>
                <w:szCs w:val="17"/>
                <w:color w:val="auto"/>
                <w:w w:val="77"/>
              </w:rPr>
              <w:t>$</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59,000</w:t>
            </w:r>
          </w:p>
        </w:tc>
        <w:tc>
          <w:tcPr>
            <w:tcW w:w="15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condensed financial statements.</w:t>
      </w:r>
    </w:p>
    <w:p>
      <w:pPr>
        <w:sectPr>
          <w:pgSz w:w="11900" w:h="16838" w:orient="portrait"/>
          <w:cols w:equalWidth="0" w:num="1">
            <w:col w:w="10219"/>
          </w:cols>
          <w:pgMar w:left="240" w:top="315" w:right="1440" w:bottom="793" w:gutter="0" w:footer="0" w:header="0"/>
        </w:sect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5" w:right="1440" w:bottom="793"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07" w:lineRule="exact"/>
        <w:rPr>
          <w:sz w:val="20"/>
          <w:szCs w:val="20"/>
          <w:color w:val="auto"/>
        </w:rPr>
      </w:pPr>
    </w:p>
    <w:p>
      <w:pPr>
        <w:jc w:val="center"/>
        <w:ind w:right="2099"/>
        <w:spacing w:after="0" w:line="250" w:lineRule="auto"/>
        <w:rPr>
          <w:sz w:val="20"/>
          <w:szCs w:val="20"/>
          <w:color w:val="auto"/>
        </w:rPr>
      </w:pPr>
      <w:r>
        <w:rPr>
          <w:rFonts w:ascii="Courier New" w:cs="Courier New" w:eastAsia="Courier New" w:hAnsi="Courier New"/>
          <w:sz w:val="17"/>
          <w:szCs w:val="17"/>
          <w:color w:val="auto"/>
        </w:rPr>
        <w:t>UNIVERSAL FOREST PRODUCTS, INC. AND SUBSIDIARIES NOTES TO CONSOLIDATED CONDENSED FINANCIAL STATEMENTS JUNE 29, 1996</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BASIS OF PRESENTATION</w:t>
      </w:r>
    </w:p>
    <w:p>
      <w:pPr>
        <w:spacing w:after="0" w:line="207" w:lineRule="exact"/>
        <w:rPr>
          <w:sz w:val="20"/>
          <w:szCs w:val="20"/>
          <w:color w:val="auto"/>
        </w:rPr>
      </w:pPr>
    </w:p>
    <w:p>
      <w:pPr>
        <w:ind w:left="320" w:right="2219"/>
        <w:spacing w:after="0" w:line="249" w:lineRule="auto"/>
        <w:rPr>
          <w:sz w:val="20"/>
          <w:szCs w:val="20"/>
          <w:color w:val="auto"/>
        </w:rPr>
      </w:pPr>
      <w:r>
        <w:rPr>
          <w:rFonts w:ascii="Courier New" w:cs="Courier New" w:eastAsia="Courier New" w:hAnsi="Courier New"/>
          <w:sz w:val="17"/>
          <w:szCs w:val="17"/>
          <w:color w:val="auto"/>
        </w:rPr>
        <w:t>The accompanying unaudited interim consolidated condensed financial statements (the "Financial Statements") of Universal Forest Products, Inc. and its wholly-owned subsidiaries (together, the "Company"),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generally accepted accounting principles. All significant intercompany accounts and transactions have been eliminated in consolidation.</w:t>
      </w:r>
    </w:p>
    <w:p>
      <w:pPr>
        <w:spacing w:after="0" w:line="200" w:lineRule="exact"/>
        <w:rPr>
          <w:sz w:val="20"/>
          <w:szCs w:val="20"/>
          <w:color w:val="auto"/>
        </w:rPr>
      </w:pPr>
    </w:p>
    <w:p>
      <w:pPr>
        <w:ind w:left="320" w:right="1999"/>
        <w:spacing w:after="0" w:line="249" w:lineRule="auto"/>
        <w:rPr>
          <w:sz w:val="20"/>
          <w:szCs w:val="20"/>
          <w:color w:val="auto"/>
        </w:rPr>
      </w:pPr>
      <w:r>
        <w:rPr>
          <w:rFonts w:ascii="Courier New" w:cs="Courier New" w:eastAsia="Courier New" w:hAnsi="Courier New"/>
          <w:sz w:val="17"/>
          <w:szCs w:val="17"/>
          <w:color w:val="auto"/>
        </w:rPr>
        <w:t>In the opinion of management, the Financial Statements contain all material adjustments necessary to present fairly the consolidated financial position, results of operations and cash flows of the Company for the interim periods presented. All such adjustments are of a normal recurring nature. These Financial Statements should be read in conjunction with the financial statements and footnotes thereto included in the Company's Annual Report on Form 10-K for the fiscal year ended December 30, 1995.</w:t>
      </w:r>
    </w:p>
    <w:p>
      <w:pPr>
        <w:spacing w:after="0" w:line="200" w:lineRule="exact"/>
        <w:rPr>
          <w:sz w:val="20"/>
          <w:szCs w:val="20"/>
          <w:color w:val="auto"/>
        </w:rPr>
      </w:pPr>
    </w:p>
    <w:p>
      <w:pPr>
        <w:jc w:val="both"/>
        <w:ind w:left="320" w:right="2519"/>
        <w:spacing w:after="0" w:line="250" w:lineRule="auto"/>
        <w:rPr>
          <w:sz w:val="20"/>
          <w:szCs w:val="20"/>
          <w:color w:val="auto"/>
        </w:rPr>
      </w:pPr>
      <w:r>
        <w:rPr>
          <w:rFonts w:ascii="Courier New" w:cs="Courier New" w:eastAsia="Courier New" w:hAnsi="Courier New"/>
          <w:sz w:val="17"/>
          <w:szCs w:val="17"/>
          <w:color w:val="auto"/>
        </w:rPr>
        <w:t>Certain reclassifications have been made in the Consolidated Condensed Statements of Earnings for the 1995 periods presented to conform to the classifications used in 1996.</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EARNINGS PER COMMON SHARE</w:t>
      </w:r>
    </w:p>
    <w:p>
      <w:pPr>
        <w:spacing w:after="0" w:line="207" w:lineRule="exact"/>
        <w:rPr>
          <w:sz w:val="20"/>
          <w:szCs w:val="20"/>
          <w:color w:val="auto"/>
        </w:rPr>
      </w:pPr>
    </w:p>
    <w:p>
      <w:pPr>
        <w:ind w:left="320" w:right="1999"/>
        <w:spacing w:after="0" w:line="249" w:lineRule="auto"/>
        <w:rPr>
          <w:sz w:val="20"/>
          <w:szCs w:val="20"/>
          <w:color w:val="auto"/>
        </w:rPr>
      </w:pPr>
      <w:r>
        <w:rPr>
          <w:rFonts w:ascii="Courier New" w:cs="Courier New" w:eastAsia="Courier New" w:hAnsi="Courier New"/>
          <w:sz w:val="17"/>
          <w:szCs w:val="17"/>
          <w:color w:val="auto"/>
        </w:rPr>
        <w:t>Earnings per common share have been computed based on the weighted average number of common and common equivalent shares outstanding during the periods presented, giving effect to options granted in 1989 and 1993, utilizing the "treasury stock" method. Primary and fully-diluted earnings per common share were not materially different during the periods presented. Weighted average shares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60" w:type="dxa"/>
            <w:vAlign w:val="bottom"/>
          </w:tcPr>
          <w:p>
            <w:pPr>
              <w:spacing w:after="0"/>
              <w:rPr>
                <w:sz w:val="16"/>
                <w:szCs w:val="16"/>
                <w:color w:val="auto"/>
              </w:rPr>
            </w:pPr>
          </w:p>
        </w:tc>
        <w:tc>
          <w:tcPr>
            <w:tcW w:w="25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Three Months Ended</w:t>
            </w:r>
          </w:p>
        </w:tc>
        <w:tc>
          <w:tcPr>
            <w:tcW w:w="238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Six Months Ended</w:t>
            </w:r>
          </w:p>
        </w:tc>
      </w:tr>
      <w:tr>
        <w:trPr>
          <w:trHeight w:val="200"/>
        </w:trPr>
        <w:tc>
          <w:tcPr>
            <w:tcW w:w="4060" w:type="dxa"/>
            <w:vAlign w:val="bottom"/>
          </w:tcPr>
          <w:p>
            <w:pPr>
              <w:spacing w:after="0"/>
              <w:rPr>
                <w:sz w:val="17"/>
                <w:szCs w:val="17"/>
                <w:color w:val="auto"/>
              </w:rPr>
            </w:pPr>
          </w:p>
        </w:tc>
        <w:tc>
          <w:tcPr>
            <w:tcW w:w="250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060" w:type="dxa"/>
            <w:vAlign w:val="bottom"/>
          </w:tcPr>
          <w:p>
            <w:pPr>
              <w:spacing w:after="0"/>
              <w:rPr>
                <w:sz w:val="17"/>
                <w:szCs w:val="17"/>
                <w:color w:val="auto"/>
              </w:rPr>
            </w:pP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rPr>
              <w:t>June 29,</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July 1,</w:t>
            </w: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June 29,</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July 1,</w:t>
            </w:r>
          </w:p>
        </w:tc>
      </w:tr>
      <w:tr>
        <w:trPr>
          <w:trHeight w:val="200"/>
        </w:trPr>
        <w:tc>
          <w:tcPr>
            <w:tcW w:w="4060" w:type="dxa"/>
            <w:vAlign w:val="bottom"/>
          </w:tcPr>
          <w:p>
            <w:pPr>
              <w:spacing w:after="0"/>
              <w:rPr>
                <w:sz w:val="17"/>
                <w:szCs w:val="17"/>
                <w:color w:val="auto"/>
              </w:rPr>
            </w:pPr>
          </w:p>
        </w:tc>
        <w:tc>
          <w:tcPr>
            <w:tcW w:w="13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1996</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1995</w:t>
            </w: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060" w:type="dxa"/>
            <w:vAlign w:val="bottom"/>
          </w:tcPr>
          <w:p>
            <w:pPr>
              <w:spacing w:after="0"/>
              <w:rPr>
                <w:sz w:val="17"/>
                <w:szCs w:val="17"/>
                <w:color w:val="auto"/>
              </w:rPr>
            </w:pP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060" w:type="dxa"/>
            <w:vAlign w:val="bottom"/>
          </w:tcPr>
          <w:p>
            <w:pPr>
              <w:spacing w:after="0"/>
              <w:rPr>
                <w:sz w:val="20"/>
                <w:szCs w:val="20"/>
                <w:color w:val="auto"/>
              </w:rPr>
            </w:pPr>
            <w:r>
              <w:rPr>
                <w:rFonts w:ascii="Courier New" w:cs="Courier New" w:eastAsia="Courier New" w:hAnsi="Courier New"/>
                <w:sz w:val="17"/>
                <w:szCs w:val="17"/>
                <w:color w:val="auto"/>
              </w:rPr>
              <w:t>Issued and outstanding ...............</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17,020,000</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17,040,000</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17,021,000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17,040,000</w:t>
            </w:r>
          </w:p>
        </w:tc>
      </w:tr>
      <w:tr>
        <w:trPr>
          <w:trHeight w:val="200"/>
        </w:trPr>
        <w:tc>
          <w:tcPr>
            <w:tcW w:w="4060" w:type="dxa"/>
            <w:vAlign w:val="bottom"/>
          </w:tcPr>
          <w:p>
            <w:pPr>
              <w:spacing w:after="0"/>
              <w:rPr>
                <w:sz w:val="20"/>
                <w:szCs w:val="20"/>
                <w:color w:val="auto"/>
              </w:rPr>
            </w:pPr>
            <w:r>
              <w:rPr>
                <w:rFonts w:ascii="Courier New" w:cs="Courier New" w:eastAsia="Courier New" w:hAnsi="Courier New"/>
                <w:sz w:val="17"/>
                <w:szCs w:val="17"/>
                <w:color w:val="auto"/>
              </w:rPr>
              <w:t>Effect of stock options ..............</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638,000</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525,000</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642,000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523,000</w:t>
            </w:r>
          </w:p>
        </w:tc>
      </w:tr>
      <w:tr>
        <w:trPr>
          <w:trHeight w:val="200"/>
        </w:trPr>
        <w:tc>
          <w:tcPr>
            <w:tcW w:w="4060" w:type="dxa"/>
            <w:vAlign w:val="bottom"/>
          </w:tcPr>
          <w:p>
            <w:pPr>
              <w:spacing w:after="0"/>
              <w:rPr>
                <w:sz w:val="17"/>
                <w:szCs w:val="17"/>
                <w:color w:val="auto"/>
              </w:rPr>
            </w:pP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06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 ..</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17,658,000</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17,565,000</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17,663,000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17,563,000</w:t>
            </w:r>
          </w:p>
        </w:tc>
      </w:tr>
      <w:tr>
        <w:trPr>
          <w:trHeight w:val="200"/>
        </w:trPr>
        <w:tc>
          <w:tcPr>
            <w:tcW w:w="4060" w:type="dxa"/>
            <w:vAlign w:val="bottom"/>
          </w:tcPr>
          <w:p>
            <w:pPr>
              <w:spacing w:after="0"/>
              <w:rPr>
                <w:sz w:val="17"/>
                <w:szCs w:val="17"/>
                <w:color w:val="auto"/>
              </w:rPr>
            </w:pP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NON-COMPETE</w:t>
      </w:r>
    </w:p>
    <w:p>
      <w:pPr>
        <w:spacing w:after="0" w:line="207" w:lineRule="exact"/>
        <w:rPr>
          <w:sz w:val="20"/>
          <w:szCs w:val="20"/>
          <w:color w:val="auto"/>
        </w:rPr>
      </w:pPr>
    </w:p>
    <w:p>
      <w:pPr>
        <w:ind w:left="320" w:right="2319"/>
        <w:spacing w:after="0" w:line="250" w:lineRule="auto"/>
        <w:rPr>
          <w:sz w:val="20"/>
          <w:szCs w:val="20"/>
          <w:color w:val="auto"/>
        </w:rPr>
      </w:pPr>
      <w:r>
        <w:rPr>
          <w:rFonts w:ascii="Courier New" w:cs="Courier New" w:eastAsia="Courier New" w:hAnsi="Courier New"/>
          <w:sz w:val="17"/>
          <w:szCs w:val="17"/>
          <w:color w:val="auto"/>
        </w:rPr>
        <w:t>In February 1996, the Company entered into a consulting and non-compete agreement with one of its former officers. Included in the agreement are conditions that the former officer provide certain</w:t>
      </w: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7" w:lineRule="exact"/>
        <w:rPr>
          <w:sz w:val="20"/>
          <w:szCs w:val="20"/>
          <w:color w:val="auto"/>
        </w:rPr>
      </w:pPr>
    </w:p>
    <w:p>
      <w:pPr>
        <w:jc w:val="center"/>
        <w:ind w:right="2419"/>
        <w:spacing w:after="0" w:line="250" w:lineRule="auto"/>
        <w:rPr>
          <w:sz w:val="20"/>
          <w:szCs w:val="20"/>
          <w:color w:val="auto"/>
        </w:rPr>
      </w:pPr>
      <w:r>
        <w:rPr>
          <w:rFonts w:ascii="Courier New" w:cs="Courier New" w:eastAsia="Courier New" w:hAnsi="Courier New"/>
          <w:sz w:val="17"/>
          <w:szCs w:val="17"/>
          <w:color w:val="auto"/>
        </w:rPr>
        <w:t>UNIVERSAL FOREST PRODUCTS, INC. AND SUBSIDIARIES NOTES TO CONSOLIDATED CONDENSED FINANCIAL STATEMENTS JUNE 29, 1996 - CONTINUED</w:t>
      </w:r>
    </w:p>
    <w:p>
      <w:pPr>
        <w:spacing w:after="0" w:line="200" w:lineRule="exact"/>
        <w:rPr>
          <w:sz w:val="20"/>
          <w:szCs w:val="20"/>
          <w:color w:val="auto"/>
        </w:rPr>
      </w:pPr>
    </w:p>
    <w:p>
      <w:pPr>
        <w:spacing w:after="0" w:line="397" w:lineRule="exact"/>
        <w:rPr>
          <w:sz w:val="20"/>
          <w:szCs w:val="20"/>
          <w:color w:val="auto"/>
        </w:rPr>
      </w:pPr>
    </w:p>
    <w:p>
      <w:pPr>
        <w:jc w:val="both"/>
        <w:ind w:right="2219"/>
        <w:spacing w:after="0" w:line="250" w:lineRule="auto"/>
        <w:rPr>
          <w:sz w:val="20"/>
          <w:szCs w:val="20"/>
          <w:color w:val="auto"/>
        </w:rPr>
      </w:pPr>
      <w:r>
        <w:rPr>
          <w:rFonts w:ascii="Courier New" w:cs="Courier New" w:eastAsia="Courier New" w:hAnsi="Courier New"/>
          <w:sz w:val="17"/>
          <w:szCs w:val="17"/>
          <w:color w:val="auto"/>
        </w:rPr>
        <w:t>consulting services and agree not to compete with the Company for a period of eleven years. In consideration for these services and agreement not to compete, the Company agreed to make payments to the officer as follows: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520" w:type="dxa"/>
        <w:tblCellMar>
          <w:top w:w="0" w:type="dxa"/>
          <w:left w:w="0" w:type="dxa"/>
          <w:bottom w:w="0" w:type="dxa"/>
          <w:right w:w="0" w:type="dxa"/>
        </w:tblCellMar>
      </w:tblPr>
      <w:tr>
        <w:trPr>
          <w:trHeight w:val="194"/>
        </w:trPr>
        <w:tc>
          <w:tcPr>
            <w:tcW w:w="28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1996 .....................</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325,000</w:t>
            </w:r>
          </w:p>
        </w:tc>
      </w:tr>
      <w:tr>
        <w:trPr>
          <w:trHeight w:val="200"/>
        </w:trPr>
        <w:tc>
          <w:tcPr>
            <w:tcW w:w="28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1997 .....................</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450,000</w:t>
            </w:r>
          </w:p>
        </w:tc>
      </w:tr>
      <w:tr>
        <w:trPr>
          <w:trHeight w:val="200"/>
        </w:trPr>
        <w:tc>
          <w:tcPr>
            <w:tcW w:w="28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1998 .....................</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350,000</w:t>
            </w:r>
          </w:p>
        </w:tc>
      </w:tr>
      <w:tr>
        <w:trPr>
          <w:trHeight w:val="200"/>
        </w:trPr>
        <w:tc>
          <w:tcPr>
            <w:tcW w:w="28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1999 .....................</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100,000</w:t>
            </w:r>
          </w:p>
        </w:tc>
      </w:tr>
      <w:tr>
        <w:trPr>
          <w:trHeight w:val="200"/>
        </w:trPr>
        <w:tc>
          <w:tcPr>
            <w:tcW w:w="28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8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$1,225,000</w:t>
            </w:r>
          </w:p>
        </w:tc>
      </w:tr>
      <w:tr>
        <w:trPr>
          <w:trHeight w:val="200"/>
        </w:trPr>
        <w:tc>
          <w:tcPr>
            <w:tcW w:w="28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 recorded the present value of this obligation to "Other Assets" and "Other Liabilities," based on an imputed interest rate of 8% per annum. Amortization of the asset is computed on a straight-line basis over the eleven year non-compete period. In March 1996, the $325,000 obligation listed above was paid.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899"/>
          </w:cols>
          <w:pgMar w:left="560" w:top="31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FINANCIAL IMPACT OF FLUCTUATIONS IN LUMBER PRICES AND SEASONALITY</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experiences significant fluctuations in the cost of lumber products from primary producers. The table below highlights such fluctuations for the six months ended June 29, 1996 and July 1, 1995. A variety of factors over which the Company has no control, including environmental regulations, weather conditions, and natural disasters, impact the cost of lumber products. The Company anticipates that these fluctuations will continue in the future.</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following table presents the Random Lengths framing lumber composite price. The composite price is a weighted average of nine key framing lumber prices chosen from major producing areas and species. The composite price is designed as a broad measure of price movement in the commodity lumber market ("Lumber Market"). The effects of the Lumber Market on the Company's results of operations are discussed below under the captions "Net Sales" and "Cost of Goods Sold and Gross Profit." Depending on the extent of the fluctuation, the type of product and other factors, it could take up to a month for a fluctuation in the Lumber Market to be reflected in the Company's selling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460" w:type="dxa"/>
        <w:tblCellMar>
          <w:top w:w="0" w:type="dxa"/>
          <w:left w:w="0" w:type="dxa"/>
          <w:bottom w:w="0" w:type="dxa"/>
          <w:right w:w="0" w:type="dxa"/>
        </w:tblCellMar>
      </w:tblPr>
      <w:tr>
        <w:trPr>
          <w:trHeight w:val="194"/>
        </w:trPr>
        <w:tc>
          <w:tcPr>
            <w:tcW w:w="23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Random Lengths</w:t>
            </w:r>
          </w:p>
        </w:tc>
      </w:tr>
      <w:tr>
        <w:trPr>
          <w:trHeight w:val="200"/>
        </w:trPr>
        <w:tc>
          <w:tcPr>
            <w:tcW w:w="234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Average $/MBF</w:t>
            </w:r>
          </w:p>
        </w:tc>
      </w:tr>
      <w:tr>
        <w:trPr>
          <w:trHeight w:val="200"/>
        </w:trPr>
        <w:tc>
          <w:tcPr>
            <w:tcW w:w="234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3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23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2340" w:type="dxa"/>
            <w:vAlign w:val="bottom"/>
          </w:tcPr>
          <w:p>
            <w:pPr>
              <w:spacing w:after="0"/>
              <w:rPr>
                <w:sz w:val="20"/>
                <w:szCs w:val="20"/>
                <w:color w:val="auto"/>
              </w:rPr>
            </w:pPr>
            <w:r>
              <w:rPr>
                <w:rFonts w:ascii="Courier New" w:cs="Courier New" w:eastAsia="Courier New" w:hAnsi="Courier New"/>
                <w:sz w:val="17"/>
                <w:szCs w:val="17"/>
                <w:color w:val="auto"/>
              </w:rPr>
              <w:t>January .............</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$ 329</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$ 379</w:t>
            </w:r>
          </w:p>
        </w:tc>
      </w:tr>
      <w:tr>
        <w:trPr>
          <w:trHeight w:val="200"/>
        </w:trPr>
        <w:tc>
          <w:tcPr>
            <w:tcW w:w="2340" w:type="dxa"/>
            <w:vAlign w:val="bottom"/>
          </w:tcPr>
          <w:p>
            <w:pPr>
              <w:spacing w:after="0"/>
              <w:rPr>
                <w:sz w:val="20"/>
                <w:szCs w:val="20"/>
                <w:color w:val="auto"/>
              </w:rPr>
            </w:pPr>
            <w:r>
              <w:rPr>
                <w:rFonts w:ascii="Courier New" w:cs="Courier New" w:eastAsia="Courier New" w:hAnsi="Courier New"/>
                <w:sz w:val="17"/>
                <w:szCs w:val="17"/>
                <w:color w:val="auto"/>
              </w:rPr>
              <w:t>February ............</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347</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383</w:t>
            </w:r>
          </w:p>
        </w:tc>
      </w:tr>
      <w:tr>
        <w:trPr>
          <w:trHeight w:val="200"/>
        </w:trPr>
        <w:tc>
          <w:tcPr>
            <w:tcW w:w="2340" w:type="dxa"/>
            <w:vAlign w:val="bottom"/>
          </w:tcPr>
          <w:p>
            <w:pPr>
              <w:spacing w:after="0"/>
              <w:rPr>
                <w:sz w:val="20"/>
                <w:szCs w:val="20"/>
                <w:color w:val="auto"/>
              </w:rPr>
            </w:pPr>
            <w:r>
              <w:rPr>
                <w:rFonts w:ascii="Courier New" w:cs="Courier New" w:eastAsia="Courier New" w:hAnsi="Courier New"/>
                <w:sz w:val="17"/>
                <w:szCs w:val="17"/>
                <w:color w:val="auto"/>
              </w:rPr>
              <w:t>March ...............</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353</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358</w:t>
            </w:r>
          </w:p>
        </w:tc>
      </w:tr>
      <w:tr>
        <w:trPr>
          <w:trHeight w:val="200"/>
        </w:trPr>
        <w:tc>
          <w:tcPr>
            <w:tcW w:w="2340" w:type="dxa"/>
            <w:vAlign w:val="bottom"/>
          </w:tcPr>
          <w:p>
            <w:pPr>
              <w:spacing w:after="0"/>
              <w:rPr>
                <w:sz w:val="20"/>
                <w:szCs w:val="20"/>
                <w:color w:val="auto"/>
              </w:rPr>
            </w:pPr>
            <w:r>
              <w:rPr>
                <w:rFonts w:ascii="Courier New" w:cs="Courier New" w:eastAsia="Courier New" w:hAnsi="Courier New"/>
                <w:sz w:val="17"/>
                <w:szCs w:val="17"/>
                <w:color w:val="auto"/>
              </w:rPr>
              <w:t>April ...............</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374</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335</w:t>
            </w:r>
          </w:p>
        </w:tc>
      </w:tr>
      <w:tr>
        <w:trPr>
          <w:trHeight w:val="200"/>
        </w:trPr>
        <w:tc>
          <w:tcPr>
            <w:tcW w:w="2340" w:type="dxa"/>
            <w:vAlign w:val="bottom"/>
          </w:tcPr>
          <w:p>
            <w:pPr>
              <w:spacing w:after="0"/>
              <w:rPr>
                <w:sz w:val="20"/>
                <w:szCs w:val="20"/>
                <w:color w:val="auto"/>
              </w:rPr>
            </w:pPr>
            <w:r>
              <w:rPr>
                <w:rFonts w:ascii="Courier New" w:cs="Courier New" w:eastAsia="Courier New" w:hAnsi="Courier New"/>
                <w:sz w:val="17"/>
                <w:szCs w:val="17"/>
                <w:color w:val="auto"/>
              </w:rPr>
              <w:t>May .................</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420</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313</w:t>
            </w:r>
          </w:p>
        </w:tc>
      </w:tr>
      <w:tr>
        <w:trPr>
          <w:trHeight w:val="200"/>
        </w:trPr>
        <w:tc>
          <w:tcPr>
            <w:tcW w:w="2340" w:type="dxa"/>
            <w:vAlign w:val="bottom"/>
          </w:tcPr>
          <w:p>
            <w:pPr>
              <w:spacing w:after="0"/>
              <w:rPr>
                <w:sz w:val="20"/>
                <w:szCs w:val="20"/>
                <w:color w:val="auto"/>
              </w:rPr>
            </w:pPr>
            <w:r>
              <w:rPr>
                <w:rFonts w:ascii="Courier New" w:cs="Courier New" w:eastAsia="Courier New" w:hAnsi="Courier New"/>
                <w:sz w:val="17"/>
                <w:szCs w:val="17"/>
                <w:color w:val="auto"/>
              </w:rPr>
              <w:t>June ................</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409</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292</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Company's business is seasonal in nature and results of operations vary from quarter to quarter. The demand for many of the Company's products is highest during the period of April to August. Accordingly, the Company's sales tend to be greater during its second and third quarters. To support this sales peak, the Company builds its inventory of finished goods throughout the winter and spring. Therefore, quantities of raw materials and finished goods inventories tend to be at their highest, relative to sales, during the Company's first and fourth quarters. Although the Company maintains unique supply programs with vendors which have greatly reduced its inventory levels compared to historical averages, this seasonal requirement still exists. As a result, the Company has some exposure related to sharp declines in the Lumber Market during its primary selling season. Beginning in 1995, the Company took the following steps to decrease its exposure:</w:t>
      </w:r>
    </w:p>
    <w:p>
      <w:pPr>
        <w:spacing w:after="0" w:line="200" w:lineRule="exact"/>
        <w:rPr>
          <w:sz w:val="20"/>
          <w:szCs w:val="20"/>
          <w:color w:val="auto"/>
        </w:rPr>
      </w:pPr>
    </w:p>
    <w:p>
      <w:pPr>
        <w:ind w:left="220" w:right="1999" w:hanging="213"/>
        <w:spacing w:after="0" w:line="248" w:lineRule="auto"/>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Negotiated unique supply programs with vendors. These programs have substantially reduced the Company's inventory quantities, and include those materials which are most susceptible to adverse changes in the Lumber Market.</w:t>
      </w:r>
    </w:p>
    <w:p>
      <w:pPr>
        <w:spacing w:after="0" w:line="2" w:lineRule="exact"/>
        <w:rPr>
          <w:rFonts w:ascii="Courier New" w:cs="Courier New" w:eastAsia="Courier New" w:hAnsi="Courier New"/>
          <w:sz w:val="17"/>
          <w:szCs w:val="17"/>
          <w:color w:val="auto"/>
        </w:rPr>
      </w:pPr>
    </w:p>
    <w:p>
      <w:pPr>
        <w:ind w:left="220" w:right="2319" w:hanging="213"/>
        <w:spacing w:after="0" w:line="251" w:lineRule="auto"/>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Instituted inventory management initiatives to accelerate the throughput of material in its plants and reduce the average supply of inventory.</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5"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right="1999" w:hanging="213"/>
        <w:spacing w:after="0" w:line="250" w:lineRule="auto"/>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Set a goal of improving its sales mix by selling more value-added products in relationship to total sales. Value-added products are less susceptible to the adverse effects a decline in the Lumber Market can have on the Company's profitability. See further discussion under the caption "Net Sales."</w:t>
      </w:r>
    </w:p>
    <w:p>
      <w:pPr>
        <w:spacing w:after="0" w:line="200" w:lineRule="exact"/>
        <w:rPr>
          <w:sz w:val="20"/>
          <w:szCs w:val="20"/>
          <w:color w:val="auto"/>
        </w:rPr>
      </w:pPr>
    </w:p>
    <w:p>
      <w:pPr>
        <w:spacing w:after="0" w:line="39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RESULTS OF OPERATIONS</w:t>
      </w:r>
    </w:p>
    <w:p>
      <w:pPr>
        <w:spacing w:after="0" w:line="207" w:lineRule="exact"/>
        <w:rPr>
          <w:sz w:val="20"/>
          <w:szCs w:val="20"/>
          <w:color w:val="auto"/>
        </w:rPr>
      </w:pPr>
    </w:p>
    <w:p>
      <w:pPr>
        <w:jc w:val="both"/>
        <w:ind w:right="2099"/>
        <w:spacing w:after="0" w:line="250" w:lineRule="auto"/>
        <w:rPr>
          <w:sz w:val="20"/>
          <w:szCs w:val="20"/>
          <w:color w:val="auto"/>
        </w:rPr>
      </w:pPr>
      <w:r>
        <w:rPr>
          <w:rFonts w:ascii="Courier New" w:cs="Courier New" w:eastAsia="Courier New" w:hAnsi="Courier New"/>
          <w:sz w:val="17"/>
          <w:szCs w:val="17"/>
          <w:color w:val="auto"/>
        </w:rPr>
        <w:t>The following table presents, for the periods indicated, the components of the Company's Consolidated Condensed Statements of Earnings as a percentage of net sales.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00" w:type="dxa"/>
            <w:vAlign w:val="bottom"/>
          </w:tcPr>
          <w:p>
            <w:pPr>
              <w:spacing w:after="0"/>
              <w:rPr>
                <w:sz w:val="16"/>
                <w:szCs w:val="16"/>
                <w:color w:val="auto"/>
              </w:rPr>
            </w:pPr>
          </w:p>
        </w:tc>
        <w:tc>
          <w:tcPr>
            <w:tcW w:w="2340" w:type="dxa"/>
            <w:vAlign w:val="bottom"/>
            <w:gridSpan w:val="2"/>
          </w:tcPr>
          <w:p>
            <w:pPr>
              <w:jc w:val="right"/>
              <w:ind w:right="293"/>
              <w:spacing w:after="0"/>
              <w:rPr>
                <w:sz w:val="20"/>
                <w:szCs w:val="20"/>
                <w:color w:val="auto"/>
              </w:rPr>
            </w:pPr>
            <w:r>
              <w:rPr>
                <w:rFonts w:ascii="Courier New" w:cs="Courier New" w:eastAsia="Courier New" w:hAnsi="Courier New"/>
                <w:sz w:val="17"/>
                <w:szCs w:val="17"/>
                <w:color w:val="auto"/>
              </w:rPr>
              <w:t>Three Months Ended</w:t>
            </w:r>
          </w:p>
        </w:tc>
        <w:tc>
          <w:tcPr>
            <w:tcW w:w="2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Six Months Ended</w:t>
            </w:r>
          </w:p>
        </w:tc>
      </w:tr>
      <w:tr>
        <w:trPr>
          <w:trHeight w:val="200"/>
        </w:trPr>
        <w:tc>
          <w:tcPr>
            <w:tcW w:w="5000" w:type="dxa"/>
            <w:vAlign w:val="bottom"/>
          </w:tcPr>
          <w:p>
            <w:pPr>
              <w:spacing w:after="0"/>
              <w:rPr>
                <w:sz w:val="17"/>
                <w:szCs w:val="17"/>
                <w:color w:val="auto"/>
              </w:rPr>
            </w:pPr>
          </w:p>
        </w:tc>
        <w:tc>
          <w:tcPr>
            <w:tcW w:w="23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20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00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June 29,</w:t>
            </w: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July 1,</w:t>
            </w:r>
          </w:p>
        </w:tc>
        <w:tc>
          <w:tcPr>
            <w:tcW w:w="1020" w:type="dxa"/>
            <w:vAlign w:val="bottom"/>
          </w:tcPr>
          <w:p>
            <w:pPr>
              <w:ind w:left="40"/>
              <w:spacing w:after="0"/>
              <w:rPr>
                <w:sz w:val="20"/>
                <w:szCs w:val="20"/>
                <w:color w:val="auto"/>
              </w:rPr>
            </w:pPr>
            <w:r>
              <w:rPr>
                <w:rFonts w:ascii="Courier New" w:cs="Courier New" w:eastAsia="Courier New" w:hAnsi="Courier New"/>
                <w:sz w:val="17"/>
                <w:szCs w:val="17"/>
                <w:color w:val="auto"/>
              </w:rPr>
              <w:t>June 29,</w:t>
            </w:r>
          </w:p>
        </w:tc>
        <w:tc>
          <w:tcPr>
            <w:tcW w:w="1000" w:type="dxa"/>
            <w:vAlign w:val="bottom"/>
          </w:tcPr>
          <w:p>
            <w:pPr>
              <w:ind w:left="160"/>
              <w:spacing w:after="0"/>
              <w:rPr>
                <w:sz w:val="20"/>
                <w:szCs w:val="20"/>
                <w:color w:val="auto"/>
              </w:rPr>
            </w:pPr>
            <w:r>
              <w:rPr>
                <w:rFonts w:ascii="Courier New" w:cs="Courier New" w:eastAsia="Courier New" w:hAnsi="Courier New"/>
                <w:sz w:val="17"/>
                <w:szCs w:val="17"/>
                <w:color w:val="auto"/>
              </w:rPr>
              <w:t>July 1,</w:t>
            </w:r>
          </w:p>
        </w:tc>
      </w:tr>
      <w:tr>
        <w:trPr>
          <w:trHeight w:val="200"/>
        </w:trPr>
        <w:tc>
          <w:tcPr>
            <w:tcW w:w="5000" w:type="dxa"/>
            <w:vAlign w:val="bottom"/>
          </w:tcPr>
          <w:p>
            <w:pPr>
              <w:spacing w:after="0"/>
              <w:rPr>
                <w:sz w:val="17"/>
                <w:szCs w:val="17"/>
                <w:color w:val="auto"/>
              </w:rPr>
            </w:pP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1996</w:t>
            </w: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102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1996</w:t>
            </w:r>
          </w:p>
        </w:tc>
        <w:tc>
          <w:tcPr>
            <w:tcW w:w="1000" w:type="dxa"/>
            <w:vAlign w:val="bottom"/>
          </w:tcPr>
          <w:p>
            <w:pPr>
              <w:ind w:left="160"/>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500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599"/>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sales .....................................</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2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Cost of goods sold ............................</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88.8</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90.1</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89.0</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89.7</w:t>
            </w:r>
          </w:p>
        </w:tc>
      </w:tr>
      <w:tr>
        <w:trPr>
          <w:trHeight w:val="200"/>
        </w:trPr>
        <w:tc>
          <w:tcPr>
            <w:tcW w:w="500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Gross profit ..................................</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11.2</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9.9</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11.0</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10.3</w:t>
            </w:r>
          </w:p>
        </w:tc>
      </w:tr>
      <w:tr>
        <w:trPr>
          <w:trHeight w:val="2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 ..</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5.9</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5.7</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6.5</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w:t>
            </w:r>
          </w:p>
        </w:tc>
      </w:tr>
      <w:tr>
        <w:trPr>
          <w:trHeight w:val="200"/>
        </w:trPr>
        <w:tc>
          <w:tcPr>
            <w:tcW w:w="500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Earnings from operations ......................</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5.3</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4.2</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4.5</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w:t>
            </w:r>
          </w:p>
        </w:tc>
      </w:tr>
      <w:tr>
        <w:trPr>
          <w:trHeight w:val="2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Other expense, net ............................</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0.3</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0.4</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0.3</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w:t>
            </w:r>
          </w:p>
        </w:tc>
      </w:tr>
      <w:tr>
        <w:trPr>
          <w:trHeight w:val="200"/>
        </w:trPr>
        <w:tc>
          <w:tcPr>
            <w:tcW w:w="500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Earnings before income taxes ..................</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5.0</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3.8</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4.2</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w:t>
            </w:r>
          </w:p>
        </w:tc>
      </w:tr>
      <w:tr>
        <w:trPr>
          <w:trHeight w:val="2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Income taxes ..................................</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1.7</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w:t>
            </w:r>
          </w:p>
        </w:tc>
      </w:tr>
      <w:tr>
        <w:trPr>
          <w:trHeight w:val="200"/>
        </w:trPr>
        <w:tc>
          <w:tcPr>
            <w:tcW w:w="500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earnings ..................................</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200"/>
        </w:trPr>
        <w:tc>
          <w:tcPr>
            <w:tcW w:w="500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Net sales in the second quarter of 1996 increased $40 million, or 17%, primarily due to the overall Lumber Market (see Random Lengths table) which increased 28% compared to the same period of 1995, combined with an increase in unit sales to the do-it-yourself (DIY) and manufactured housing (MH) markets. Net sales in the first six months of 1996 increased $25 million, or 6%, compared to the same period of 1995.</w:t>
      </w:r>
    </w:p>
    <w:p>
      <w:pPr>
        <w:spacing w:after="0" w:line="200" w:lineRule="exact"/>
        <w:rPr>
          <w:sz w:val="20"/>
          <w:szCs w:val="20"/>
          <w:color w:val="auto"/>
        </w:rPr>
      </w:pPr>
    </w:p>
    <w:p>
      <w:pPr>
        <w:jc w:val="both"/>
        <w:ind w:right="1999"/>
        <w:spacing w:after="0" w:line="248" w:lineRule="auto"/>
        <w:rPr>
          <w:sz w:val="20"/>
          <w:szCs w:val="20"/>
          <w:color w:val="auto"/>
        </w:rPr>
      </w:pPr>
      <w:r>
        <w:rPr>
          <w:rFonts w:ascii="Courier New" w:cs="Courier New" w:eastAsia="Courier New" w:hAnsi="Courier New"/>
          <w:sz w:val="17"/>
          <w:szCs w:val="17"/>
          <w:color w:val="auto"/>
        </w:rPr>
        <w:t>The Company's ratio of value-added product sales to total sales was over 32.0% in the second quarter of 1996 and 1995. Comparing the first six months of 1996 with the same period of 1995, this ratio increased to 33.3% from 32.5%.</w:t>
      </w:r>
    </w:p>
    <w:p>
      <w:pPr>
        <w:spacing w:after="0" w:line="2"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Value-added products consist primarily of items sold to the DIY market under the Company's Fence Fundamentals(TM), Lattice Basics(TM), Deck Necessities(R), Outdoor Essentials(R), Storage Solutions(TM), and YardLine(TM) trade names, trusses sold to the MH market, and products sold to the industrial market. A long-term goal of the Company is to achieve a ratio of value-added product sales to total sales of 50%.</w:t>
      </w:r>
    </w:p>
    <w:p>
      <w:pPr>
        <w:sectPr>
          <w:pgSz w:w="11900" w:h="16838" w:orient="portrait"/>
          <w:cols w:equalWidth="0" w:num="1">
            <w:col w:w="10219"/>
          </w:cols>
          <w:pgMar w:left="240" w:top="315" w:right="1440" w:bottom="793" w:gutter="0" w:footer="0" w:header="0"/>
        </w:sectPr>
      </w:pP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5" w:right="1440" w:bottom="793"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519"/>
        <w:spacing w:after="0" w:line="250" w:lineRule="auto"/>
        <w:rPr>
          <w:sz w:val="20"/>
          <w:szCs w:val="20"/>
          <w:color w:val="auto"/>
        </w:rPr>
      </w:pPr>
      <w:r>
        <w:rPr>
          <w:rFonts w:ascii="Courier New" w:cs="Courier New" w:eastAsia="Courier New" w:hAnsi="Courier New"/>
          <w:sz w:val="17"/>
          <w:szCs w:val="17"/>
          <w:color w:val="auto"/>
        </w:rPr>
        <w:t>The following table presents, for the periods indicated, the Company's net sales (in thousands) and percentage of total net sales by market classification.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0" w:type="dxa"/>
            <w:vAlign w:val="bottom"/>
          </w:tcPr>
          <w:p>
            <w:pPr>
              <w:spacing w:after="0"/>
              <w:rPr>
                <w:sz w:val="16"/>
                <w:szCs w:val="16"/>
                <w:color w:val="auto"/>
              </w:rPr>
            </w:pPr>
          </w:p>
        </w:tc>
        <w:tc>
          <w:tcPr>
            <w:tcW w:w="2920" w:type="dxa"/>
            <w:vAlign w:val="bottom"/>
            <w:gridSpan w:val="3"/>
          </w:tcPr>
          <w:p>
            <w:pPr>
              <w:jc w:val="right"/>
              <w:ind w:right="333"/>
              <w:spacing w:after="0"/>
              <w:rPr>
                <w:sz w:val="20"/>
                <w:szCs w:val="20"/>
                <w:color w:val="auto"/>
              </w:rPr>
            </w:pPr>
            <w:r>
              <w:rPr>
                <w:rFonts w:ascii="Courier New" w:cs="Courier New" w:eastAsia="Courier New" w:hAnsi="Courier New"/>
                <w:sz w:val="17"/>
                <w:szCs w:val="17"/>
                <w:color w:val="auto"/>
              </w:rPr>
              <w:t>Three Months Ended</w:t>
            </w:r>
          </w:p>
        </w:tc>
        <w:tc>
          <w:tcPr>
            <w:tcW w:w="820" w:type="dxa"/>
            <w:vAlign w:val="bottom"/>
          </w:tcPr>
          <w:p>
            <w:pPr>
              <w:spacing w:after="0"/>
              <w:rPr>
                <w:sz w:val="16"/>
                <w:szCs w:val="16"/>
                <w:color w:val="auto"/>
              </w:rPr>
            </w:pPr>
          </w:p>
        </w:tc>
        <w:tc>
          <w:tcPr>
            <w:tcW w:w="292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Six Months Ended</w:t>
            </w:r>
          </w:p>
        </w:tc>
        <w:tc>
          <w:tcPr>
            <w:tcW w:w="820" w:type="dxa"/>
            <w:vAlign w:val="bottom"/>
          </w:tcPr>
          <w:p>
            <w:pPr>
              <w:spacing w:after="0"/>
              <w:rPr>
                <w:sz w:val="16"/>
                <w:szCs w:val="16"/>
                <w:color w:val="auto"/>
              </w:rPr>
            </w:pPr>
          </w:p>
        </w:tc>
      </w:tr>
      <w:tr>
        <w:trPr>
          <w:trHeight w:val="200"/>
        </w:trPr>
        <w:tc>
          <w:tcPr>
            <w:tcW w:w="260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740" w:type="dxa"/>
            <w:vAlign w:val="bottom"/>
            <w:gridSpan w:val="4"/>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260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June 29,</w:t>
            </w:r>
          </w:p>
        </w:tc>
        <w:tc>
          <w:tcPr>
            <w:tcW w:w="840" w:type="dxa"/>
            <w:vAlign w:val="bottom"/>
          </w:tcPr>
          <w:p>
            <w:pPr>
              <w:spacing w:after="0"/>
              <w:rPr>
                <w:sz w:val="17"/>
                <w:szCs w:val="17"/>
                <w:color w:val="auto"/>
              </w:rPr>
            </w:pP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July 1,</w:t>
            </w:r>
          </w:p>
        </w:tc>
        <w:tc>
          <w:tcPr>
            <w:tcW w:w="820" w:type="dxa"/>
            <w:vAlign w:val="bottom"/>
          </w:tcPr>
          <w:p>
            <w:pPr>
              <w:spacing w:after="0"/>
              <w:rPr>
                <w:sz w:val="17"/>
                <w:szCs w:val="17"/>
                <w:color w:val="auto"/>
              </w:rPr>
            </w:pP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June 29,</w:t>
            </w:r>
          </w:p>
        </w:tc>
        <w:tc>
          <w:tcPr>
            <w:tcW w:w="840" w:type="dxa"/>
            <w:vAlign w:val="bottom"/>
          </w:tcPr>
          <w:p>
            <w:pPr>
              <w:spacing w:after="0"/>
              <w:rPr>
                <w:sz w:val="17"/>
                <w:szCs w:val="17"/>
                <w:color w:val="auto"/>
              </w:rPr>
            </w:pP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July 1,</w:t>
            </w:r>
          </w:p>
        </w:tc>
        <w:tc>
          <w:tcPr>
            <w:tcW w:w="820" w:type="dxa"/>
            <w:vAlign w:val="bottom"/>
          </w:tcPr>
          <w:p>
            <w:pPr>
              <w:spacing w:after="0"/>
              <w:rPr>
                <w:sz w:val="17"/>
                <w:szCs w:val="17"/>
                <w:color w:val="auto"/>
              </w:rPr>
            </w:pPr>
          </w:p>
        </w:tc>
      </w:tr>
      <w:tr>
        <w:trPr>
          <w:trHeight w:val="2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Market Classification</w:t>
            </w:r>
          </w:p>
        </w:tc>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1995</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r>
      <w:tr>
        <w:trPr>
          <w:trHeight w:val="2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ind w:left="220"/>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ind w:left="200"/>
              <w:spacing w:after="0"/>
              <w:rPr>
                <w:sz w:val="20"/>
                <w:szCs w:val="20"/>
                <w:color w:val="auto"/>
              </w:rPr>
            </w:pPr>
            <w:r>
              <w:rPr>
                <w:rFonts w:ascii="Courier New" w:cs="Courier New" w:eastAsia="Courier New" w:hAnsi="Courier New"/>
                <w:sz w:val="17"/>
                <w:szCs w:val="17"/>
                <w:color w:val="auto"/>
                <w:w w:val="97"/>
              </w:rPr>
              <w:t>------</w:t>
            </w:r>
          </w:p>
        </w:tc>
      </w:tr>
      <w:tr>
        <w:trPr>
          <w:trHeight w:val="4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Do-It-Yourself ........</w:t>
            </w:r>
          </w:p>
        </w:tc>
        <w:tc>
          <w:tcPr>
            <w:tcW w:w="10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$163,617</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59.3%</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$138,424</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58.8%</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$234,631</w:t>
            </w:r>
          </w:p>
        </w:tc>
        <w:tc>
          <w:tcPr>
            <w:tcW w:w="18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53.9% $216,294</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52.7%</w:t>
            </w:r>
          </w:p>
        </w:tc>
      </w:tr>
      <w:tr>
        <w:trPr>
          <w:trHeight w:val="2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Manufactured Housing ..</w:t>
            </w:r>
          </w:p>
        </w:tc>
        <w:tc>
          <w:tcPr>
            <w:tcW w:w="10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81,619</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29.6</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70,679</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148,005</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34.0</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143,649</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35.0</w:t>
            </w:r>
          </w:p>
        </w:tc>
      </w:tr>
      <w:tr>
        <w:trPr>
          <w:trHeight w:val="2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Wholesale Lumber ......</w:t>
            </w:r>
          </w:p>
        </w:tc>
        <w:tc>
          <w:tcPr>
            <w:tcW w:w="10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17,313</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6.3</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14,724</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6.3</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29,601</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6.8</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27,498</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6.7</w:t>
            </w:r>
          </w:p>
        </w:tc>
      </w:tr>
      <w:tr>
        <w:trPr>
          <w:trHeight w:val="200"/>
        </w:trPr>
        <w:tc>
          <w:tcPr>
            <w:tcW w:w="2600" w:type="dxa"/>
            <w:vAlign w:val="bottom"/>
          </w:tcPr>
          <w:p>
            <w:pPr>
              <w:spacing w:after="0"/>
              <w:rPr>
                <w:sz w:val="20"/>
                <w:szCs w:val="20"/>
                <w:color w:val="auto"/>
              </w:rPr>
            </w:pPr>
            <w:r>
              <w:rPr>
                <w:rFonts w:ascii="Courier New" w:cs="Courier New" w:eastAsia="Courier New" w:hAnsi="Courier New"/>
                <w:sz w:val="17"/>
                <w:szCs w:val="17"/>
                <w:color w:val="auto"/>
              </w:rPr>
              <w:t>Industrial ............</w:t>
            </w:r>
          </w:p>
        </w:tc>
        <w:tc>
          <w:tcPr>
            <w:tcW w:w="10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13,178</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4.8</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11,610</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4.9</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23,071</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5.3</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22,984</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w:t>
            </w:r>
          </w:p>
        </w:tc>
      </w:tr>
      <w:tr>
        <w:trPr>
          <w:trHeight w:val="200"/>
        </w:trPr>
        <w:tc>
          <w:tcPr>
            <w:tcW w:w="2600" w:type="dxa"/>
            <w:vAlign w:val="bottom"/>
          </w:tcPr>
          <w:p>
            <w:pPr>
              <w:spacing w:after="0"/>
              <w:rPr>
                <w:sz w:val="17"/>
                <w:szCs w:val="17"/>
                <w:color w:val="auto"/>
              </w:rPr>
            </w:pPr>
          </w:p>
        </w:tc>
        <w:tc>
          <w:tcPr>
            <w:tcW w:w="10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2600" w:type="dxa"/>
            <w:vAlign w:val="bottom"/>
          </w:tcPr>
          <w:p>
            <w:pPr>
              <w:spacing w:after="0"/>
              <w:rPr>
                <w:sz w:val="17"/>
                <w:szCs w:val="17"/>
                <w:color w:val="auto"/>
              </w:rPr>
            </w:pPr>
          </w:p>
        </w:tc>
        <w:tc>
          <w:tcPr>
            <w:tcW w:w="10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$275,727</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$235,437</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$435,308</w:t>
            </w:r>
          </w:p>
        </w:tc>
        <w:tc>
          <w:tcPr>
            <w:tcW w:w="18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100.0% $410,425</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w:t>
            </w:r>
          </w:p>
        </w:tc>
      </w:tr>
      <w:tr>
        <w:trPr>
          <w:trHeight w:val="200"/>
        </w:trPr>
        <w:tc>
          <w:tcPr>
            <w:tcW w:w="2600" w:type="dxa"/>
            <w:vAlign w:val="bottom"/>
          </w:tcPr>
          <w:p>
            <w:pPr>
              <w:spacing w:after="0"/>
              <w:rPr>
                <w:sz w:val="17"/>
                <w:szCs w:val="17"/>
                <w:color w:val="auto"/>
              </w:rPr>
            </w:pPr>
          </w:p>
        </w:tc>
        <w:tc>
          <w:tcPr>
            <w:tcW w:w="104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Do-It-Yourself (DIY):</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Net sales to the DIY market increased approximately $25 million, or 18%, in the second quarter of 1996 compared to the same period of 1995, primarily due to an increase in the Lumber Market which substantially increased the overall selling prices of the Company's commodity-based products. In addition, overall unit sales to this market were up in the second quarter due to harsh winter weather which delayed consumer demand for the Company's products until late spring. Net sales in the first six months of 1996 increased approximately $18 million, or 8%, compared to the same period of 1995.</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Company's ratio of value-added product sales to total sales to this market was 33.0% in the second quarter of 1996 and 1995. In the first six months of 1996 this ratio increased to 34.4% from 33.9% in the same period of 1995. The improvement for the first six months was driven by an increase in sales of fencing products, the Company's highest margin product supplied to the DIY market, which were up approximately 19% for the year to date.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Manufactured Housing (MH):</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Net sales to the MH market increased approximately $11 million, or 15%, in the second quarter of 1996 compared to 1995 due primarily to an increase in unit sales to this market. The effect of the higher Lumber Market on selling prices in the second quarter was substantially offset by increased competition in certain geographic areas, forcing selling prices down. Net sales in the first six months of 1996 increased approximately $4 million, or 3%, compared to the same period of 1995. In its May 1996 report, the Manufactured Housing Institute reported an 11% increase in year-to-date industry shipments of manufactured homes.</w:t>
      </w:r>
    </w:p>
    <w:p>
      <w:pPr>
        <w:spacing w:after="0" w:line="200"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The Company's ratio of value-added product sales to total sales to this market was 28.0% in the second quarter and first six months of 1996 and 1995.</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5"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Wholesale:</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Net sales to the wholesale lumber market increased approximately $2.5 million, or 17%, in the second quarter of 1996 compared to the same period of 1995 due to the effect of the higher Lumber Market. Net sales in the first six months of 1996 increased approximately $2.1 million, or 8%, compared to the same period of 1995. The Company does not expect unit sales to this market to increase in the foreseeable future as a result of its goal to increase its ratio of value-added product sales to total sales.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Industrial:</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Net sales to the industrial market increased approximately $1.5 million, or 14%, in the second quarter of 1996 compared to the same period of 1995, while year-to-date sales to this market have remained flat comparing 1996 with 1995. The Company plans to grow its sales to this market in the future through strategic acquisitions.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 OF GOODS SOLD AND GROSS PROFIT</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Gross profit as a percentage of net sales increased to 11.2% in the second quarter of 1996 compared to 9.9% in the same period of 1995. This increase is primarily due to trends in the Lumber Market which increased overall selling prices and enhanced the Company's ability to cover fixed manufacturing costs, and the Company's efforts to improve production efficiency. In addition, increased competition in the MH market slightly impacted the Company's margins, offsetting some of the positive effects of the Lumber Market trend. Gross profit as a percentage of net sales increased to 11.0% for the first six months of 1996 compared to 10.3% for the same period of 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 EXPENSES</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Selling, general and administrative expenses have increased $2.9 million and $2.7 million, or 21% and 11%, respectively, comparing the second quarter and first six months of 1996 and 1995, respectively. Such increases are primarily due to increases in accrued incentive compensation expenses related to profitability and certain variable expenses related to sales.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EXPENSE, NET</w:t>
      </w:r>
    </w:p>
    <w:p>
      <w:pPr>
        <w:spacing w:after="0" w:line="207" w:lineRule="exact"/>
        <w:rPr>
          <w:sz w:val="20"/>
          <w:szCs w:val="20"/>
          <w:color w:val="auto"/>
        </w:rPr>
      </w:pPr>
    </w:p>
    <w:p>
      <w:pPr>
        <w:spacing w:after="0"/>
        <w:tabs>
          <w:tab w:leader="none" w:pos="6640" w:val="left"/>
        </w:tabs>
        <w:rPr>
          <w:sz w:val="20"/>
          <w:szCs w:val="20"/>
          <w:color w:val="auto"/>
        </w:rPr>
      </w:pPr>
      <w:r>
        <w:rPr>
          <w:rFonts w:ascii="Courier New" w:cs="Courier New" w:eastAsia="Courier New" w:hAnsi="Courier New"/>
          <w:sz w:val="17"/>
          <w:szCs w:val="17"/>
          <w:color w:val="auto"/>
        </w:rPr>
        <w:t>Other expense, net is primarily comprised of interest expense.</w:t>
        <w:tab/>
        <w:t>Net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costs (interest expense less interest income) decreased by over $250,000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$710,000, or 22% and 29%, respectively, comparing the second quarter and first</w:t>
      </w:r>
    </w:p>
    <w:p>
      <w:pPr>
        <w:spacing w:after="0" w:line="7"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7"/>
          <w:szCs w:val="17"/>
          <w:color w:val="auto"/>
        </w:rPr>
        <w:t>six months of 1996 and 1995, respectively.</w:t>
        <w:tab/>
        <w:t>These decreases are due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continued improvement in working capital management (see "Liquidity</w:t>
      </w:r>
    </w:p>
    <w:p>
      <w:pPr>
        <w:spacing w:after="0" w:line="7"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7"/>
          <w:szCs w:val="17"/>
          <w:color w:val="auto"/>
        </w:rPr>
        <w:t>and Capital Resources").</w:t>
        <w:tab/>
        <w:t>These practices helped the Company avoid borrowing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lines of credit and maintain a significant cash position for the majority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period despite seasonal constraints.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5"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Company's effective tax rate in the second quarter and first six months of 1996 and 1995 ranges from 40.50% to 40.75%. Effective tax rates differ from statutory federal income tax rates primarily due to provisions for state and local income taxes and are not expected to increase significantly in the foreseeable future.</w:t>
      </w:r>
    </w:p>
    <w:p>
      <w:pPr>
        <w:spacing w:after="0" w:line="400"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flows used in operating activities for the first six months of 1996 was</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$14 million compared with $16 million provided by operations in the same period of 1995. The $30 million decrease is due primarily to the timing of cash receipts from customers, and the trend in the Lumber Market increasing the cost of lumber, and consequently, the Company's investment in inventory at the end of the quarter. Trade receivables tend to be at their highest levels during the month of June due to the Company's peak selling season. The Company expects to generate significant cash flows from operations in the third quarter of 1996 as existing receivables and inventory are collected and sold.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continues to improve its working capital management practices, evidenced by a 25% decrease in its cash cycle (days sales outstanding plus days supply of inventory less days payables outstanding) comparing the first six months of 1996 with the same period of 1995. This improvement, along with the Company's strong cash position at the beginning of the year, allowed it to avoid borrowing on its lines of credit during the period, leaving $116 million available on its revolving credit facilities at June 29, 1996.</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Capital expenditures totaled almost $4.5 million in the first six months of 1996 as the Company remains on pace to spend approximately $10 to $12 million for the year to upgrade its machinery and equipment and information systems. In addition, the Company is currently investigating strategic acquisitions. The Company's current plan involves pursuing acquisitions in the following markets:</w:t>
      </w:r>
    </w:p>
    <w:p>
      <w:pPr>
        <w:spacing w:after="0" w:line="200" w:lineRule="exact"/>
        <w:rPr>
          <w:sz w:val="20"/>
          <w:szCs w:val="20"/>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Manufacturers of commercial and residential trusses.</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Manufacturers of industrial packaging products.</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Truss manufacturers which supply the MH market.</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Low cost treating operations which supply the DIY market.</w:t>
      </w:r>
    </w:p>
    <w:p>
      <w:pPr>
        <w:spacing w:after="0" w:line="207"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7"/>
          <w:szCs w:val="17"/>
          <w:color w:val="auto"/>
        </w:rPr>
        <w:t>The Company may finance any potential future acquisition using its cash reserves or credit facilities, through an issuance of common stock or a combination of the above.</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Cash flows from financing activities in the first six months of 1996 consisted of repayments on long-term debt, repurchases of common stock, proceeds from the issuance of common stock and dividends paid to shareholders at a rate of $.03 per common share. In January 1996, the Company repurchased 100,000 shares of its common stock for an amount totaling approximately $822,000. Management is authorized to repurchase an additional 900,000 common shares under its current stock repurchase program. While the Company has no current obligation to buy back additional shares, it will continue to evaluate market</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5"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13</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conditions and alternative uses of its cash to determine when it will make repurchases. In February and April 1996, one former officer and seven current officers of the Company exercised options to purchase 95,000 shares of common stock for an amount totaling approximately $247,000.</w:t>
      </w:r>
    </w:p>
    <w:p>
      <w:pPr>
        <w:spacing w:after="0" w:line="4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ENVIRONMENTAL CONSIDERATIONS AND REGULATIONS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is self-insured for environmental impairment liability, and accrues for the estimated cost of remedial actions when situations requiring such action arise. The Company owns and operates sixteen facilities throughout the United States that chemically treat lumber products. In connection with the ownership and operation of these and other real properties, and the disposal or treatment of hazardous or toxic substances, the Company may, under various federal, state, and local environmental laws, ordinances, and regulations, be potentially liable for removal and remediation costs, as well as other potential costs, damages, and expenses. Remediation and/or site assessment activities are currently being conducted at the Company's Granger Indiana; Union City, Georgia; Stockertown, Pennsylvania; Elizabeth City, North Carolina; and North East, Maryland treatment facilities.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 has accrued, in current liabilities, amounts totaling $2.6 million and $2.8 million at June 29, 1996 and December 30, 1995, respectively, representing the estimated costs to complete remediation efforts currently in process. The Company believes that the potential future costs of known remediation efforts will not have a material adverse effect on its future financial position, results of operations or liquidity.</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5"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7"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FORWARD-LOOKING STATEMENTS AND RISK FACTORS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From time to time the Company may make certain statements which are considered forward-looking. Statements regarding future performance are contingent on a variety of risk factors which may impact the Company's ability to meet its projections. In addition to the other risks contained herein, the risk factors described below may negatively impact future financial results, and should be considered when evaluating forward-looking statements made by the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07" w:lineRule="exact"/>
        <w:rPr>
          <w:sz w:val="20"/>
          <w:szCs w:val="20"/>
          <w:color w:val="auto"/>
        </w:rPr>
      </w:pPr>
    </w:p>
    <w:p>
      <w:pPr>
        <w:ind w:right="2519"/>
        <w:spacing w:after="0" w:line="249" w:lineRule="auto"/>
        <w:rPr>
          <w:sz w:val="20"/>
          <w:szCs w:val="20"/>
          <w:color w:val="auto"/>
        </w:rPr>
      </w:pPr>
      <w:r>
        <w:rPr>
          <w:rFonts w:ascii="Courier New" w:cs="Courier New" w:eastAsia="Courier New" w:hAnsi="Courier New"/>
          <w:sz w:val="17"/>
          <w:szCs w:val="17"/>
          <w:color w:val="auto"/>
        </w:rPr>
        <w:t>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Growth:</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Company's projections may be based on certain growth assumptions for the overall markets which it serves. If the Company's markets do not maintain anticipated growth projections, or if the Company fails to maintain its market share, financial results could be impaired.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Regulations: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is subject to a substantial amount of existing government regulations which create a burden on the Company. Should the Company become subject to additional laws and regulations enacted in the future, it could have an adverse affect on the Company's financial results.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Lumber Market Volatility:</w:t>
      </w:r>
    </w:p>
    <w:p>
      <w:pPr>
        <w:spacing w:after="0" w:line="207" w:lineRule="exact"/>
        <w:rPr>
          <w:sz w:val="20"/>
          <w:szCs w:val="20"/>
          <w:color w:val="auto"/>
        </w:rPr>
      </w:pPr>
    </w:p>
    <w:p>
      <w:pPr>
        <w:jc w:val="both"/>
        <w:ind w:right="1999"/>
        <w:spacing w:after="0" w:line="249" w:lineRule="auto"/>
        <w:rPr>
          <w:sz w:val="20"/>
          <w:szCs w:val="20"/>
          <w:color w:val="auto"/>
        </w:rPr>
      </w:pPr>
      <w:r>
        <w:rPr>
          <w:rFonts w:ascii="Courier New" w:cs="Courier New" w:eastAsia="Courier New" w:hAnsi="Courier New"/>
          <w:sz w:val="17"/>
          <w:szCs w:val="17"/>
          <w:color w:val="auto"/>
        </w:rPr>
        <w:t>As previously stated, the Company experiences significant fluctuations in the cost of lumber products from primary producers. While the Company attempts to minimize its risk from severe price fluctuations, substantial, rapid changes in lumber prices can affect the Company's financial results.</w:t>
      </w: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7" w:lineRule="exact"/>
        <w:rPr>
          <w:sz w:val="20"/>
          <w:szCs w:val="20"/>
          <w:color w:val="auto"/>
        </w:rPr>
      </w:pPr>
    </w:p>
    <w:p>
      <w:pPr>
        <w:ind w:left="2600"/>
        <w:spacing w:after="0"/>
        <w:tabs>
          <w:tab w:leader="none" w:pos="362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207"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7"/>
          <w:szCs w:val="17"/>
          <w:color w:val="auto"/>
        </w:rPr>
        <w:t>The following matter was voted upon at the Company's Annual Meeting of Shareholders on April 24, 1996.</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Election of the following Directors for three year terms expiring in 1999:</w:t>
      </w:r>
    </w:p>
    <w:p>
      <w:pPr>
        <w:spacing w:after="0" w:line="200" w:lineRule="exact"/>
        <w:rPr>
          <w:sz w:val="20"/>
          <w:szCs w:val="20"/>
          <w:color w:val="auto"/>
        </w:rPr>
      </w:pPr>
    </w:p>
    <w:p>
      <w:pPr>
        <w:spacing w:after="0" w:line="207" w:lineRule="exact"/>
        <w:rPr>
          <w:sz w:val="20"/>
          <w:szCs w:val="20"/>
          <w:color w:val="auto"/>
        </w:rPr>
      </w:pPr>
    </w:p>
    <w:tbl>
      <w:tblPr>
        <w:tblLayout w:type="fixed"/>
        <w:tblInd w:w="1660" w:type="dxa"/>
        <w:tblCellMar>
          <w:top w:w="0" w:type="dxa"/>
          <w:left w:w="0" w:type="dxa"/>
          <w:bottom w:w="0" w:type="dxa"/>
          <w:right w:w="0" w:type="dxa"/>
        </w:tblCellMar>
      </w:tblPr>
      <w:tr>
        <w:trPr>
          <w:trHeight w:val="194"/>
        </w:trPr>
        <w:tc>
          <w:tcPr>
            <w:tcW w:w="2920" w:type="dxa"/>
            <w:vAlign w:val="bottom"/>
          </w:tcPr>
          <w:p>
            <w:pPr>
              <w:spacing w:after="0"/>
              <w:rPr>
                <w:sz w:val="16"/>
                <w:szCs w:val="16"/>
                <w:color w:val="auto"/>
              </w:rPr>
            </w:pPr>
          </w:p>
        </w:tc>
        <w:tc>
          <w:tcPr>
            <w:tcW w:w="26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For</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Withheld</w:t>
            </w:r>
          </w:p>
        </w:tc>
      </w:tr>
      <w:tr>
        <w:trPr>
          <w:trHeight w:val="200"/>
        </w:trPr>
        <w:tc>
          <w:tcPr>
            <w:tcW w:w="2920" w:type="dxa"/>
            <w:vAlign w:val="bottom"/>
          </w:tcPr>
          <w:p>
            <w:pPr>
              <w:spacing w:after="0"/>
              <w:rPr>
                <w:sz w:val="17"/>
                <w:szCs w:val="17"/>
                <w:color w:val="auto"/>
              </w:rPr>
            </w:pPr>
          </w:p>
        </w:tc>
        <w:tc>
          <w:tcPr>
            <w:tcW w:w="26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Louis A. Smith</w:t>
            </w:r>
          </w:p>
        </w:tc>
        <w:tc>
          <w:tcPr>
            <w:tcW w:w="26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12,283,901</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10,500</w:t>
            </w:r>
          </w:p>
        </w:tc>
      </w:tr>
      <w:tr>
        <w:trPr>
          <w:trHeight w:val="2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John C. Canepa</w:t>
            </w:r>
          </w:p>
        </w:tc>
        <w:tc>
          <w:tcPr>
            <w:tcW w:w="26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11,285,693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1,008,708</w:t>
            </w:r>
          </w:p>
        </w:tc>
      </w:tr>
    </w:tbl>
    <w:p>
      <w:pPr>
        <w:spacing w:after="0" w:line="205" w:lineRule="exact"/>
        <w:rPr>
          <w:sz w:val="20"/>
          <w:szCs w:val="20"/>
          <w:color w:val="auto"/>
        </w:rPr>
      </w:pPr>
    </w:p>
    <w:p>
      <w:pPr>
        <w:ind w:right="2739"/>
        <w:spacing w:after="0" w:line="251" w:lineRule="auto"/>
        <w:rPr>
          <w:sz w:val="20"/>
          <w:szCs w:val="20"/>
          <w:color w:val="auto"/>
        </w:rPr>
      </w:pPr>
      <w:r>
        <w:rPr>
          <w:rFonts w:ascii="Courier New" w:cs="Courier New" w:eastAsia="Courier New" w:hAnsi="Courier New"/>
          <w:sz w:val="17"/>
          <w:szCs w:val="17"/>
          <w:color w:val="auto"/>
        </w:rPr>
        <w:t>Other Directors whose terms of office continued after the meeting are as follows:</w:t>
      </w:r>
    </w:p>
    <w:p>
      <w:pPr>
        <w:spacing w:after="0" w:line="19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Peter F. Secchia</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William G. Currie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Philip M. Novell</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Richard M. DeVos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John W. Garside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5"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16</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UNIVERSAL FOREST PRODUCTS,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7"/>
          <w:szCs w:val="17"/>
          <w:color w:val="auto"/>
        </w:rPr>
        <w:t>Pursuant to the requirements of the Securities and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7"/>
          <w:szCs w:val="17"/>
          <w:color w:val="auto"/>
        </w:rPr>
        <w:t>UNIVERSAL FOREST PRODUCTS, INC.</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640" w:hanging="639"/>
        <w:spacing w:after="0" w:line="251" w:lineRule="auto"/>
        <w:tabs>
          <w:tab w:leader="none" w:pos="620" w:val="left"/>
        </w:tabs>
        <w:rPr>
          <w:sz w:val="20"/>
          <w:szCs w:val="20"/>
          <w:color w:val="auto"/>
        </w:rPr>
      </w:pPr>
      <w:r>
        <w:rPr>
          <w:rFonts w:ascii="Courier New" w:cs="Courier New" w:eastAsia="Courier New" w:hAnsi="Courier New"/>
          <w:sz w:val="17"/>
          <w:szCs w:val="17"/>
          <w:color w:val="auto"/>
        </w:rPr>
        <w:t>Date:</w:t>
        <w:tab/>
        <w:t>August 12, 1996 ------------------------</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 William G. Currie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William G. Currie</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0" w:lineRule="exact"/>
        <w:rPr>
          <w:sz w:val="20"/>
          <w:szCs w:val="20"/>
          <w:color w:val="auto"/>
        </w:rPr>
      </w:pPr>
    </w:p>
    <w:p>
      <w:pPr>
        <w:sectPr>
          <w:pgSz w:w="11900" w:h="16838" w:orient="portrait"/>
          <w:cols w:equalWidth="0" w:num="3">
            <w:col w:w="3120" w:space="220"/>
            <w:col w:w="400" w:space="0"/>
            <w:col w:w="6479"/>
          </w:cols>
          <w:pgMar w:left="240" w:top="31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640" w:hanging="639"/>
        <w:spacing w:after="0" w:line="251" w:lineRule="auto"/>
        <w:tabs>
          <w:tab w:leader="none" w:pos="620" w:val="left"/>
        </w:tabs>
        <w:rPr>
          <w:sz w:val="20"/>
          <w:szCs w:val="20"/>
          <w:color w:val="auto"/>
        </w:rPr>
      </w:pPr>
      <w:r>
        <w:rPr>
          <w:rFonts w:ascii="Courier New" w:cs="Courier New" w:eastAsia="Courier New" w:hAnsi="Courier New"/>
          <w:sz w:val="17"/>
          <w:szCs w:val="17"/>
          <w:color w:val="auto"/>
        </w:rPr>
        <w:t>Date:</w:t>
        <w:tab/>
        <w:t>August 12, 1996 ------------------------</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 Elizabeth A. Bowman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Elizabeth A. Bowman</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Executive Vice President of Finance and</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Administration and Treasurer (Principal</w:t>
      </w: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Financial Officer)</w:t>
      </w:r>
    </w:p>
    <w:p>
      <w:pPr>
        <w:spacing w:after="0" w:line="200" w:lineRule="exact"/>
        <w:rPr>
          <w:sz w:val="20"/>
          <w:szCs w:val="20"/>
          <w:color w:val="auto"/>
        </w:rPr>
      </w:pPr>
    </w:p>
    <w:p>
      <w:pPr>
        <w:sectPr>
          <w:pgSz w:w="11900" w:h="16838" w:orient="portrait"/>
          <w:cols w:equalWidth="0" w:num="3">
            <w:col w:w="3120" w:space="220"/>
            <w:col w:w="400" w:space="0"/>
            <w:col w:w="6479"/>
          </w:cols>
          <w:pgMar w:left="240" w:top="31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5"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17</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31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NO.</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Data Schedule</w:t>
      </w:r>
    </w:p>
    <w:p>
      <w:pPr>
        <w:spacing w:after="0" w:line="200" w:lineRule="exact"/>
        <w:rPr>
          <w:sz w:val="20"/>
          <w:szCs w:val="20"/>
          <w:color w:val="auto"/>
        </w:rPr>
      </w:pPr>
    </w:p>
    <w:p>
      <w:pPr>
        <w:sectPr>
          <w:pgSz w:w="11900" w:h="16838" w:orient="portrait"/>
          <w:cols w:equalWidth="0" w:num="2">
            <w:col w:w="1160" w:space="720"/>
            <w:col w:w="8339"/>
          </w:cols>
          <w:pgMar w:left="240" w:top="3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5"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6-MOS</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DEC-28-1996</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DEC-31-1995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JUN-29-1996</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126,644</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62,593,730</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1,045,391</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78,038,264</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143,128,655</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95,947,671</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40,213,848</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204,182,742</w:t>
      </w:r>
    </w:p>
    <w:p>
      <w:pPr>
        <w:spacing w:after="0" w:line="7"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55,880,644</w:t>
      </w: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50,564,275</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17,038,200</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76,556,992</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204,182,742</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435,308,166</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435,308,166</w:t>
      </w:r>
    </w:p>
    <w:p>
      <w:pPr>
        <w:spacing w:after="0" w:line="7" w:lineRule="exact"/>
        <w:rPr>
          <w:sz w:val="20"/>
          <w:szCs w:val="20"/>
          <w:color w:val="auto"/>
        </w:rPr>
      </w:pPr>
    </w:p>
    <w:p>
      <w:pPr>
        <w:jc w:val="right"/>
        <w:ind w:right="5119"/>
        <w:spacing w:after="0"/>
        <w:rPr>
          <w:sz w:val="20"/>
          <w:szCs w:val="20"/>
          <w:color w:val="auto"/>
        </w:rPr>
      </w:pPr>
      <w:r>
        <w:rPr>
          <w:rFonts w:ascii="Courier New" w:cs="Courier New" w:eastAsia="Courier New" w:hAnsi="Courier New"/>
          <w:sz w:val="17"/>
          <w:szCs w:val="17"/>
          <w:color w:val="auto"/>
        </w:rPr>
        <w:t>387,441,737</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387,441,737</w:t>
      </w:r>
    </w:p>
    <w:p>
      <w:pPr>
        <w:spacing w:after="0" w:line="7"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26,585,010</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1,060,528</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2,045,691</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18,175,200</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7,361,000</w:t>
      </w:r>
    </w:p>
    <w:p>
      <w:pPr>
        <w:spacing w:after="0" w:line="7"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10,814,200</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10,814,200</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.61</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.61</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X"/>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2019-12-14T01:32:50Z</dcterms:created>
  <dcterms:modified xsi:type="dcterms:W3CDTF">2019-12-14T01:32:50Z</dcterms:modified>
</cp:coreProperties>
</file>