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jc w:val="center"/>
        <w:ind w:right="-19"/>
        <w:spacing w:after="0" w:line="195" w:lineRule="auto"/>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324" w:lineRule="exact"/>
        <w:rPr>
          <w:sz w:val="24"/>
          <w:szCs w:val="24"/>
          <w:color w:val="auto"/>
        </w:rPr>
      </w:pPr>
    </w:p>
    <w:p>
      <w:pPr>
        <w:jc w:val="center"/>
        <w:ind w:right="-19"/>
        <w:spacing w:after="0" w:line="242" w:lineRule="exact"/>
        <w:rPr>
          <w:sz w:val="20"/>
          <w:szCs w:val="20"/>
          <w:color w:val="auto"/>
        </w:rPr>
      </w:pPr>
      <w:r>
        <w:rPr>
          <w:rFonts w:ascii="Arial" w:cs="Arial" w:eastAsia="Arial" w:hAnsi="Arial"/>
          <w:sz w:val="21"/>
          <w:szCs w:val="21"/>
          <w:b w:val="1"/>
          <w:bCs w:val="1"/>
          <w:color w:val="auto"/>
        </w:rPr>
        <w:t>FORM 8</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K</w:t>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Date of Report (Date of earliest event reported): June 8, 2011</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Universal Forest Products, Inc.</w:t>
      </w:r>
    </w:p>
    <w:p>
      <w:pPr>
        <w:jc w:val="center"/>
        <w:ind w:right="-19"/>
        <w:spacing w:after="0"/>
        <w:rPr>
          <w:sz w:val="20"/>
          <w:szCs w:val="20"/>
          <w:color w:val="auto"/>
        </w:rPr>
      </w:pPr>
      <w:r>
        <w:rPr>
          <w:rFonts w:ascii="Arial" w:cs="Arial" w:eastAsia="Arial" w:hAnsi="Arial"/>
          <w:sz w:val="21"/>
          <w:szCs w:val="21"/>
          <w:color w:val="auto"/>
        </w:rPr>
        <w:t>(Exact name of registrant as specified in its charter)</w:t>
      </w:r>
    </w:p>
    <w:p>
      <w:pPr>
        <w:spacing w:after="0" w:line="293" w:lineRule="exact"/>
        <w:rPr>
          <w:sz w:val="24"/>
          <w:szCs w:val="24"/>
          <w:color w:val="auto"/>
        </w:rPr>
      </w:pPr>
    </w:p>
    <w:tbl>
      <w:tblPr>
        <w:tblLayout w:type="fixed"/>
        <w:tblInd w:w="1560" w:type="dxa"/>
        <w:tblCellMar>
          <w:top w:w="0" w:type="dxa"/>
          <w:left w:w="0" w:type="dxa"/>
          <w:bottom w:w="0" w:type="dxa"/>
          <w:right w:w="0" w:type="dxa"/>
        </w:tblCellMar>
      </w:tblPr>
      <w:tr>
        <w:trPr>
          <w:trHeight w:val="241"/>
        </w:trPr>
        <w:tc>
          <w:tcPr>
            <w:tcW w:w="2540" w:type="dxa"/>
            <w:vAlign w:val="bottom"/>
          </w:tcPr>
          <w:p>
            <w:pPr>
              <w:jc w:val="center"/>
              <w:ind w:right="275"/>
              <w:spacing w:after="0"/>
              <w:rPr>
                <w:sz w:val="20"/>
                <w:szCs w:val="20"/>
                <w:color w:val="auto"/>
              </w:rPr>
            </w:pPr>
            <w:r>
              <w:rPr>
                <w:rFonts w:ascii="Arial" w:cs="Arial" w:eastAsia="Arial" w:hAnsi="Arial"/>
                <w:sz w:val="21"/>
                <w:szCs w:val="21"/>
                <w:b w:val="1"/>
                <w:bCs w:val="1"/>
                <w:color w:val="auto"/>
                <w:w w:val="92"/>
              </w:rPr>
              <w:t>Michigan</w:t>
            </w:r>
          </w:p>
        </w:tc>
        <w:tc>
          <w:tcPr>
            <w:tcW w:w="2880" w:type="dxa"/>
            <w:vAlign w:val="bottom"/>
          </w:tcPr>
          <w:p>
            <w:pPr>
              <w:jc w:val="right"/>
              <w:ind w:right="955"/>
              <w:spacing w:after="0"/>
              <w:rPr>
                <w:sz w:val="20"/>
                <w:szCs w:val="20"/>
                <w:color w:val="auto"/>
              </w:rPr>
            </w:pPr>
            <w:r>
              <w:rPr>
                <w:rFonts w:ascii="Arial" w:cs="Arial" w:eastAsia="Arial" w:hAnsi="Arial"/>
                <w:sz w:val="21"/>
                <w:szCs w:val="21"/>
                <w:b w:val="1"/>
                <w:bCs w:val="1"/>
                <w:color w:val="auto"/>
              </w:rPr>
              <w:t>0-22684</w:t>
            </w:r>
          </w:p>
        </w:tc>
        <w:tc>
          <w:tcPr>
            <w:tcW w:w="3080" w:type="dxa"/>
            <w:vAlign w:val="bottom"/>
          </w:tcPr>
          <w:p>
            <w:pPr>
              <w:jc w:val="right"/>
              <w:ind w:right="795"/>
              <w:spacing w:after="0"/>
              <w:rPr>
                <w:sz w:val="20"/>
                <w:szCs w:val="20"/>
                <w:color w:val="auto"/>
              </w:rPr>
            </w:pPr>
            <w:r>
              <w:rPr>
                <w:rFonts w:ascii="Arial" w:cs="Arial" w:eastAsia="Arial" w:hAnsi="Arial"/>
                <w:sz w:val="21"/>
                <w:szCs w:val="21"/>
                <w:b w:val="1"/>
                <w:bCs w:val="1"/>
                <w:color w:val="auto"/>
              </w:rPr>
              <w:t>38-1465835</w:t>
            </w:r>
          </w:p>
        </w:tc>
        <w:tc>
          <w:tcPr>
            <w:tcW w:w="0" w:type="dxa"/>
            <w:vAlign w:val="bottom"/>
          </w:tcPr>
          <w:p>
            <w:pPr>
              <w:spacing w:after="0"/>
              <w:rPr>
                <w:sz w:val="1"/>
                <w:szCs w:val="1"/>
                <w:color w:val="auto"/>
              </w:rPr>
            </w:pPr>
          </w:p>
        </w:tc>
      </w:tr>
      <w:tr>
        <w:trPr>
          <w:trHeight w:val="196"/>
        </w:trPr>
        <w:tc>
          <w:tcPr>
            <w:tcW w:w="2540" w:type="dxa"/>
            <w:vAlign w:val="bottom"/>
          </w:tcPr>
          <w:p>
            <w:pPr>
              <w:jc w:val="center"/>
              <w:ind w:right="255"/>
              <w:spacing w:after="0" w:line="197" w:lineRule="exact"/>
              <w:rPr>
                <w:sz w:val="20"/>
                <w:szCs w:val="20"/>
                <w:color w:val="auto"/>
              </w:rPr>
            </w:pPr>
            <w:r>
              <w:rPr>
                <w:rFonts w:ascii="Arial" w:cs="Arial" w:eastAsia="Arial" w:hAnsi="Arial"/>
                <w:sz w:val="21"/>
                <w:szCs w:val="21"/>
                <w:color w:val="auto"/>
                <w:w w:val="88"/>
              </w:rPr>
              <w:t>(State or other Jurisdiction</w:t>
            </w:r>
          </w:p>
        </w:tc>
        <w:tc>
          <w:tcPr>
            <w:tcW w:w="2880" w:type="dxa"/>
            <w:vAlign w:val="bottom"/>
          </w:tcPr>
          <w:p>
            <w:pPr>
              <w:jc w:val="center"/>
              <w:spacing w:after="0" w:line="197" w:lineRule="exact"/>
              <w:rPr>
                <w:sz w:val="20"/>
                <w:szCs w:val="20"/>
                <w:color w:val="auto"/>
              </w:rPr>
            </w:pPr>
            <w:r>
              <w:rPr>
                <w:rFonts w:ascii="Arial" w:cs="Arial" w:eastAsia="Arial" w:hAnsi="Arial"/>
                <w:sz w:val="21"/>
                <w:szCs w:val="21"/>
                <w:color w:val="auto"/>
                <w:w w:val="91"/>
              </w:rPr>
              <w:t>(Commission File Number)</w:t>
            </w:r>
          </w:p>
        </w:tc>
        <w:tc>
          <w:tcPr>
            <w:tcW w:w="3080" w:type="dxa"/>
            <w:vAlign w:val="bottom"/>
          </w:tcPr>
          <w:p>
            <w:pPr>
              <w:jc w:val="center"/>
              <w:ind w:left="155"/>
              <w:spacing w:after="0" w:line="197" w:lineRule="exact"/>
              <w:rPr>
                <w:sz w:val="20"/>
                <w:szCs w:val="20"/>
                <w:color w:val="auto"/>
              </w:rPr>
            </w:pPr>
            <w:r>
              <w:rPr>
                <w:rFonts w:ascii="Arial" w:cs="Arial" w:eastAsia="Arial" w:hAnsi="Arial"/>
                <w:sz w:val="21"/>
                <w:szCs w:val="21"/>
                <w:color w:val="auto"/>
                <w:w w:val="92"/>
              </w:rPr>
              <w:t>(IRS Employer Identification No.)</w:t>
            </w:r>
          </w:p>
        </w:tc>
        <w:tc>
          <w:tcPr>
            <w:tcW w:w="0" w:type="dxa"/>
            <w:vAlign w:val="bottom"/>
          </w:tcPr>
          <w:p>
            <w:pPr>
              <w:spacing w:after="0"/>
              <w:rPr>
                <w:sz w:val="1"/>
                <w:szCs w:val="1"/>
                <w:color w:val="auto"/>
              </w:rPr>
            </w:pPr>
          </w:p>
        </w:tc>
      </w:tr>
      <w:tr>
        <w:trPr>
          <w:trHeight w:val="267"/>
        </w:trPr>
        <w:tc>
          <w:tcPr>
            <w:tcW w:w="2540" w:type="dxa"/>
            <w:vAlign w:val="bottom"/>
          </w:tcPr>
          <w:p>
            <w:pPr>
              <w:jc w:val="center"/>
              <w:ind w:right="275"/>
              <w:spacing w:after="0"/>
              <w:rPr>
                <w:sz w:val="20"/>
                <w:szCs w:val="20"/>
                <w:color w:val="auto"/>
              </w:rPr>
            </w:pPr>
            <w:r>
              <w:rPr>
                <w:rFonts w:ascii="Arial" w:cs="Arial" w:eastAsia="Arial" w:hAnsi="Arial"/>
                <w:sz w:val="21"/>
                <w:szCs w:val="21"/>
                <w:color w:val="auto"/>
                <w:w w:val="91"/>
              </w:rPr>
              <w:t>of Incorporation)</w:t>
            </w:r>
          </w:p>
        </w:tc>
        <w:tc>
          <w:tcPr>
            <w:tcW w:w="28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19"/>
        </w:trPr>
        <w:tc>
          <w:tcPr>
            <w:tcW w:w="5420" w:type="dxa"/>
            <w:vAlign w:val="bottom"/>
            <w:gridSpan w:val="2"/>
          </w:tcPr>
          <w:p>
            <w:pPr>
              <w:jc w:val="center"/>
              <w:ind w:right="1355"/>
              <w:spacing w:after="0"/>
              <w:rPr>
                <w:sz w:val="20"/>
                <w:szCs w:val="20"/>
                <w:color w:val="auto"/>
              </w:rPr>
            </w:pPr>
            <w:r>
              <w:rPr>
                <w:rFonts w:ascii="Arial" w:cs="Arial" w:eastAsia="Arial" w:hAnsi="Arial"/>
                <w:sz w:val="21"/>
                <w:szCs w:val="21"/>
                <w:b w:val="1"/>
                <w:bCs w:val="1"/>
                <w:color w:val="auto"/>
                <w:w w:val="89"/>
              </w:rPr>
              <w:t>2801 East Beltline, NE</w:t>
            </w:r>
          </w:p>
        </w:tc>
        <w:tc>
          <w:tcPr>
            <w:tcW w:w="3080" w:type="dxa"/>
            <w:vAlign w:val="bottom"/>
            <w:vMerge w:val="restart"/>
          </w:tcPr>
          <w:p>
            <w:pPr>
              <w:jc w:val="right"/>
              <w:ind w:right="1795"/>
              <w:spacing w:after="0"/>
              <w:rPr>
                <w:sz w:val="20"/>
                <w:szCs w:val="20"/>
                <w:color w:val="auto"/>
              </w:rPr>
            </w:pPr>
            <w:r>
              <w:rPr>
                <w:rFonts w:ascii="Arial" w:cs="Arial" w:eastAsia="Arial" w:hAnsi="Arial"/>
                <w:sz w:val="21"/>
                <w:szCs w:val="21"/>
                <w:b w:val="1"/>
                <w:bCs w:val="1"/>
                <w:color w:val="auto"/>
              </w:rPr>
              <w:t>49525</w:t>
            </w:r>
          </w:p>
        </w:tc>
        <w:tc>
          <w:tcPr>
            <w:tcW w:w="0" w:type="dxa"/>
            <w:vAlign w:val="bottom"/>
          </w:tcPr>
          <w:p>
            <w:pPr>
              <w:spacing w:after="0"/>
              <w:rPr>
                <w:sz w:val="1"/>
                <w:szCs w:val="1"/>
                <w:color w:val="auto"/>
              </w:rPr>
            </w:pPr>
          </w:p>
        </w:tc>
      </w:tr>
      <w:tr>
        <w:trPr>
          <w:trHeight w:val="196"/>
        </w:trPr>
        <w:tc>
          <w:tcPr>
            <w:tcW w:w="5420" w:type="dxa"/>
            <w:vAlign w:val="bottom"/>
            <w:gridSpan w:val="2"/>
          </w:tcPr>
          <w:p>
            <w:pPr>
              <w:jc w:val="center"/>
              <w:ind w:right="1355"/>
              <w:spacing w:after="0" w:line="197" w:lineRule="exact"/>
              <w:rPr>
                <w:sz w:val="20"/>
                <w:szCs w:val="20"/>
                <w:color w:val="auto"/>
              </w:rPr>
            </w:pPr>
            <w:r>
              <w:rPr>
                <w:rFonts w:ascii="Arial" w:cs="Arial" w:eastAsia="Arial" w:hAnsi="Arial"/>
                <w:sz w:val="21"/>
                <w:szCs w:val="21"/>
                <w:b w:val="1"/>
                <w:bCs w:val="1"/>
                <w:color w:val="auto"/>
                <w:w w:val="91"/>
              </w:rPr>
              <w:t>Grand Rapids, Michigan</w:t>
            </w:r>
          </w:p>
        </w:tc>
        <w:tc>
          <w:tcPr>
            <w:tcW w:w="3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420" w:type="dxa"/>
            <w:vAlign w:val="bottom"/>
            <w:gridSpan w:val="2"/>
          </w:tcPr>
          <w:p>
            <w:pPr>
              <w:jc w:val="center"/>
              <w:ind w:right="1355"/>
              <w:spacing w:after="0"/>
              <w:rPr>
                <w:sz w:val="20"/>
                <w:szCs w:val="20"/>
                <w:color w:val="auto"/>
              </w:rPr>
            </w:pPr>
            <w:r>
              <w:rPr>
                <w:rFonts w:ascii="Arial" w:cs="Arial" w:eastAsia="Arial" w:hAnsi="Arial"/>
                <w:sz w:val="21"/>
                <w:szCs w:val="21"/>
                <w:color w:val="auto"/>
                <w:w w:val="91"/>
              </w:rPr>
              <w:t>(Address of Principal Executive Offices)</w:t>
            </w:r>
          </w:p>
        </w:tc>
        <w:tc>
          <w:tcPr>
            <w:tcW w:w="3080" w:type="dxa"/>
            <w:vAlign w:val="bottom"/>
          </w:tcPr>
          <w:p>
            <w:pPr>
              <w:jc w:val="center"/>
              <w:ind w:right="1155"/>
              <w:spacing w:after="0"/>
              <w:rPr>
                <w:sz w:val="20"/>
                <w:szCs w:val="20"/>
                <w:color w:val="auto"/>
              </w:rPr>
            </w:pPr>
            <w:r>
              <w:rPr>
                <w:rFonts w:ascii="Arial" w:cs="Arial" w:eastAsia="Arial" w:hAnsi="Arial"/>
                <w:sz w:val="21"/>
                <w:szCs w:val="21"/>
                <w:color w:val="auto"/>
                <w:w w:val="90"/>
              </w:rPr>
              <w:t>(Zip Code)</w:t>
            </w:r>
          </w:p>
        </w:tc>
        <w:tc>
          <w:tcPr>
            <w:tcW w:w="0" w:type="dxa"/>
            <w:vAlign w:val="bottom"/>
          </w:tcPr>
          <w:p>
            <w:pPr>
              <w:spacing w:after="0"/>
              <w:rPr>
                <w:sz w:val="1"/>
                <w:szCs w:val="1"/>
                <w:color w:val="auto"/>
              </w:rPr>
            </w:pPr>
          </w:p>
        </w:tc>
      </w:tr>
    </w:tbl>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 xml:space="preserve">Registrant's telephone number, including area code: </w:t>
      </w:r>
      <w:r>
        <w:rPr>
          <w:rFonts w:ascii="Arial" w:cs="Arial" w:eastAsia="Arial" w:hAnsi="Arial"/>
          <w:sz w:val="21"/>
          <w:szCs w:val="21"/>
          <w:b w:val="1"/>
          <w:bCs w:val="1"/>
          <w:color w:val="auto"/>
        </w:rPr>
        <w:t>(616) 364-6161</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None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(Former name or former address, if changed since last report)</w:t>
      </w:r>
    </w:p>
    <w:p>
      <w:pPr>
        <w:spacing w:after="0" w:line="200" w:lineRule="exact"/>
        <w:rPr>
          <w:sz w:val="24"/>
          <w:szCs w:val="24"/>
          <w:color w:val="auto"/>
        </w:rPr>
      </w:pPr>
    </w:p>
    <w:p>
      <w:pPr>
        <w:spacing w:after="0" w:line="352" w:lineRule="exact"/>
        <w:rPr>
          <w:sz w:val="24"/>
          <w:szCs w:val="24"/>
          <w:color w:val="auto"/>
        </w:rPr>
      </w:pPr>
    </w:p>
    <w:p>
      <w:pPr>
        <w:spacing w:after="0" w:line="230" w:lineRule="auto"/>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180" w:hanging="175"/>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Written communications pursuant to Rule 425 under the Securities Act (17 CFR 230.425).</w:t>
      </w:r>
    </w:p>
    <w:p>
      <w:pPr>
        <w:spacing w:after="0" w:line="151" w:lineRule="exact"/>
        <w:rPr>
          <w:rFonts w:ascii="Arial" w:cs="Arial" w:eastAsia="Arial" w:hAnsi="Arial"/>
          <w:sz w:val="21"/>
          <w:szCs w:val="21"/>
          <w:color w:val="auto"/>
        </w:rPr>
      </w:pPr>
    </w:p>
    <w:p>
      <w:pPr>
        <w:ind w:left="180" w:hanging="175"/>
        <w:spacing w:after="0"/>
        <w:tabs>
          <w:tab w:leader="none" w:pos="180" w:val="left"/>
        </w:tabs>
        <w:numPr>
          <w:ilvl w:val="0"/>
          <w:numId w:val="1"/>
        </w:numPr>
        <w:rPr>
          <w:rFonts w:ascii="Arial" w:cs="Arial" w:eastAsia="Arial" w:hAnsi="Arial"/>
          <w:sz w:val="21"/>
          <w:szCs w:val="21"/>
          <w:color w:val="auto"/>
        </w:rPr>
      </w:pPr>
      <w:r>
        <w:rPr>
          <w:rFonts w:ascii="Arial" w:cs="Arial" w:eastAsia="Arial" w:hAnsi="Arial"/>
          <w:sz w:val="21"/>
          <w:szCs w:val="21"/>
          <w:color w:val="auto"/>
        </w:rPr>
        <w:t>] Soliciting material pursuant to Rule 14a-12 under the Exchange Act (17 CFR 240.14a-12).</w:t>
      </w:r>
    </w:p>
    <w:p>
      <w:pPr>
        <w:spacing w:after="0" w:line="151" w:lineRule="exact"/>
        <w:rPr>
          <w:sz w:val="24"/>
          <w:szCs w:val="24"/>
          <w:color w:val="auto"/>
        </w:rPr>
      </w:pPr>
    </w:p>
    <w:p>
      <w:pPr>
        <w:ind w:left="360" w:right="3480" w:hanging="355"/>
        <w:spacing w:after="0" w:line="230" w:lineRule="auto"/>
        <w:tabs>
          <w:tab w:leader="none" w:pos="175" w:val="left"/>
        </w:tabs>
        <w:numPr>
          <w:ilvl w:val="0"/>
          <w:numId w:val="2"/>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14d-2(b) under the Exchange Act (17 CFR 240.14d-2(b)).</w:t>
      </w:r>
    </w:p>
    <w:p>
      <w:pPr>
        <w:spacing w:after="0" w:line="126" w:lineRule="exact"/>
        <w:rPr>
          <w:sz w:val="24"/>
          <w:szCs w:val="24"/>
          <w:color w:val="auto"/>
        </w:rPr>
      </w:pPr>
    </w:p>
    <w:p>
      <w:pPr>
        <w:ind w:left="300" w:right="3560" w:hanging="295"/>
        <w:spacing w:after="0" w:line="230" w:lineRule="auto"/>
        <w:tabs>
          <w:tab w:leader="none" w:pos="165" w:val="left"/>
        </w:tabs>
        <w:numPr>
          <w:ilvl w:val="0"/>
          <w:numId w:val="3"/>
        </w:numPr>
        <w:rPr>
          <w:rFonts w:ascii="Arial" w:cs="Arial" w:eastAsia="Arial" w:hAnsi="Arial"/>
          <w:sz w:val="21"/>
          <w:szCs w:val="21"/>
          <w:color w:val="auto"/>
        </w:rPr>
      </w:pPr>
      <w:r>
        <w:rPr>
          <w:rFonts w:ascii="Arial" w:cs="Arial" w:eastAsia="Arial" w:hAnsi="Arial"/>
          <w:sz w:val="21"/>
          <w:szCs w:val="21"/>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316230</wp:posOffset>
            </wp:positionV>
            <wp:extent cx="72720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21"/>
          <w:szCs w:val="21"/>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210" w:lineRule="exact"/>
        <w:rPr>
          <w:sz w:val="20"/>
          <w:szCs w:val="20"/>
          <w:color w:val="auto"/>
        </w:rPr>
      </w:pPr>
    </w:p>
    <w:p>
      <w:pPr>
        <w:ind w:left="1260"/>
        <w:spacing w:after="0" w:line="236" w:lineRule="auto"/>
        <w:rPr>
          <w:sz w:val="20"/>
          <w:szCs w:val="20"/>
          <w:color w:val="auto"/>
        </w:rPr>
      </w:pPr>
      <w:r>
        <w:rPr>
          <w:rFonts w:ascii="Arial" w:cs="Arial" w:eastAsia="Arial" w:hAnsi="Arial"/>
          <w:sz w:val="21"/>
          <w:szCs w:val="21"/>
          <w:color w:val="auto"/>
        </w:rPr>
        <w:t>Changes to the Registrant’s customer market classifications have been made to improve our reporting by better aligning our customer market designations with available industry reporting and end market research.</w:t>
      </w:r>
    </w:p>
    <w:p>
      <w:pPr>
        <w:spacing w:after="0" w:line="193" w:lineRule="exact"/>
        <w:rPr>
          <w:sz w:val="20"/>
          <w:szCs w:val="20"/>
          <w:color w:val="auto"/>
        </w:rPr>
      </w:pPr>
    </w:p>
    <w:p>
      <w:pPr>
        <w:ind w:left="1260"/>
        <w:spacing w:after="0" w:line="284" w:lineRule="auto"/>
        <w:rPr>
          <w:sz w:val="20"/>
          <w:szCs w:val="20"/>
          <w:color w:val="auto"/>
        </w:rPr>
      </w:pPr>
      <w:r>
        <w:rPr>
          <w:rFonts w:ascii="Arial" w:cs="Arial" w:eastAsia="Arial" w:hAnsi="Arial"/>
          <w:sz w:val="20"/>
          <w:szCs w:val="20"/>
          <w:color w:val="auto"/>
        </w:rPr>
        <w:t xml:space="preserve">While we still work in the same industries and markets </w:t>
      </w:r>
      <w:r>
        <w:rPr>
          <w:rFonts w:ascii="Arial" w:cs="Arial" w:eastAsia="Arial" w:hAnsi="Arial"/>
          <w:sz w:val="20"/>
          <w:szCs w:val="20"/>
          <w:color w:val="1F497D"/>
        </w:rPr>
        <w:t>--</w:t>
      </w:r>
      <w:r>
        <w:rPr>
          <w:rFonts w:ascii="Arial" w:cs="Arial" w:eastAsia="Arial" w:hAnsi="Arial"/>
          <w:sz w:val="20"/>
          <w:szCs w:val="20"/>
          <w:color w:val="auto"/>
        </w:rPr>
        <w:t xml:space="preserve"> DIY/Retail, Industrial, Site-built and Manufactured Housing – we have further defined these markets and reclassified our customers into more specific categories.</w:t>
      </w:r>
    </w:p>
    <w:p>
      <w:pPr>
        <w:spacing w:after="0" w:line="161" w:lineRule="exact"/>
        <w:rPr>
          <w:sz w:val="20"/>
          <w:szCs w:val="20"/>
          <w:color w:val="auto"/>
        </w:rPr>
      </w:pPr>
    </w:p>
    <w:p>
      <w:pPr>
        <w:ind w:left="1900" w:hanging="324"/>
        <w:spacing w:after="0"/>
        <w:tabs>
          <w:tab w:leader="none" w:pos="1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Retail building materials. </w:t>
      </w:r>
      <w:r>
        <w:rPr>
          <w:rFonts w:ascii="Arial" w:cs="Arial" w:eastAsia="Arial" w:hAnsi="Arial"/>
          <w:sz w:val="18"/>
          <w:szCs w:val="18"/>
          <w:color w:val="auto"/>
        </w:rPr>
        <w:t>This includes Do-It-Yourself retailers, but also customers like distributors and pro dealers.</w:t>
      </w:r>
    </w:p>
    <w:p>
      <w:pPr>
        <w:spacing w:after="0" w:line="37" w:lineRule="exact"/>
        <w:rPr>
          <w:rFonts w:ascii="Arial" w:cs="Arial" w:eastAsia="Arial" w:hAnsi="Arial"/>
          <w:sz w:val="18"/>
          <w:szCs w:val="18"/>
          <w:color w:val="auto"/>
        </w:rPr>
      </w:pPr>
    </w:p>
    <w:p>
      <w:pPr>
        <w:ind w:left="1900" w:hanging="324"/>
        <w:spacing w:after="0" w:line="244" w:lineRule="auto"/>
        <w:tabs>
          <w:tab w:leader="none" w:pos="1921"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Industrial. </w:t>
      </w:r>
      <w:r>
        <w:rPr>
          <w:rFonts w:ascii="Arial" w:cs="Arial" w:eastAsia="Arial" w:hAnsi="Arial"/>
          <w:sz w:val="19"/>
          <w:szCs w:val="19"/>
          <w:color w:val="auto"/>
        </w:rPr>
        <w:t>While this still includes packaging, crating and other products for manufacturers, it no longer includes concrete</w:t>
      </w:r>
      <w:r>
        <w:rPr>
          <w:rFonts w:ascii="Arial" w:cs="Arial" w:eastAsia="Arial" w:hAnsi="Arial"/>
          <w:sz w:val="19"/>
          <w:szCs w:val="19"/>
          <w:b w:val="1"/>
          <w:bCs w:val="1"/>
          <w:color w:val="auto"/>
        </w:rPr>
        <w:t xml:space="preserve"> </w:t>
      </w:r>
      <w:r>
        <w:rPr>
          <w:rFonts w:ascii="Arial" w:cs="Arial" w:eastAsia="Arial" w:hAnsi="Arial"/>
          <w:sz w:val="19"/>
          <w:szCs w:val="19"/>
          <w:color w:val="auto"/>
        </w:rPr>
        <w:t>forming, which we’ve moved to our commercial construction category.</w:t>
      </w:r>
    </w:p>
    <w:p>
      <w:pPr>
        <w:ind w:left="1900" w:hanging="324"/>
        <w:spacing w:after="0" w:line="244" w:lineRule="auto"/>
        <w:tabs>
          <w:tab w:leader="none" w:pos="1948"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Commercial construction and concrete forming. </w:t>
      </w:r>
      <w:r>
        <w:rPr>
          <w:rFonts w:ascii="Arial" w:cs="Arial" w:eastAsia="Arial" w:hAnsi="Arial"/>
          <w:sz w:val="19"/>
          <w:szCs w:val="19"/>
          <w:color w:val="auto"/>
        </w:rPr>
        <w:t>This includes non-residential construction, as well as concrete forming</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materials.</w:t>
      </w:r>
    </w:p>
    <w:p>
      <w:pPr>
        <w:ind w:left="1900" w:hanging="324"/>
        <w:spacing w:after="0"/>
        <w:tabs>
          <w:tab w:leader="none" w:pos="19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Residential construction. </w:t>
      </w:r>
      <w:r>
        <w:rPr>
          <w:rFonts w:ascii="Arial" w:cs="Arial" w:eastAsia="Arial" w:hAnsi="Arial"/>
          <w:sz w:val="19"/>
          <w:szCs w:val="19"/>
          <w:color w:val="auto"/>
        </w:rPr>
        <w:t>This includes builders of single and multi-family homes.</w:t>
      </w:r>
    </w:p>
    <w:p>
      <w:pPr>
        <w:spacing w:after="0" w:line="4" w:lineRule="exact"/>
        <w:rPr>
          <w:rFonts w:ascii="Arial" w:cs="Arial" w:eastAsia="Arial" w:hAnsi="Arial"/>
          <w:sz w:val="19"/>
          <w:szCs w:val="19"/>
          <w:color w:val="auto"/>
        </w:rPr>
      </w:pPr>
    </w:p>
    <w:p>
      <w:pPr>
        <w:ind w:left="1900" w:hanging="324"/>
        <w:spacing w:after="0"/>
        <w:tabs>
          <w:tab w:leader="none" w:pos="190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Manufactured housing and recreational vehicles.</w:t>
      </w:r>
    </w:p>
    <w:p>
      <w:pPr>
        <w:spacing w:after="0" w:line="200" w:lineRule="exact"/>
        <w:rPr>
          <w:sz w:val="20"/>
          <w:szCs w:val="20"/>
          <w:color w:val="auto"/>
        </w:rPr>
      </w:pPr>
    </w:p>
    <w:p>
      <w:pPr>
        <w:spacing w:after="0" w:line="242" w:lineRule="exact"/>
        <w:rPr>
          <w:sz w:val="20"/>
          <w:szCs w:val="20"/>
          <w:color w:val="auto"/>
        </w:rPr>
      </w:pPr>
    </w:p>
    <w:p>
      <w:pPr>
        <w:jc w:val="both"/>
        <w:ind w:left="1260"/>
        <w:spacing w:after="0" w:line="238" w:lineRule="auto"/>
        <w:rPr>
          <w:sz w:val="20"/>
          <w:szCs w:val="20"/>
          <w:color w:val="auto"/>
        </w:rPr>
      </w:pPr>
      <w:r>
        <w:rPr>
          <w:rFonts w:ascii="Arial" w:cs="Arial" w:eastAsia="Arial" w:hAnsi="Arial"/>
          <w:sz w:val="20"/>
          <w:szCs w:val="20"/>
          <w:color w:val="auto"/>
        </w:rPr>
        <w:t>This change will be noted in press releases, SEC filings and other reporting beginning with the second quarter of 2011, and prior year sales will be reclassified into the new market designations. A summary of historical quarterly sales in 2010 and the first quarter of 2011 based on our new market classifications are as follows:</w:t>
      </w:r>
    </w:p>
    <w:p>
      <w:pPr>
        <w:spacing w:after="0" w:line="195" w:lineRule="exact"/>
        <w:rPr>
          <w:sz w:val="20"/>
          <w:szCs w:val="20"/>
          <w:color w:val="auto"/>
        </w:rPr>
      </w:pPr>
    </w:p>
    <w:tbl>
      <w:tblPr>
        <w:tblLayout w:type="fixed"/>
        <w:tblInd w:w="940" w:type="dxa"/>
        <w:tblCellMar>
          <w:top w:w="0" w:type="dxa"/>
          <w:left w:w="0" w:type="dxa"/>
          <w:bottom w:w="0" w:type="dxa"/>
          <w:right w:w="0" w:type="dxa"/>
        </w:tblCellMar>
      </w:tblPr>
      <w:tr>
        <w:trPr>
          <w:trHeight w:val="236"/>
        </w:trPr>
        <w:tc>
          <w:tcPr>
            <w:tcW w:w="2800" w:type="dxa"/>
            <w:vAlign w:val="bottom"/>
            <w:tcBorders>
              <w:top w:val="single" w:sz="8" w:color="auto"/>
              <w:bottom w:val="single" w:sz="8" w:color="auto"/>
              <w:right w:val="single" w:sz="8" w:color="auto"/>
            </w:tcBorders>
          </w:tcPr>
          <w:p>
            <w:pPr>
              <w:ind w:left="1120"/>
              <w:spacing w:after="0"/>
              <w:rPr>
                <w:sz w:val="20"/>
                <w:szCs w:val="20"/>
                <w:color w:val="auto"/>
              </w:rPr>
            </w:pPr>
            <w:r>
              <w:rPr>
                <w:rFonts w:ascii="Arial" w:cs="Arial" w:eastAsia="Arial" w:hAnsi="Arial"/>
                <w:sz w:val="17"/>
                <w:szCs w:val="17"/>
                <w:color w:val="auto"/>
              </w:rPr>
              <w:t>Market</w:t>
            </w:r>
          </w:p>
        </w:tc>
        <w:tc>
          <w:tcPr>
            <w:tcW w:w="12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Q1 2010</w:t>
            </w: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7"/>
                <w:szCs w:val="17"/>
                <w:color w:val="auto"/>
              </w:rPr>
              <w:t>Q2 2010</w:t>
            </w:r>
          </w:p>
        </w:tc>
        <w:tc>
          <w:tcPr>
            <w:tcW w:w="11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7"/>
                <w:szCs w:val="17"/>
                <w:color w:val="auto"/>
              </w:rPr>
              <w:t>Q3 2010</w:t>
            </w:r>
          </w:p>
        </w:tc>
        <w:tc>
          <w:tcPr>
            <w:tcW w:w="11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7"/>
                <w:szCs w:val="17"/>
                <w:color w:val="auto"/>
              </w:rPr>
              <w:t>Q4 2010</w:t>
            </w:r>
          </w:p>
        </w:tc>
        <w:tc>
          <w:tcPr>
            <w:tcW w:w="11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Total 2010</w:t>
            </w:r>
          </w:p>
        </w:tc>
        <w:tc>
          <w:tcPr>
            <w:tcW w:w="9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Q1 2011</w:t>
            </w:r>
          </w:p>
        </w:tc>
      </w:tr>
      <w:tr>
        <w:trPr>
          <w:trHeight w:val="333"/>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Retail Building Materials</w:t>
            </w:r>
          </w:p>
        </w:tc>
        <w:tc>
          <w:tcPr>
            <w:tcW w:w="1200" w:type="dxa"/>
            <w:vAlign w:val="bottom"/>
          </w:tcPr>
          <w:p>
            <w:pPr>
              <w:jc w:val="right"/>
              <w:ind w:right="93"/>
              <w:spacing w:after="0"/>
              <w:rPr>
                <w:sz w:val="20"/>
                <w:szCs w:val="20"/>
                <w:color w:val="auto"/>
              </w:rPr>
            </w:pPr>
            <w:r>
              <w:rPr>
                <w:rFonts w:ascii="Arial" w:cs="Arial" w:eastAsia="Arial" w:hAnsi="Arial"/>
                <w:sz w:val="17"/>
                <w:szCs w:val="17"/>
                <w:color w:val="auto"/>
              </w:rPr>
              <w:t>$187,026</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$353,059</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$222,842</w:t>
            </w:r>
          </w:p>
        </w:tc>
        <w:tc>
          <w:tcPr>
            <w:tcW w:w="1100" w:type="dxa"/>
            <w:vAlign w:val="bottom"/>
          </w:tcPr>
          <w:p>
            <w:pPr>
              <w:jc w:val="right"/>
              <w:ind w:right="53"/>
              <w:spacing w:after="0"/>
              <w:rPr>
                <w:sz w:val="20"/>
                <w:szCs w:val="20"/>
                <w:color w:val="auto"/>
              </w:rPr>
            </w:pPr>
            <w:r>
              <w:rPr>
                <w:rFonts w:ascii="Arial" w:cs="Arial" w:eastAsia="Arial" w:hAnsi="Arial"/>
                <w:sz w:val="17"/>
                <w:szCs w:val="17"/>
                <w:color w:val="auto"/>
              </w:rPr>
              <w:t>$153,540</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$916,467</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$175,281</w:t>
            </w:r>
          </w:p>
        </w:tc>
      </w:tr>
      <w:tr>
        <w:trPr>
          <w:trHeight w:val="432"/>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Industrial</w:t>
            </w:r>
          </w:p>
        </w:tc>
        <w:tc>
          <w:tcPr>
            <w:tcW w:w="1200" w:type="dxa"/>
            <w:vAlign w:val="bottom"/>
          </w:tcPr>
          <w:p>
            <w:pPr>
              <w:jc w:val="right"/>
              <w:ind w:right="93"/>
              <w:spacing w:after="0"/>
              <w:rPr>
                <w:sz w:val="20"/>
                <w:szCs w:val="20"/>
                <w:color w:val="auto"/>
              </w:rPr>
            </w:pPr>
            <w:r>
              <w:rPr>
                <w:rFonts w:ascii="Arial" w:cs="Arial" w:eastAsia="Arial" w:hAnsi="Arial"/>
                <w:sz w:val="17"/>
                <w:szCs w:val="17"/>
                <w:color w:val="auto"/>
              </w:rPr>
              <w:t>95,591</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129,073</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120,613</w:t>
            </w:r>
          </w:p>
        </w:tc>
        <w:tc>
          <w:tcPr>
            <w:tcW w:w="1100" w:type="dxa"/>
            <w:vAlign w:val="bottom"/>
          </w:tcPr>
          <w:p>
            <w:pPr>
              <w:jc w:val="right"/>
              <w:ind w:right="53"/>
              <w:spacing w:after="0"/>
              <w:rPr>
                <w:sz w:val="20"/>
                <w:szCs w:val="20"/>
                <w:color w:val="auto"/>
              </w:rPr>
            </w:pPr>
            <w:r>
              <w:rPr>
                <w:rFonts w:ascii="Arial" w:cs="Arial" w:eastAsia="Arial" w:hAnsi="Arial"/>
                <w:sz w:val="17"/>
                <w:szCs w:val="17"/>
                <w:color w:val="auto"/>
              </w:rPr>
              <w:t>105,130</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450,407</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109,645</w:t>
            </w:r>
          </w:p>
        </w:tc>
      </w:tr>
      <w:tr>
        <w:trPr>
          <w:trHeight w:val="368"/>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Commercial Construction and</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Concrete Forming</w:t>
            </w:r>
          </w:p>
        </w:tc>
        <w:tc>
          <w:tcPr>
            <w:tcW w:w="1200" w:type="dxa"/>
            <w:vAlign w:val="bottom"/>
          </w:tcPr>
          <w:p>
            <w:pPr>
              <w:jc w:val="right"/>
              <w:ind w:right="93"/>
              <w:spacing w:after="0"/>
              <w:rPr>
                <w:sz w:val="20"/>
                <w:szCs w:val="20"/>
                <w:color w:val="auto"/>
              </w:rPr>
            </w:pPr>
            <w:r>
              <w:rPr>
                <w:rFonts w:ascii="Arial" w:cs="Arial" w:eastAsia="Arial" w:hAnsi="Arial"/>
                <w:sz w:val="17"/>
                <w:szCs w:val="17"/>
                <w:color w:val="auto"/>
              </w:rPr>
              <w:t>14,389</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16,914</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19,003</w:t>
            </w:r>
          </w:p>
        </w:tc>
        <w:tc>
          <w:tcPr>
            <w:tcW w:w="1100" w:type="dxa"/>
            <w:vAlign w:val="bottom"/>
          </w:tcPr>
          <w:p>
            <w:pPr>
              <w:jc w:val="right"/>
              <w:ind w:right="53"/>
              <w:spacing w:after="0"/>
              <w:rPr>
                <w:sz w:val="20"/>
                <w:szCs w:val="20"/>
                <w:color w:val="auto"/>
              </w:rPr>
            </w:pPr>
            <w:r>
              <w:rPr>
                <w:rFonts w:ascii="Arial" w:cs="Arial" w:eastAsia="Arial" w:hAnsi="Arial"/>
                <w:sz w:val="17"/>
                <w:szCs w:val="17"/>
                <w:color w:val="auto"/>
              </w:rPr>
              <w:t>17,878</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68,184</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14,429</w:t>
            </w:r>
          </w:p>
        </w:tc>
      </w:tr>
      <w:tr>
        <w:trPr>
          <w:trHeight w:val="432"/>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Residential Construction</w:t>
            </w:r>
          </w:p>
        </w:tc>
        <w:tc>
          <w:tcPr>
            <w:tcW w:w="1200" w:type="dxa"/>
            <w:vAlign w:val="bottom"/>
          </w:tcPr>
          <w:p>
            <w:pPr>
              <w:jc w:val="right"/>
              <w:ind w:right="93"/>
              <w:spacing w:after="0"/>
              <w:rPr>
                <w:sz w:val="20"/>
                <w:szCs w:val="20"/>
                <w:color w:val="auto"/>
              </w:rPr>
            </w:pPr>
            <w:r>
              <w:rPr>
                <w:rFonts w:ascii="Arial" w:cs="Arial" w:eastAsia="Arial" w:hAnsi="Arial"/>
                <w:sz w:val="17"/>
                <w:szCs w:val="17"/>
                <w:color w:val="auto"/>
              </w:rPr>
              <w:t>53,704</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67,035</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62,857</w:t>
            </w:r>
          </w:p>
        </w:tc>
        <w:tc>
          <w:tcPr>
            <w:tcW w:w="1100" w:type="dxa"/>
            <w:vAlign w:val="bottom"/>
          </w:tcPr>
          <w:p>
            <w:pPr>
              <w:jc w:val="right"/>
              <w:ind w:right="53"/>
              <w:spacing w:after="0"/>
              <w:rPr>
                <w:sz w:val="20"/>
                <w:szCs w:val="20"/>
                <w:color w:val="auto"/>
              </w:rPr>
            </w:pPr>
            <w:r>
              <w:rPr>
                <w:rFonts w:ascii="Arial" w:cs="Arial" w:eastAsia="Arial" w:hAnsi="Arial"/>
                <w:sz w:val="17"/>
                <w:szCs w:val="17"/>
                <w:color w:val="auto"/>
              </w:rPr>
              <w:t>57,718</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241,314</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47,831</w:t>
            </w:r>
          </w:p>
        </w:tc>
      </w:tr>
      <w:tr>
        <w:trPr>
          <w:trHeight w:val="368"/>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Manufactured Housing and</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Recreational Vehicles</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48,936</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82,831</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64,175</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49,828</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245,770</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47,035</w:t>
            </w:r>
          </w:p>
        </w:tc>
      </w:tr>
      <w:tr>
        <w:trPr>
          <w:trHeight w:val="412"/>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Total Gross Sales</w:t>
            </w:r>
          </w:p>
        </w:tc>
        <w:tc>
          <w:tcPr>
            <w:tcW w:w="1200" w:type="dxa"/>
            <w:vAlign w:val="bottom"/>
          </w:tcPr>
          <w:p>
            <w:pPr>
              <w:jc w:val="right"/>
              <w:ind w:right="93"/>
              <w:spacing w:after="0"/>
              <w:rPr>
                <w:sz w:val="20"/>
                <w:szCs w:val="20"/>
                <w:color w:val="auto"/>
              </w:rPr>
            </w:pPr>
            <w:r>
              <w:rPr>
                <w:rFonts w:ascii="Arial" w:cs="Arial" w:eastAsia="Arial" w:hAnsi="Arial"/>
                <w:sz w:val="17"/>
                <w:szCs w:val="17"/>
                <w:color w:val="auto"/>
              </w:rPr>
              <w:t>399,646</w:t>
            </w:r>
          </w:p>
        </w:tc>
        <w:tc>
          <w:tcPr>
            <w:tcW w:w="1160" w:type="dxa"/>
            <w:vAlign w:val="bottom"/>
          </w:tcPr>
          <w:p>
            <w:pPr>
              <w:jc w:val="right"/>
              <w:ind w:right="93"/>
              <w:spacing w:after="0"/>
              <w:rPr>
                <w:sz w:val="20"/>
                <w:szCs w:val="20"/>
                <w:color w:val="auto"/>
              </w:rPr>
            </w:pPr>
            <w:r>
              <w:rPr>
                <w:rFonts w:ascii="Arial" w:cs="Arial" w:eastAsia="Arial" w:hAnsi="Arial"/>
                <w:sz w:val="17"/>
                <w:szCs w:val="17"/>
                <w:color w:val="auto"/>
              </w:rPr>
              <w:t>648,912</w:t>
            </w: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489,490</w:t>
            </w:r>
          </w:p>
        </w:tc>
        <w:tc>
          <w:tcPr>
            <w:tcW w:w="1100" w:type="dxa"/>
            <w:vAlign w:val="bottom"/>
          </w:tcPr>
          <w:p>
            <w:pPr>
              <w:jc w:val="right"/>
              <w:ind w:right="53"/>
              <w:spacing w:after="0"/>
              <w:rPr>
                <w:sz w:val="20"/>
                <w:szCs w:val="20"/>
                <w:color w:val="auto"/>
              </w:rPr>
            </w:pPr>
            <w:r>
              <w:rPr>
                <w:rFonts w:ascii="Arial" w:cs="Arial" w:eastAsia="Arial" w:hAnsi="Arial"/>
                <w:sz w:val="17"/>
                <w:szCs w:val="17"/>
                <w:color w:val="auto"/>
              </w:rPr>
              <w:t>384,094</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1,922,142</w:t>
            </w: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394,221</w:t>
            </w:r>
          </w:p>
        </w:tc>
      </w:tr>
      <w:tr>
        <w:trPr>
          <w:trHeight w:val="432"/>
        </w:trPr>
        <w:tc>
          <w:tcPr>
            <w:tcW w:w="280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Sales Allowances</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(6,688)</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(10,277)</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(8,916)</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(5,409)</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(31,291)</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(6,988)</w:t>
            </w:r>
          </w:p>
        </w:tc>
      </w:tr>
      <w:tr>
        <w:trPr>
          <w:trHeight w:val="405"/>
        </w:trPr>
        <w:tc>
          <w:tcPr>
            <w:tcW w:w="28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Total Net Sales</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$392,958</w:t>
            </w:r>
          </w:p>
        </w:tc>
        <w:tc>
          <w:tcPr>
            <w:tcW w:w="11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$638,635</w:t>
            </w: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$480,574</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$378,685</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$1,890,851</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$387,233</w:t>
            </w: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7202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SIGNATURE</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780"/>
        <w:spacing w:after="0"/>
        <w:rPr>
          <w:sz w:val="20"/>
          <w:szCs w:val="20"/>
          <w:color w:val="auto"/>
        </w:rPr>
      </w:pPr>
      <w:r>
        <w:rPr>
          <w:rFonts w:ascii="Arial" w:cs="Arial" w:eastAsia="Arial" w:hAnsi="Arial"/>
          <w:sz w:val="21"/>
          <w:szCs w:val="21"/>
          <w:color w:val="auto"/>
        </w:rPr>
        <w:t>UNIVERSAL FOREST PRODUCTS, INC.</w:t>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21"/>
          <w:szCs w:val="21"/>
          <w:color w:val="auto"/>
        </w:rPr>
        <w:t>(Registrant)</w:t>
      </w:r>
    </w:p>
    <w:p>
      <w:pPr>
        <w:spacing w:after="0" w:line="200" w:lineRule="exact"/>
        <w:rPr>
          <w:sz w:val="20"/>
          <w:szCs w:val="20"/>
          <w:color w:val="auto"/>
        </w:rPr>
      </w:pPr>
    </w:p>
    <w:p>
      <w:pPr>
        <w:spacing w:after="0" w:line="247" w:lineRule="exact"/>
        <w:rPr>
          <w:sz w:val="20"/>
          <w:szCs w:val="20"/>
          <w:color w:val="auto"/>
        </w:rPr>
      </w:pPr>
    </w:p>
    <w:p>
      <w:pPr>
        <w:spacing w:after="0"/>
        <w:tabs>
          <w:tab w:leader="none" w:pos="5760" w:val="left"/>
          <w:tab w:leader="none" w:pos="6220" w:val="left"/>
        </w:tabs>
        <w:rPr>
          <w:sz w:val="20"/>
          <w:szCs w:val="20"/>
          <w:color w:val="auto"/>
        </w:rPr>
      </w:pPr>
      <w:r>
        <w:rPr>
          <w:rFonts w:ascii="Arial" w:cs="Arial" w:eastAsia="Arial" w:hAnsi="Arial"/>
          <w:sz w:val="21"/>
          <w:szCs w:val="21"/>
          <w:color w:val="auto"/>
        </w:rPr>
        <w:t>Dated:  June 8, 2011</w:t>
      </w:r>
      <w:r>
        <w:rPr>
          <w:sz w:val="20"/>
          <w:szCs w:val="20"/>
          <w:color w:val="auto"/>
        </w:rPr>
        <w:tab/>
      </w: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Michael R. Cole</w:t>
      </w:r>
    </w:p>
    <w:p>
      <w:pPr>
        <w:ind w:left="6240"/>
        <w:spacing w:after="0" w:line="234" w:lineRule="auto"/>
        <w:rPr>
          <w:sz w:val="20"/>
          <w:szCs w:val="20"/>
          <w:color w:val="auto"/>
        </w:rPr>
      </w:pPr>
      <w:r>
        <w:rPr>
          <w:rFonts w:ascii="Arial" w:cs="Arial" w:eastAsia="Arial" w:hAnsi="Arial"/>
          <w:sz w:val="21"/>
          <w:szCs w:val="21"/>
          <w:color w:val="auto"/>
        </w:rPr>
        <w:t>Michael R. Cole,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-146685</wp:posOffset>
            </wp:positionV>
            <wp:extent cx="3354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4070" cy="8255"/>
                    </a:xfrm>
                    <a:prstGeom prst="rect">
                      <a:avLst/>
                    </a:prstGeom>
                    <a:noFill/>
                  </pic:spPr>
                </pic:pic>
              </a:graphicData>
            </a:graphic>
          </wp:anchor>
        </w:drawing>
      </w:r>
    </w:p>
    <w:p>
      <w:pPr>
        <w:ind w:left="6240"/>
        <w:spacing w:after="0"/>
        <w:rPr>
          <w:sz w:val="20"/>
          <w:szCs w:val="20"/>
          <w:color w:val="auto"/>
        </w:rPr>
      </w:pPr>
      <w:r>
        <w:rPr>
          <w:rFonts w:ascii="Arial" w:cs="Arial" w:eastAsia="Arial" w:hAnsi="Arial"/>
          <w:sz w:val="21"/>
          <w:szCs w:val="21"/>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27202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20955"/>
                    </a:xfrm>
                    <a:prstGeom prst="rect">
                      <a:avLst/>
                    </a:prstGeom>
                    <a:noFill/>
                  </pic:spPr>
                </pic:pic>
              </a:graphicData>
            </a:graphic>
          </wp:anchor>
        </w:drawing>
      </w:r>
    </w:p>
    <w:sectPr>
      <w:pgSz w:w="11900" w:h="16838" w:orient="portrait"/>
      <w:cols w:equalWidth="0" w:num="1">
        <w:col w:w="11420"/>
      </w:cols>
      <w:pgMar w:left="240" w:top="5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2019-12-10T12:46:37Z</dcterms:created>
  <dcterms:modified xsi:type="dcterms:W3CDTF">2019-12-10T12:46:37Z</dcterms:modified>
</cp:coreProperties>
</file>