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11,018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February 18, 2030, subject to earlier vesting upon death, disability,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  <w:tab/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3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2022-05-03T08:02:24Z</dcterms:created>
  <dcterms:modified xsi:type="dcterms:W3CDTF">2022-05-03T08:02:24Z</dcterms:modified>
</cp:coreProperties>
</file>