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8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3" w:lineRule="exact"/>
        <w:rPr>
          <w:sz w:val="24"/>
          <w:szCs w:val="24"/>
          <w:color w:val="auto"/>
        </w:rPr>
      </w:pPr>
    </w:p>
    <w:p>
      <w:pPr>
        <w:ind w:left="650" w:right="360" w:hanging="650"/>
        <w:spacing w:after="0" w:line="269" w:lineRule="auto"/>
        <w:tabs>
          <w:tab w:leader="none" w:pos="65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ANNUAL REPORT PURSUANT TO SECTION 13 OR 15(d) OF THE SECURITIES EXCHANGE ACT OF 1934. For the fiscal year ended </w:t>
      </w:r>
      <w:r>
        <w:rPr>
          <w:rFonts w:ascii="Times New Roman" w:cs="Times New Roman" w:eastAsia="Times New Roman" w:hAnsi="Times New Roman"/>
          <w:sz w:val="16"/>
          <w:szCs w:val="16"/>
          <w:u w:val="single" w:color="auto"/>
          <w:color w:val="auto"/>
        </w:rPr>
        <w:t>December 27, 2025</w:t>
      </w:r>
      <w:r>
        <w:rPr>
          <w:rFonts w:ascii="Times New Roman" w:cs="Times New Roman" w:eastAsia="Times New Roman" w:hAnsi="Times New Roman"/>
          <w:sz w:val="16"/>
          <w:szCs w:val="16"/>
          <w:color w:val="auto"/>
        </w:rPr>
        <w:t>.</w:t>
      </w:r>
    </w:p>
    <w:p>
      <w:pPr>
        <w:jc w:val="center"/>
        <w:ind w:right="-9"/>
        <w:spacing w:after="0"/>
        <w:rPr>
          <w:sz w:val="20"/>
          <w:szCs w:val="20"/>
          <w:color w:val="auto"/>
        </w:rPr>
      </w:pPr>
      <w:r>
        <w:rPr>
          <w:rFonts w:ascii="Times New Roman" w:cs="Times New Roman" w:eastAsia="Times New Roman" w:hAnsi="Times New Roman"/>
          <w:sz w:val="16"/>
          <w:szCs w:val="16"/>
          <w:color w:val="auto"/>
        </w:rPr>
        <w:t>OR</w:t>
      </w:r>
    </w:p>
    <w:p>
      <w:pPr>
        <w:spacing w:after="0" w:line="19" w:lineRule="exact"/>
        <w:rPr>
          <w:sz w:val="24"/>
          <w:szCs w:val="24"/>
          <w:color w:val="auto"/>
        </w:rPr>
      </w:pPr>
    </w:p>
    <w:p>
      <w:pPr>
        <w:ind w:left="650" w:right="100" w:hanging="650"/>
        <w:spacing w:after="0" w:line="288" w:lineRule="auto"/>
        <w:tabs>
          <w:tab w:leader="none" w:pos="65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of ____ to _____.</w:t>
      </w:r>
    </w:p>
    <w:p>
      <w:pPr>
        <w:spacing w:after="0" w:line="6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Commission File No.: 0-22684</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UFP INDUSTRIES, INC.</w:t>
      </w:r>
    </w:p>
    <w:p>
      <w:pPr>
        <w:spacing w:after="0" w:line="2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230"/>
          </w:cols>
          <w:pgMar w:left="830" w:top="661" w:right="839" w:bottom="1440" w:gutter="0" w:footer="0" w:header="0"/>
        </w:sectPr>
      </w:pPr>
    </w:p>
    <w:p>
      <w:pPr>
        <w:spacing w:after="0" w:line="120" w:lineRule="exact"/>
        <w:rPr>
          <w:sz w:val="24"/>
          <w:szCs w:val="24"/>
          <w:color w:val="auto"/>
        </w:rPr>
      </w:pPr>
    </w:p>
    <w:p>
      <w:pPr>
        <w:jc w:val="center"/>
        <w:ind w:right="730"/>
        <w:spacing w:after="0"/>
        <w:rPr>
          <w:sz w:val="20"/>
          <w:szCs w:val="20"/>
          <w:color w:val="auto"/>
        </w:rPr>
      </w:pPr>
      <w:r>
        <w:rPr>
          <w:rFonts w:ascii="Times New Roman" w:cs="Times New Roman" w:eastAsia="Times New Roman" w:hAnsi="Times New Roman"/>
          <w:sz w:val="16"/>
          <w:szCs w:val="16"/>
          <w:b w:val="1"/>
          <w:bCs w:val="1"/>
          <w:color w:val="auto"/>
        </w:rPr>
        <w:t>Michigan</w:t>
      </w:r>
    </w:p>
    <w:p>
      <w:pPr>
        <w:spacing w:after="0" w:line="28" w:lineRule="exact"/>
        <w:rPr>
          <w:sz w:val="24"/>
          <w:szCs w:val="24"/>
          <w:color w:val="auto"/>
        </w:rPr>
      </w:pPr>
    </w:p>
    <w:p>
      <w:pPr>
        <w:jc w:val="center"/>
        <w:ind w:right="73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b w:val="1"/>
          <w:bCs w:val="1"/>
          <w:color w:val="auto"/>
        </w:rPr>
        <w:t>38-1465835</w:t>
      </w:r>
    </w:p>
    <w:p>
      <w:pPr>
        <w:spacing w:after="0" w:line="2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03" w:lineRule="exact"/>
        <w:rPr>
          <w:sz w:val="24"/>
          <w:szCs w:val="24"/>
          <w:color w:val="auto"/>
        </w:rPr>
      </w:pPr>
    </w:p>
    <w:p>
      <w:pPr>
        <w:sectPr>
          <w:pgSz w:w="11900" w:h="16838" w:orient="portrait"/>
          <w:cols w:equalWidth="0" w:num="2">
            <w:col w:w="5870" w:space="720"/>
            <w:col w:w="3640"/>
          </w:cols>
          <w:pgMar w:left="830" w:top="661" w:right="839" w:bottom="1440" w:gutter="0" w:footer="0" w:header="0"/>
          <w:type w:val="continuous"/>
        </w:sectPr>
      </w:pPr>
    </w:p>
    <w:p>
      <w:pPr>
        <w:jc w:val="center"/>
        <w:ind w:right="1550"/>
        <w:spacing w:after="0"/>
        <w:rPr>
          <w:sz w:val="20"/>
          <w:szCs w:val="20"/>
          <w:color w:val="auto"/>
        </w:rPr>
      </w:pPr>
      <w:r>
        <w:rPr>
          <w:rFonts w:ascii="Times New Roman" w:cs="Times New Roman" w:eastAsia="Times New Roman" w:hAnsi="Times New Roman"/>
          <w:sz w:val="16"/>
          <w:szCs w:val="16"/>
          <w:b w:val="1"/>
          <w:bCs w:val="1"/>
          <w:color w:val="auto"/>
        </w:rPr>
        <w:t>2801 East Beltline, N.E., Grand Rapids, Michigan</w:t>
      </w:r>
    </w:p>
    <w:p>
      <w:pPr>
        <w:spacing w:after="0" w:line="28" w:lineRule="exact"/>
        <w:rPr>
          <w:sz w:val="24"/>
          <w:szCs w:val="24"/>
          <w:color w:val="auto"/>
        </w:rPr>
      </w:pPr>
    </w:p>
    <w:p>
      <w:pPr>
        <w:jc w:val="center"/>
        <w:ind w:right="155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49525</w:t>
      </w:r>
    </w:p>
    <w:p>
      <w:pPr>
        <w:spacing w:after="0" w:line="28"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5"/>
          <w:szCs w:val="15"/>
          <w:color w:val="auto"/>
        </w:rPr>
        <w:t>(Zip Code)</w:t>
      </w:r>
    </w:p>
    <w:p>
      <w:pPr>
        <w:spacing w:after="0" w:line="74" w:lineRule="exact"/>
        <w:rPr>
          <w:sz w:val="24"/>
          <w:szCs w:val="24"/>
          <w:color w:val="auto"/>
        </w:rPr>
      </w:pPr>
    </w:p>
    <w:p>
      <w:pPr>
        <w:sectPr>
          <w:pgSz w:w="11900" w:h="16838" w:orient="portrait"/>
          <w:cols w:equalWidth="0" w:num="2">
            <w:col w:w="6690" w:space="720"/>
            <w:col w:w="2820"/>
          </w:cols>
          <w:pgMar w:left="830" w:top="661" w:right="839" w:bottom="1440" w:gutter="0" w:footer="0" w:header="0"/>
          <w:type w:val="continuous"/>
        </w:sectPr>
      </w:pPr>
    </w:p>
    <w:p>
      <w:pPr>
        <w:ind w:left="1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(616) 364-6161</w:t>
      </w:r>
    </w:p>
    <w:p>
      <w:pPr>
        <w:spacing w:after="0" w:line="8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0230"/>
          </w:cols>
          <w:pgMar w:left="830" w:top="661" w:right="839" w:bottom="1440" w:gutter="0" w:footer="0" w:header="0"/>
          <w:type w:val="continuous"/>
        </w:sectPr>
      </w:pPr>
    </w:p>
    <w:p>
      <w:pPr>
        <w:spacing w:after="0" w:line="100" w:lineRule="exact"/>
        <w:rPr>
          <w:sz w:val="24"/>
          <w:szCs w:val="24"/>
          <w:color w:val="auto"/>
        </w:rPr>
      </w:pPr>
    </w:p>
    <w:p>
      <w:pPr>
        <w:jc w:val="center"/>
        <w:ind w:right="29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6" w:lineRule="exact"/>
        <w:rPr>
          <w:sz w:val="24"/>
          <w:szCs w:val="24"/>
          <w:color w:val="auto"/>
        </w:rPr>
      </w:pPr>
    </w:p>
    <w:p>
      <w:pPr>
        <w:jc w:val="center"/>
        <w:ind w:right="290"/>
        <w:spacing w:after="0"/>
        <w:rPr>
          <w:sz w:val="20"/>
          <w:szCs w:val="20"/>
          <w:color w:val="auto"/>
        </w:rPr>
      </w:pPr>
      <w:r>
        <w:rPr>
          <w:rFonts w:ascii="Times New Roman" w:cs="Times New Roman" w:eastAsia="Times New Roman" w:hAnsi="Times New Roman"/>
          <w:sz w:val="16"/>
          <w:szCs w:val="16"/>
          <w:b w:val="1"/>
          <w:bCs w:val="1"/>
          <w:color w:val="auto"/>
        </w:rPr>
        <w:t>Common Stock, $1 par value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Trading Symbol</w:t>
      </w:r>
    </w:p>
    <w:p>
      <w:pPr>
        <w:spacing w:after="0" w:line="2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UFPI</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p>
      <w:pPr>
        <w:spacing w:after="0" w:line="29" w:lineRule="exact"/>
        <w:rPr>
          <w:sz w:val="24"/>
          <w:szCs w:val="24"/>
          <w:color w:val="auto"/>
        </w:rPr>
      </w:pPr>
    </w:p>
    <w:p>
      <w:pPr>
        <w:sectPr>
          <w:pgSz w:w="11900" w:h="16838" w:orient="portrait"/>
          <w:cols w:equalWidth="0" w:num="3">
            <w:col w:w="3710" w:space="720"/>
            <w:col w:w="1720" w:space="720"/>
            <w:col w:w="3360"/>
          </w:cols>
          <w:pgMar w:left="830" w:top="661" w:right="839" w:bottom="1440" w:gutter="0" w:footer="0" w:header="0"/>
          <w:type w:val="continuous"/>
        </w:sectPr>
      </w:pPr>
    </w:p>
    <w:p>
      <w:pPr>
        <w:spacing w:after="0" w:line="3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7610" w:space="120"/>
            <w:col w:w="420" w:space="480"/>
            <w:col w:w="1600"/>
          </w:cols>
          <w:pgMar w:left="830" w:top="661" w:right="839" w:bottom="1440" w:gutter="0" w:footer="0" w:header="0"/>
          <w:type w:val="continuous"/>
        </w:sectPr>
      </w:pPr>
    </w:p>
    <w:p>
      <w:pPr>
        <w:spacing w:after="0" w:line="3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3" w:lineRule="exact"/>
        <w:rPr>
          <w:sz w:val="24"/>
          <w:szCs w:val="24"/>
          <w:color w:val="auto"/>
        </w:rPr>
      </w:pPr>
    </w:p>
    <w:p>
      <w:pPr>
        <w:sectPr>
          <w:pgSz w:w="11900" w:h="16838" w:orient="portrait"/>
          <w:cols w:equalWidth="0" w:num="3">
            <w:col w:w="7750" w:space="120"/>
            <w:col w:w="420" w:space="500"/>
            <w:col w:w="1440"/>
          </w:cols>
          <w:pgMar w:left="830" w:top="661" w:right="839" w:bottom="1440" w:gutter="0" w:footer="0" w:header="0"/>
          <w:type w:val="continuous"/>
        </w:sect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p>
      <w:pPr>
        <w:ind w:left="410"/>
        <w:spacing w:after="0" w:line="184" w:lineRule="exact"/>
        <w:tabs>
          <w:tab w:leader="none" w:pos="2310" w:val="left"/>
          <w:tab w:leader="none" w:pos="3830" w:val="left"/>
          <w:tab w:leader="none" w:pos="5510" w:val="left"/>
          <w:tab w:leader="none" w:pos="777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left="10" w:right="2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10"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10"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left="1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10"/>
        <w:spacing w:after="0" w:line="184" w:lineRule="exact"/>
        <w:tabs>
          <w:tab w:leader="none" w:pos="769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20"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(i.e. excluding shares held by executive officers, directors, and control persons as defined in Rule 405, 17 CFR 230.405) on June 27, 2025 (which was the last trading day of the registrant’s second quarter in the fiscal year ended December 27, 2025) was $5,506,165,241 computed at the closing price of $99.78 on that date.</w:t>
      </w:r>
    </w:p>
    <w:p>
      <w:pPr>
        <w:spacing w:after="0" w:line="4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As of January 31, 2026, 56,594,928 shares of the registrant’s common stock, $1 par value, were outstanding.</w:t>
      </w:r>
    </w:p>
    <w:p>
      <w:pPr>
        <w:spacing w:after="0" w:line="86" w:lineRule="exact"/>
        <w:rPr>
          <w:sz w:val="24"/>
          <w:szCs w:val="24"/>
          <w:color w:val="auto"/>
        </w:rPr>
      </w:pPr>
    </w:p>
    <w:p>
      <w:pPr>
        <w:jc w:val="center"/>
        <w:ind w:right="230"/>
        <w:spacing w:after="0"/>
        <w:rPr>
          <w:sz w:val="20"/>
          <w:szCs w:val="20"/>
          <w:color w:val="auto"/>
        </w:rPr>
      </w:pPr>
      <w:r>
        <w:rPr>
          <w:rFonts w:ascii="Times New Roman" w:cs="Times New Roman" w:eastAsia="Times New Roman" w:hAnsi="Times New Roman"/>
          <w:sz w:val="16"/>
          <w:szCs w:val="16"/>
          <w:color w:val="auto"/>
        </w:rPr>
        <w:t>Certain portions of the registrant’s Proxy Statement for its 2026 Annual Meeting of Shareholders are incorporated by reference into Part III of this Report.</w:t>
      </w:r>
    </w:p>
    <w:p>
      <w:pPr>
        <w:spacing w:after="0" w:line="8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Exhibit Index located on page E-79.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517525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132080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40" w:type="dxa"/>
            <w:vAlign w:val="bottom"/>
            <w:gridSpan w:val="2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40" w:type="dxa"/>
            <w:vAlign w:val="bottom"/>
            <w:gridSpan w:val="21"/>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DECEMBER 27, 2025</w:t>
            </w:r>
          </w:p>
        </w:tc>
        <w:tc>
          <w:tcPr>
            <w:tcW w:w="46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gridSpan w:val="21"/>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15"/>
          </w:tcPr>
          <w:p>
            <w:pPr>
              <w:jc w:val="center"/>
              <w:ind w:right="366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60" w:type="dxa"/>
            <w:vAlign w:val="bottom"/>
          </w:tcPr>
          <w:p>
            <w:pPr>
              <w:spacing w:after="0"/>
              <w:rPr>
                <w:sz w:val="24"/>
                <w:szCs w:val="24"/>
                <w:color w:val="auto"/>
              </w:rPr>
            </w:pPr>
          </w:p>
        </w:tc>
      </w:tr>
      <w:tr>
        <w:trPr>
          <w:trHeight w:val="412"/>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3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Business.</w:t>
            </w:r>
          </w:p>
        </w:tc>
        <w:tc>
          <w:tcPr>
            <w:tcW w:w="580" w:type="dxa"/>
            <w:vAlign w:val="bottom"/>
            <w:tcBorders>
              <w:top w:val="single" w:sz="8" w:color="0000EE"/>
            </w:tcBorders>
            <w:gridSpan w:val="2"/>
          </w:tcPr>
          <w:p>
            <w:pPr>
              <w:spacing w:after="0"/>
              <w:rPr>
                <w:sz w:val="24"/>
                <w:szCs w:val="24"/>
                <w:color w:val="auto"/>
              </w:rPr>
            </w:pPr>
          </w:p>
        </w:tc>
        <w:tc>
          <w:tcPr>
            <w:tcW w:w="37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1B.</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1C.</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84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Additional Item: Executive Officers of the Registrant.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366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6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 Equity</w:t>
            </w:r>
          </w:p>
        </w:tc>
        <w:tc>
          <w:tcPr>
            <w:tcW w:w="46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Securities.</w:t>
            </w:r>
          </w:p>
        </w:tc>
        <w:tc>
          <w:tcPr>
            <w:tcW w:w="6840" w:type="dxa"/>
            <w:vAlign w:val="bottom"/>
            <w:gridSpan w:val="2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9B.</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5"/>
              </w:rPr>
              <w:t>Item 9C.</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940" w:type="dxa"/>
            <w:vAlign w:val="bottom"/>
            <w:tcBorders>
              <w:top w:val="single" w:sz="8" w:color="0000EE"/>
            </w:tcBorders>
            <w:gridSpan w:val="3"/>
          </w:tcPr>
          <w:p>
            <w:pPr>
              <w:spacing w:after="0"/>
              <w:rPr>
                <w:sz w:val="24"/>
                <w:szCs w:val="24"/>
                <w:color w:val="auto"/>
              </w:rPr>
            </w:pPr>
          </w:p>
        </w:tc>
        <w:tc>
          <w:tcPr>
            <w:tcW w:w="268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240" w:type="dxa"/>
            <w:vAlign w:val="bottom"/>
            <w:gridSpan w:val="2"/>
          </w:tcPr>
          <w:p>
            <w:pPr>
              <w:spacing w:after="0"/>
              <w:rPr>
                <w:sz w:val="24"/>
                <w:szCs w:val="24"/>
                <w:color w:val="auto"/>
              </w:rPr>
            </w:pPr>
          </w:p>
        </w:tc>
        <w:tc>
          <w:tcPr>
            <w:tcW w:w="76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 Matters.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0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240" w:type="dxa"/>
            <w:vAlign w:val="bottom"/>
            <w:gridSpan w:val="2"/>
          </w:tcPr>
          <w:p>
            <w:pPr>
              <w:spacing w:after="0"/>
              <w:rPr>
                <w:sz w:val="17"/>
                <w:szCs w:val="17"/>
                <w:color w:val="auto"/>
              </w:rPr>
            </w:pPr>
          </w:p>
        </w:tc>
        <w:tc>
          <w:tcPr>
            <w:tcW w:w="76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412"/>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gridSpan w:val="17"/>
          </w:tcPr>
          <w:p>
            <w:pPr>
              <w:jc w:val="center"/>
              <w:ind w:right="364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460" w:type="dxa"/>
            <w:vAlign w:val="bottom"/>
          </w:tcPr>
          <w:p>
            <w:pPr>
              <w:spacing w:after="0"/>
              <w:rPr>
                <w:sz w:val="24"/>
                <w:szCs w:val="24"/>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240" w:type="dxa"/>
            <w:vAlign w:val="bottom"/>
            <w:gridSpan w:val="2"/>
          </w:tcPr>
          <w:p>
            <w:pPr>
              <w:spacing w:after="0"/>
              <w:rPr>
                <w:sz w:val="24"/>
                <w:szCs w:val="24"/>
                <w:color w:val="auto"/>
              </w:rPr>
            </w:pPr>
          </w:p>
        </w:tc>
        <w:tc>
          <w:tcPr>
            <w:tcW w:w="32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6"/>
          </w:tcPr>
          <w:p>
            <w:pPr>
              <w:spacing w:after="0"/>
              <w:rPr>
                <w:sz w:val="24"/>
                <w:szCs w:val="24"/>
                <w:color w:val="auto"/>
              </w:rPr>
            </w:pPr>
          </w:p>
        </w:tc>
        <w:tc>
          <w:tcPr>
            <w:tcW w:w="364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4420" w:type="dxa"/>
            <w:vAlign w:val="bottom"/>
            <w:gridSpan w:val="1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84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General Development of the Business.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(“we,” “our,” “the Company,” or “UFP”) is a holding company with subsidiaries throughout the United States, Mexico, Canada, Spain, India and Australia that design, manufacture and supply products made from wood, wood and non-wood composites, and other materials to three segments: retail, packaging, and construction. We are headquartered in Grand Rapids, Michigan.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information relating to current developments in our business please see "Management’s Discussion and Analysis of Financial Condition and Results of Operations" in Item 7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 About Segments.</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 defines operating segments as components of an enterprise about which separate financial information is available that is evaluated regularly by the chief operating decision maker (“CODM”) in deciding how to allocate resources and in assessing performance.</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focused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segment and Ardellis are referred to as “All Other” throughout this report.</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Narrative Description of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Historically, we owned and operated a number of manufacturing facilities across North America that served our various markets, and we managed those operations primarily on a geographic basis. As part of that structure, the managers of those facilities and geographic business units were responsible for and compensated on the basis of each facility's, unit's, and region's respective financial performance. This structure fostered a strong entrepreneurial and sales culture, as well as significant revenue growth – from 2011 to 2019 our revenues increased from $1.8 billion to $4.4 billion. We believe that the duration and durability of our relationships with many of our customers, which extend over several decades with certain key customers, is a reflection of our strong sales culture and intense focus on providing custom solutions.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current structure focuses on our end markets which allows us to better serve our customers, recognize and exploit market opportunities, enhance the efficiency of our operations, and improve the deployment of capital. We continue to maintain our existing compensation philosophy and practices of rewarding the financial performance of our plants, business units, and segments, based upon pre-bonus operating profits and return on investment, to preserve our strong entrepreneurial and sales culture.</w:t>
      </w:r>
    </w:p>
    <w:p>
      <w:pPr>
        <w:spacing w:after="0" w:line="183"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Our business segments are functionally interdependent and are supported by common corporate services, such as accounting and finance, information technology, human resources, legal and compliance, and others. We regularly invest in automation and create best practices to improve the efficiency of our manufacturing facilities across each of the segments. The results and improvements from these investments are shared among the segments. This exchange of improvements and ideas has also prompted better and faster innovation for new products, processes, and product improvements.</w:t>
      </w:r>
    </w:p>
    <w:p>
      <w:pPr>
        <w:spacing w:after="0" w:line="1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Importantly, our structure allows us to evaluate market conditions and opportunities, while effectively allocating capital and resources to the appropriate segments and business units. We believe that the diversification and manner in which we operate our business provides an inherent hedge against the inevitable business cycles that our markets experience and over which we have little control. Accordingly, our goal is to provide stable earnings and cash flows to our shareholders. Our diversification and operating practices also mitigate the impact of volatile lumber market conditions experienced by traditional lumber companies.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Retail Solutions segment</w:t>
      </w:r>
      <w:r>
        <w:rPr>
          <w:rFonts w:ascii="Times New Roman" w:cs="Times New Roman" w:eastAsia="Times New Roman" w:hAnsi="Times New Roman"/>
          <w:sz w:val="18"/>
          <w:szCs w:val="18"/>
          <w:color w:val="auto"/>
        </w:rPr>
        <w:t>. Our Retail Solutions segment is comprised of the following business units: ProWood, Deckorators and UFP Edge. The segment is focused on distinct product offerings which are grouped by brands and business units. These groupings may change periodically as opportunities to gain efficiencies occur or new products that deliver increased scale and synergy are developed. The segment primarily sells to three main verticals including big box retailers, independent distributors, and distribution centers including two-step distributors.</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ProWood</w:t>
      </w:r>
      <w:r>
        <w:rPr>
          <w:rFonts w:ascii="Times New Roman" w:cs="Times New Roman" w:eastAsia="Times New Roman" w:hAnsi="Times New Roman"/>
          <w:sz w:val="18"/>
          <w:szCs w:val="18"/>
          <w:color w:val="auto"/>
        </w:rPr>
        <w:t>. Our ProWood business unit manufactures and sells pressure-treated lumber products,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decking, fencing, and lattice, as well as decorative and functional lawn and garden products to building products retailers across the U.S. This business unit includes our branded ProWood line of pressure-treated and fire-retardant products used primarily for outdoor decking environments, including associated accessories. It also includes our branded Outdoor Essentials line of lawn and garden products, consisting of wood and vinyl fencing and lattice, garden beds and planters, pergolas, picnic tables, and other landscaping products. Numerous pressure-treaters exist on local and regional scales with none approaching the volume sold by UFP. We estimate we produce approximately 28% of all residential treated wood, 17% of all wood fencing, and 7% of all fire-retardant wood products within the U.S.</w:t>
      </w:r>
    </w:p>
    <w:p>
      <w:pPr>
        <w:spacing w:after="0" w:line="18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Deckorators</w:t>
      </w:r>
      <w:r>
        <w:rPr>
          <w:rFonts w:ascii="Times New Roman" w:cs="Times New Roman" w:eastAsia="Times New Roman" w:hAnsi="Times New Roman"/>
          <w:sz w:val="18"/>
          <w:szCs w:val="18"/>
          <w:color w:val="auto"/>
        </w:rPr>
        <w:t>. This business unit includes the manufacture of wood plastic composite and our patented Surestone™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mineral based composite decking and related decking accessories, including aluminum railing systems, balusters, post caps, and similar products, as well as customized, aluminum fencing. Customers include big box home improvement retailers, regional home centers and two-step distributors. We estimate we manufacture approximately 6-8% of all composite decking and railing in the U.S.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UFP Edge</w:t>
      </w:r>
      <w:r>
        <w:rPr>
          <w:rFonts w:ascii="Times New Roman" w:cs="Times New Roman" w:eastAsia="Times New Roman" w:hAnsi="Times New Roman"/>
          <w:sz w:val="18"/>
          <w:szCs w:val="18"/>
          <w:color w:val="auto"/>
        </w:rPr>
        <w:t>. This business unit manufactures and sells exterior siding, pattern, trim and fascia products.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include traditional wood, engineered wood and modified wood siding with a variety of finish and profile alternatives as well as primed wood trim boards and fascia. The products also include interior pattern and trim products, as well as pre-painted and primed shiplap and project boards.</w:t>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UFP Retail Solutions has numerous competitive advantages. We are not aware of any competitor that currently manufactures, treats and distributes a full line of both value-added and commodity-based products, on a national basis, as we do within this segment. We believe the breadth of our product offering, scale and geographic dispersion, proximity of our plants to core customers and key vendors, product innovation initiatives, purchasing and manufacturing expertise, procurement advantages, and service capabilities provide us a competitive edge in this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supply customers in this segment from many of our locations. Our facilities supply mixed truckloads of products delivered to customers with rapid turnaround. Freight costs are a factor in the ability to competitively service this market, especially with treated wood products due to their weight. The proximity of our manufacturing facilities to customer locations is factored into annual sales programs. The Retail segment services two of our largest customers, The Home Depot and Lowes, which accounted for approximately 17% and 11%, respectively, of our total net sales in fiscal 2025, 17% and 11%, respectively, in 2024, and 17% and 12%, respectively, in 2023.</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 M "Segment Reporting" to our consolidated financial statements for the fiscal year ended December 27, 2025 in Item 8 for our disaggregated net sales by business unit for our Retail Solutions segment.</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u w:val="single" w:color="auto"/>
          <w:color w:val="auto"/>
        </w:rPr>
        <w:t>Packaging segment</w:t>
      </w:r>
      <w:r>
        <w:rPr>
          <w:rFonts w:ascii="Times New Roman" w:cs="Times New Roman" w:eastAsia="Times New Roman" w:hAnsi="Times New Roman"/>
          <w:sz w:val="18"/>
          <w:szCs w:val="18"/>
          <w:color w:val="auto"/>
        </w:rPr>
        <w:t>. Our Packaging segment is comprised of the following business units: Structural Packaging, PalletOne, and Protective Packaging Solutions. We serve a wide variety of regional, national, and global customers across several verticals including building materials, durable goods, agricultural, moving and storage, heavy equipment and automotive.</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Structural Packaging</w:t>
      </w:r>
      <w:r>
        <w:rPr>
          <w:rFonts w:ascii="Times New Roman" w:cs="Times New Roman" w:eastAsia="Times New Roman" w:hAnsi="Times New Roman"/>
          <w:sz w:val="18"/>
          <w:szCs w:val="18"/>
          <w:color w:val="auto"/>
        </w:rPr>
        <w:t>. This business unit designs, engineers, manufactures and tests custom packaging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made of wood and metal. These products are custom designed, often including mixed materials, and manufactured based upon specific customer needs and requirements. We utilize combinations of various materials through industrial engineering and testing to promote the best value and functionality for our customers. In Structural Packaging there are regional companies that produce similar product lines and small single-location competitors in most of our markets. We estimate our domestic market share in Structural Packaging to be 10-12%.</w:t>
      </w:r>
    </w:p>
    <w:p>
      <w:pPr>
        <w:spacing w:after="0" w:line="18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PalletOne</w:t>
      </w:r>
      <w:r>
        <w:rPr>
          <w:rFonts w:ascii="Times New Roman" w:cs="Times New Roman" w:eastAsia="Times New Roman" w:hAnsi="Times New Roman"/>
          <w:sz w:val="18"/>
          <w:szCs w:val="18"/>
          <w:color w:val="auto"/>
        </w:rPr>
        <w:t>. This business unit designs and manufactures pallets primarily made of wood and heat-treated wood.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pallets are designed and manufactured in numerous sizes and configurations and are used by our customers for shipping a wide assortment of consumer and industrial products. This business unit also includes a recycling operation of previously used pallets. Keys to our success in this business unit are low-cost production through expanded automation, including robotics and high efficiency pallet machines, and the procurement of competitively priced industrial grade wood fiber. We own 50% of Dempsey Wood Products, LLC (“Dempsey”), which produces pallet lumber and other industrial wood products in Orangeburg, South Carolina. The lumber Dempsey produces is a crucial product for pallet operations and has been in short supply as larger mills produce less of this type of lumber. PalletOne’s investment in Dempsey helps it secure and grow a critical long-term supply source. There are numerous local and regional pallet manufacturers that compete with PalletOne. We estimate that, as the largest supplier, we manufacture approximately 8-10% of new machine-built pallets nationally.</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Protective Packaging Solutions</w:t>
      </w:r>
      <w:r>
        <w:rPr>
          <w:rFonts w:ascii="Times New Roman" w:cs="Times New Roman" w:eastAsia="Times New Roman" w:hAnsi="Times New Roman"/>
          <w:sz w:val="18"/>
          <w:szCs w:val="18"/>
          <w:color w:val="auto"/>
        </w:rPr>
        <w:t>. This business unit consists of a wide variety of products, such as corrugate, foam,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labels, strapping and films. These products are primarily sold as additional offerings to our structural packaging products and pallets and are generally sold as a means of providing a more complete solution to our customers' packaging needs and requirements. Over the last several years, we have added additional products and services to this business unit to meet the increasing demand of our customers to provide a wider array of innovative solutions to their packaging and shipping needs. Through the acquisitions of Advantage Label in Grand Rapids, Michigan, and Titan Manufacturing, a highly-automated corrugate converter in Flower Mound, Texas, we have become a manufacturer of labels and corrugate boxes, two significant growth categories for UFP Packaging.</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Competitive advantages for UFP Packaging include: being a low cost pallet producer due to our supply agreements, investments in vertical integration, and level of automation in our manufacturing plants; our scale and ability to serve large global, national and regional customers; design and engineering expertise, coupled with our ability to manufacture structural packaging with mixed materials, allowing us to provide creative, value-added solutions to our customers; and serving as a single-source supplier offering a wide breadth of products, allowing customers to buy more efficiently.</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plan to acquire companies across the industrial packaging spectrum with capabilities in product categories that allow us to fill geographical gaps that enhance our ability to offer valuable packaging solutions to our customers.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 M "Segment Reporting" to our consolidated financial statements for the fiscal year ended December 27, 2025 in Item 8 for our disaggregated net sales by business unit for our Packaging segment.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Construction segment.</w:t>
      </w:r>
      <w:r>
        <w:rPr>
          <w:rFonts w:ascii="Times New Roman" w:cs="Times New Roman" w:eastAsia="Times New Roman" w:hAnsi="Times New Roman"/>
          <w:sz w:val="18"/>
          <w:szCs w:val="18"/>
          <w:color w:val="auto"/>
        </w:rPr>
        <w:t xml:space="preserve"> Our Construction segment is comprised of the following business units: Factory-Built Housing, Site-Built Construction, Commercial Construction, and Concrete Forming.</w:t>
      </w:r>
    </w:p>
    <w:p>
      <w:pPr>
        <w:spacing w:after="0" w:line="16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Factory-Built Housing</w:t>
      </w:r>
      <w:r>
        <w:rPr>
          <w:rFonts w:ascii="Times New Roman" w:cs="Times New Roman" w:eastAsia="Times New Roman" w:hAnsi="Times New Roman"/>
          <w:sz w:val="18"/>
          <w:szCs w:val="18"/>
          <w:color w:val="auto"/>
        </w:rPr>
        <w:t>. This business unit designs and manufactures roof trusses, cut-to-size dimensional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lumber, plywood, and oriented strand board, all intended for use in the construction of manufactured housing. Our three main verticals in this business unit include producers of mobile, modular and prefabricated homes and, to a lesser extent, recreational vehicles (RV) and cargo trailers. Our principal competitive advantages include our product knowledge, the strength of our engineering support services, the proximity of our regional facilities to our customers, our purchasing and manufacturing expertise and our ability to provide national sales programs to certain customers. As a result of these advantages, we estimate we produce approximately 35% of all roof trusses used in factory-built housing in the United States. We also distribute products such as siding, electrical, plumbing, and many other specialty products to factory-built housing and RV customers. Customer vertical integration strategies have affected us in certain regions, and we’ve taken steps to mitigate this risk by increasing our value as a supplier through innovation and low cost production.</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Site-Built Construction</w:t>
      </w:r>
      <w:r>
        <w:rPr>
          <w:rFonts w:ascii="Times New Roman" w:cs="Times New Roman" w:eastAsia="Times New Roman" w:hAnsi="Times New Roman"/>
          <w:sz w:val="18"/>
          <w:szCs w:val="18"/>
          <w:color w:val="auto"/>
        </w:rPr>
        <w:t>. This business unit designs and manufactures roof and floor trusses, wall panels, I-joists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lumber packages as well as engineered wood components used to frame residential and light commercial projects. Historical acquisitions, including Atlantic Prefab, Inc., Exterior Designs, LLC, Patriot Building Systems, LLC, and Endurable Building Products have given the Company manufacturing capability in alternate material components such as metal trusses, sheathed and pre-finished light gauge metal wall panels and aluminum balconies, decks and rail accessories. We also provide framing services for builders in certain regional markets in which we erect the wood structure. We’ve made a variety of investments in automation, allowing us to enhance efficiency and capacity in numerous UFP Construction operations. Our proprietary smartphone application, TrussTrax, provides a convenient, simple way for builders to track orders, shipments and engineered documents 24 hours a day, and has enjoyed wide customer adoption. Our customers in this market are primarily large-volume, multi-tract builders and smaller volume custom builders. We also supply builders engaged in multi-family and light commercial construction. We currently estimate that approximately 70% of the unit's business is for single-family homes while 30% is for multi-family structures.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Competition in site-built construction consists of numerous national and regional building products dealers who also manufacture components and/or provide framing services, as well as regional manufacturers of engineered wood components. We believe our primary competitive advantages relate to the engineering and design capabilities of our staff, purchasing and manufacturing expertise, product quality, timeliness of delivery, and financial strength, as well as providing a comprehensive turn-key package, including installation in selected markets. As a result of these strengths, we estimate we produce approximately 12% of all engineered wood components used in housing in the United States. Generally, terms of sale and pricing are determined based on contracts we enter into with our customers. We currently supply customers in these markets from manufacturing facilities in many different states, primarily located in the non-urban Northeast, mid-Atlantic, Southeast, Texas, and Colorado. We have intentionally avoided markets that have experienced more severe demand volatility for housing. Also, the states in which we have a presence are forecasted to continue to benefit from migration trends in the United States. Freight costs are a factor in the ability to competitively service this market due to the space requirements of these products on each truckload.</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Commercial Construction</w:t>
      </w:r>
      <w:r>
        <w:rPr>
          <w:rFonts w:ascii="Times New Roman" w:cs="Times New Roman" w:eastAsia="Times New Roman" w:hAnsi="Times New Roman"/>
          <w:sz w:val="18"/>
          <w:szCs w:val="18"/>
          <w:color w:val="auto"/>
        </w:rPr>
        <w:t>. Our commercial construction business unit primarily includes the operations of idX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Inc. idX is a designer, manufacturer and installer of highly customized interior fixtures, casework and architectural millwork used in a variety of retail and commercial structures. This business unit serves customers throughout North America and to a lesser extent, Asia and Europe, in healthcare, hospitality, quick service restaurants, retail, and financial, offering comprehensive, streamlined solutions and customized products while managing programs from concept through completion, on a global scale. We believe we are one of the top five custom interior environment providers globally and the largest diversified custom solutions provider.</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Concrete Forming</w:t>
      </w:r>
      <w:r>
        <w:rPr>
          <w:rFonts w:ascii="Times New Roman" w:cs="Times New Roman" w:eastAsia="Times New Roman" w:hAnsi="Times New Roman"/>
          <w:sz w:val="18"/>
          <w:szCs w:val="18"/>
          <w:color w:val="auto"/>
        </w:rPr>
        <w:t>. This business unit designs, manufactures and supplies wood forms and related products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used by our customers to set or form concrete for various structures. This business unit serves four verticals including residential building, non-residential building, distribution, and infrastructure. Our customers in this business unit include general contractors as well as distributors. We believe we are unique in our ability to deliver highly engineered, factory-built solutions to job sites.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believe the diversification of the end markets we serve in our Construction segment as well as the breadth of our products and services represent competitive advantages.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 M "Segment Reporting" to our consolidated financial statements for the fiscal year ended December 27, 2025 in Item 8 for our disaggregated net sales by business unit for our Construction segment.</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u w:val="single" w:color="auto"/>
          <w:color w:val="auto"/>
        </w:rPr>
        <w:t>UFP Purchasing/Suppliers</w:t>
      </w:r>
      <w:r>
        <w:rPr>
          <w:rFonts w:ascii="Times New Roman" w:cs="Times New Roman" w:eastAsia="Times New Roman" w:hAnsi="Times New Roman"/>
          <w:sz w:val="18"/>
          <w:szCs w:val="18"/>
          <w:color w:val="auto"/>
        </w:rPr>
        <w:t>. Our purchasing team manages and purchases wood fiber for each of our segments. The three main end markets for softwood lumber in North America – retail, construction, and packaging – align with our three business segments We are the largest converter of solid sawn softwood lumber from North American primary producers (lumber mills). For 2025, we estimate we purchased approximately 6.4% of the 56 billion board feet of North America softwood lumber production. The volume and variety of lumber dimensions purchased allows us to consume all grades and dimensions of what many of our mill suppliers produce, effecting and maintaining long-term, beneficial relationships with many of those suppliers. In turn, this has allowed us to better manage our raw materials inventory (including vendor-managed inventory), lower our costs, and mitigate the volatility of lumber prices.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use primarily southern yellow pine in our pressure-treating operations and our site-built housing, structural packaging, and machine-built pallet operations in the Southeastern United States. Southern yellow pine is sourced from mills ranging from Texas to the Carolinas. We also use spruce-pine-fir from both Eastern and Western Canada; hemlock, douglas fir and cedar from the Pacific Northwest; inland species of pine, plantation grown radiata and southern yellow pines from South America; and various European softwoods. During 2025 our annual purchases of lumber, excluding panels, totaled approximately $1.7 billion and consisted of the following species and their respective percent of total lumber purchases: southern yellow pine (75%), spruce-pine-fir (12%), and douglas fir (4%), while the remaining 9% of lumber purchases comprise various other species and imports outside of North America. Additionally, we purchased approximately $545 million in plywood and $464 million in other panel products in 2025. There are numerous primary producers for all varieties we use, and we are not dependent on any particular source of supply.</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We own numerous patents and have several patents pending on technologies related to our business. Examples include our Deckorators brand of composite decking and railing and its proprietary, patented Surestone™ technology used to produce mineral-based composite decking; TrussTrax, a mobile application offered to our Site-Built customers; and the ProWood brand of pressure-treated lumber and outdoor living products.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u w:val="single" w:color="auto"/>
          <w:color w:val="auto"/>
        </w:rPr>
        <w:t>Backlog</w:t>
      </w:r>
      <w:r>
        <w:rPr>
          <w:rFonts w:ascii="Times New Roman" w:cs="Times New Roman" w:eastAsia="Times New Roman" w:hAnsi="Times New Roman"/>
          <w:sz w:val="18"/>
          <w:szCs w:val="18"/>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a customer's requirements. In such cases, either we are able to forecast the customer's requirements, or the customer may provide an estimate of its future needs. In neither case, however, will we receive firm orders until just prior to the anticipated delivery dates for the products ordered.</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27, 2025 and December 28, 2024, we estimate that backlog orders associated with our customized interior fixture businesses approximated $56.6 million and $41.9 million, respectively. On December 27, 2025 and December 28, 2024, we estimate that backlog orders associated with our site-built construction businesses approximated $45.9 million and $74.4 million, respectively. The decline is due to a decrease in demand and slowdown associated with tariff policy. We expect that the orders above will be primarily filled within the next fiscal year; however, it is possible that some orders could be canceled.</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We are self-insured for environmental impairment liability, including certain liabilities which are insured through a wholly owned subsidiary, Ardellis Insurance Ltd., a licensed captive insurance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u w:val="single" w:color="auto"/>
          <w:color w:val="auto"/>
        </w:rPr>
        <w:t>Seasonality</w:t>
      </w:r>
      <w:r>
        <w:rPr>
          <w:rFonts w:ascii="Times New Roman" w:cs="Times New Roman" w:eastAsia="Times New Roman" w:hAnsi="Times New Roman"/>
          <w:sz w:val="18"/>
          <w:szCs w:val="18"/>
          <w:color w:val="auto"/>
        </w:rPr>
        <w:t>. Seasonality has a significant impact on our working capital due to our primary selling season occurring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 Please also see the risk factor in Item 1A. Risk Factors under the caption “</w:t>
      </w:r>
      <w:r>
        <w:rPr>
          <w:rFonts w:ascii="Times New Roman" w:cs="Times New Roman" w:eastAsia="Times New Roman" w:hAnsi="Times New Roman"/>
          <w:sz w:val="18"/>
          <w:szCs w:val="18"/>
          <w:i w:val="1"/>
          <w:iCs w:val="1"/>
          <w:color w:val="auto"/>
        </w:rPr>
        <w:t>Seasonality and weather conditions, including those arising from climate change, could adversely affect 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Human Capital Management</w:t>
      </w:r>
      <w:r>
        <w:rPr>
          <w:rFonts w:ascii="Times New Roman" w:cs="Times New Roman" w:eastAsia="Times New Roman" w:hAnsi="Times New Roman"/>
          <w:sz w:val="18"/>
          <w:szCs w:val="18"/>
          <w:color w:val="auto"/>
        </w:rPr>
        <w:t>. On December 27, 2025, we had approximately 13,800 employees. For over 70 years, the success of our company has rested on the skill, motivation and performance of our employees. We treat our people honestly and fairly, creating career paths and training opportunities to develop and expand their scope of responsibilities and financial rewards. This approach to human capital, which is embedded in the Company's culture, has fostered an environment where our employees often commit their respective careers to UFP Industries, Inc.</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u w:val="single" w:color="auto"/>
          <w:color w:val="auto"/>
        </w:rPr>
        <w:t>Environmental, Social, and Governance</w:t>
      </w:r>
      <w:r>
        <w:rPr>
          <w:rFonts w:ascii="Times New Roman" w:cs="Times New Roman" w:eastAsia="Times New Roman" w:hAnsi="Times New Roman"/>
          <w:sz w:val="18"/>
          <w:szCs w:val="18"/>
          <w:color w:val="auto"/>
        </w:rPr>
        <w:t>. Matters of sustainability, health and safety, employee welfare, supply chain management, and community engagement are managed by our executive team, with oversight from our Nominating and Corporate Governance and Personnel and Compensation Committees. In July 2025, we published on our website our fiscal year 2024 “Governance Report,” detailing our responsible practices as well as our future outlook. We anticipate publishing on our website our fiscal year 2025 Governance Report during 2026.</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manufacturing operations have a long history of environmental stewardship through efficiency and energy savings, waste management, and responsible product sourcing. We quantified our 2024 Scope 1 and Scope 2 greenhouse gas (GHG) emissions in our fiscal year 2024 Governance Report and plan to disclose our 2025 Scope 1 and Scope 2 GHG emissions in 2026.</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driven by operational excellence throughout the enterprise and by cultivating a unique culture that provides significant opportunity for professional and personal growth. In managing our human capital, we have focused our efforts on employee health and safety, equal opportunity for all, and learning and development.</w:t>
      </w:r>
    </w:p>
    <w:p>
      <w:pPr>
        <w:spacing w:after="0" w:line="176"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At UFP, we welcome all who are willing to work hard. We do not discriminate in hiring, promotion, or opportunity – we believe the best performers should be rewarded commensurately. We prefer hiring people with potential and helping them grow and achieve their goals within our company. To provide opportunity to a broader base of our teammates, we removed the requirement of a 4-year degree for sales and management positions and give credit for work experience. We use our internal training programs and UFP Business School to help employees gain functional knowledge and hone the skills and competencies that allow them advancement to greater roles and responsibilities.</w:t>
      </w:r>
    </w:p>
    <w:p>
      <w:pPr>
        <w:spacing w:after="0" w:line="18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We have a long history of supporting talented and hard-working employees go from factory floor to management, sales and operations roles. These transformations require diligence and dedication, and they demonstrate that regardless of background, our teammates at UFP have a chance to make a better life for themselves and their families. We also recognize the need to hire talented individuals from outside the company who bring special expertise and innovative skills to UFP.</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Internet address is www.ufpi.com. Through our Internet website under "News Filings &amp; Reports – SEC Filings"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 Governance – Governance Documents” in the Investor Relations sections is our Code of Ethics for Senior Financial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Pressures from various global and national macroeconomic events, including heightened inflation, uncertainty regarding future interest rates, foreign currency exchange rate fluctuations, recent adverse weather conditions, geo-political events, and potential governmental responses to these events have created, and continue to create, significant economic uncertainty and could materially and adversely impact our financial performance. </w:t>
      </w:r>
      <w:r>
        <w:rPr>
          <w:rFonts w:ascii="Times New Roman" w:cs="Times New Roman" w:eastAsia="Times New Roman" w:hAnsi="Times New Roman"/>
          <w:sz w:val="18"/>
          <w:szCs w:val="18"/>
          <w:color w:val="auto"/>
        </w:rPr>
        <w:t>The extent to which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macroeconomic pressures may impact our business, results of operations, costs and financial condition will depend on future developments, which continue to be highly uncertain and difficult to predict. While we have planned for and anticipate a continuation of soft demand within our markets into 2026, any one or more of the above macroeconomic factors could result in a more severe and longer downturn and/or increased costs, which would have an adverse and potentially material impact on our business and financial performance.</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new tariffs and duties on U.S. imports and foreign export sales and changes in import/export regulations. </w:t>
      </w:r>
      <w:r>
        <w:rPr>
          <w:rFonts w:ascii="Times New Roman" w:cs="Times New Roman" w:eastAsia="Times New Roman" w:hAnsi="Times New Roman"/>
          <w:sz w:val="18"/>
          <w:szCs w:val="18"/>
          <w:color w:val="auto"/>
        </w:rPr>
        <w:t>Instability of established free trade agreements, the potential imposition of new or increased tariffs on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imports or exports, and potential changes to import/export regulations may lead to raw material and finished goods price volatility as well as instability and uncertainty in our supply chain. The proposed tariffs in Canada continue to be paused. If they are activated, the demand for domestic lumber products may increase, which will likely result in higher costs if capacity gets challenged. Although 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We will continue to monitor the market and intend to make decisions quickly to minimize disruption. As of December 27, 2025, 84% of our lumber purchases are from domestic suppliers, 11% are imported from Canada, and 5% are imported from other international suppliers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 increase in foreign tariffs on U.S. goods could curtail our export sales to other countries, which were approximately $239.5 million in 2025, compared to $258.9 million in 2024.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were impacted by tariffs were approximately $407.1 million in 2025 (compared to $390.9 million in 2024), including our import of Canadian Softwood Lumber of approximately $174.9 million in 2025 (compared to $211.8 million in 2024) which is the largest imported commodity. In addition, there is a risk that U.S. tariffs on imports and countering tariffs on U.S. exports could trigger broader international trade conflicts that could adversely impact our business.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a significant change in the value of the U.S. dollar and our results of operations may be harmed by currency fluctuations and inflation. </w:t>
      </w:r>
      <w:r>
        <w:rPr>
          <w:rFonts w:ascii="Times New Roman" w:cs="Times New Roman" w:eastAsia="Times New Roman" w:hAnsi="Times New Roman"/>
          <w:sz w:val="18"/>
          <w:szCs w:val="18"/>
          <w:color w:val="auto"/>
        </w:rPr>
        <w:t>We purchase a variety of raw materials and finished goods from sources around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and export certain products. The impact of a change in U.S. dollar exchange rates, and inflation, would impact our import purchases and export sales, which totaled $407.1 million and $239.5 million respectively, in 2025, compared to $390.9 million and $258.9 million in 2024, respectively. In addition, many of our packaging customers export their products; consequently, any adverse impact on those customers from currency fluctuations and inflation may have an adverse impact on our sales to those customers.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may be limited by the customer demand in the markets we serve, including our construction market which is highly cyclical. </w:t>
      </w:r>
      <w:r>
        <w:rPr>
          <w:rFonts w:ascii="Times New Roman" w:cs="Times New Roman" w:eastAsia="Times New Roman" w:hAnsi="Times New Roman"/>
          <w:sz w:val="18"/>
          <w:szCs w:val="18"/>
          <w:color w:val="auto"/>
        </w:rPr>
        <w:t>Our sales growth is dependent, in part, upon the growth of the markets we serve. If our markets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anticipated growth, or if we fail to maintain our market share, financial results could be impaired.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fluctuations in the price of lumber</w:t>
      </w:r>
      <w:r>
        <w:rPr>
          <w:rFonts w:ascii="Times New Roman" w:cs="Times New Roman" w:eastAsia="Times New Roman" w:hAnsi="Times New Roman"/>
          <w:sz w:val="18"/>
          <w:szCs w:val="18"/>
          <w:color w:val="auto"/>
        </w:rPr>
        <w:t>. We experience significant fluctuations in the cost of commodity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lumber costs, including plywood, as a percentage of net sales were 41.6% in 2025, compared to 40.4% in 2024.</w:t>
      </w:r>
    </w:p>
    <w:p>
      <w:pPr>
        <w:spacing w:after="0" w:line="18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are concentrated with two customers</w:t>
      </w:r>
      <w:r>
        <w:rPr>
          <w:rFonts w:ascii="Times New Roman" w:cs="Times New Roman" w:eastAsia="Times New Roman" w:hAnsi="Times New Roman"/>
          <w:sz w:val="18"/>
          <w:szCs w:val="18"/>
          <w:color w:val="auto"/>
        </w:rPr>
        <w:t>. Our sales to The Home Depot and Lowes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17% and 11%, respectively, of our total net sales in fiscal 2025, 17% and 11%, respectively, in 2024, and 17% and 12%, respectively, in 2023.</w:t>
      </w:r>
    </w:p>
    <w:p>
      <w:pPr>
        <w:spacing w:after="0" w:line="171"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vertical integration strategies. </w:t>
      </w:r>
      <w:r>
        <w:rPr>
          <w:rFonts w:ascii="Times New Roman" w:cs="Times New Roman" w:eastAsia="Times New Roman" w:hAnsi="Times New Roman"/>
          <w:sz w:val="18"/>
          <w:szCs w:val="18"/>
          <w:color w:val="auto"/>
        </w:rPr>
        <w:t>In certain markets and product lines, our customers or vendors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pursue vertical integration strategies that could have an adverse effect on our sales. We strive to add value and be a low-cost producer while maintaining competitive pricing in each of our markets to mitigate this risk.</w:t>
      </w:r>
    </w:p>
    <w:p>
      <w:pPr>
        <w:spacing w:after="0" w:line="171"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impacted by industry capacity of products we supply. </w:t>
      </w:r>
      <w:r>
        <w:rPr>
          <w:rFonts w:ascii="Times New Roman" w:cs="Times New Roman" w:eastAsia="Times New Roman" w:hAnsi="Times New Roman"/>
          <w:sz w:val="18"/>
          <w:szCs w:val="18"/>
          <w:color w:val="auto"/>
        </w:rPr>
        <w:t>From time to time, we may experience excess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suppliers of certain products in some of the markets we serve. Our selling prices and profitability are impacted during periods of shortages or excess industry capacity relative to market demand. We may also experience limited capacity among suppliers of certain products as a result of supply chain challenges, which may impact our profitability and ability to meet sales objectives.</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may be limited by our ability to make successful acquisitions. </w:t>
      </w:r>
      <w:r>
        <w:rPr>
          <w:rFonts w:ascii="Times New Roman" w:cs="Times New Roman" w:eastAsia="Times New Roman" w:hAnsi="Times New Roman"/>
          <w:sz w:val="18"/>
          <w:szCs w:val="18"/>
          <w:color w:val="auto"/>
        </w:rPr>
        <w:t>A key component of our growth strategy is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relative success of these acquisitions.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adversely affected by the impact of environmental and safety regulations. </w:t>
      </w:r>
      <w:r>
        <w:rPr>
          <w:rFonts w:ascii="Times New Roman" w:cs="Times New Roman" w:eastAsia="Times New Roman" w:hAnsi="Times New Roman"/>
          <w:sz w:val="18"/>
          <w:szCs w:val="18"/>
          <w:color w:val="auto"/>
        </w:rPr>
        <w:t>We are subject to the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Seasonality and weather conditions, including those arising from climate change, could adversely affect us</w:t>
      </w:r>
      <w:r>
        <w:rPr>
          <w:rFonts w:ascii="Times New Roman" w:cs="Times New Roman" w:eastAsia="Times New Roman" w:hAnsi="Times New Roman"/>
          <w:sz w:val="18"/>
          <w:szCs w:val="18"/>
          <w:color w:val="auto"/>
        </w:rPr>
        <w:t>.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of our business are seasonal in nature and 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 To the extent changes in the world’s climate have a greater impact on adverse weather conditions, we would expect more variability in our business operations and results. Climate change, which could result in more and more severe and adverse weather events, would likely create greater volatility in our financial results. In addition, it is possible that new legislation or regulation enacted to address the impact of climate change could increase costs for us and our suppliers, including costs associated with raw materials, energy, production, transportation, environmental monitoring and reporting, and capital expenditures.</w:t>
      </w:r>
    </w:p>
    <w:p>
      <w:pPr>
        <w:spacing w:after="0" w:line="185" w:lineRule="exact"/>
        <w:rPr>
          <w:sz w:val="20"/>
          <w:szCs w:val="20"/>
          <w:color w:val="auto"/>
        </w:rPr>
      </w:pPr>
    </w:p>
    <w:p>
      <w:pPr>
        <w:jc w:val="both"/>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and outbound transportation costs represent a significant part of our cost structure. </w:t>
      </w:r>
      <w:r>
        <w:rPr>
          <w:rFonts w:ascii="Times New Roman" w:cs="Times New Roman" w:eastAsia="Times New Roman" w:hAnsi="Times New Roman"/>
          <w:sz w:val="18"/>
          <w:szCs w:val="18"/>
          <w:color w:val="auto"/>
        </w:rPr>
        <w:t>An increase in fuel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operating expenses will significantly increase our costs. While we attempt to pass these costs along to our customers, there can be no assurance that they would agree to these price increases. Our total inbound and outbound transportation costs were approximately 9.5%, 7.8%, and 9.4% of net sales in 2025, 2024, and 2023, respectively.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alternatives may be developed to replace traditional treated wood products. </w:t>
      </w:r>
      <w:r>
        <w:rPr>
          <w:rFonts w:ascii="Times New Roman" w:cs="Times New Roman" w:eastAsia="Times New Roman" w:hAnsi="Times New Roman"/>
          <w:sz w:val="18"/>
          <w:szCs w:val="18"/>
          <w:color w:val="auto"/>
        </w:rPr>
        <w:t>The manufacturers of wood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preservatives 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breaches or other failures in our information technology systems could disrupt our business. </w:t>
      </w:r>
      <w:r>
        <w:rPr>
          <w:rFonts w:ascii="Times New Roman" w:cs="Times New Roman" w:eastAsia="Times New Roman" w:hAnsi="Times New Roman"/>
          <w:sz w:val="18"/>
          <w:szCs w:val="18"/>
          <w:color w:val="auto"/>
        </w:rPr>
        <w:t>We rely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information technology systems and network 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 Our failure to successfully identify and manage these risks and uncertainties could disrupt our operations and increase our costs, which could negatively impact our results of operations.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intelligence (“AI”) is an emerging area of technology that has and may further impact various aspects of our business operations, and we may not be successful in our artificial intelligence initiatives, which could adversely affect our business, financial condition and/or operating results. </w:t>
      </w:r>
      <w:r>
        <w:rPr>
          <w:rFonts w:ascii="Times New Roman" w:cs="Times New Roman" w:eastAsia="Times New Roman" w:hAnsi="Times New Roman"/>
          <w:sz w:val="18"/>
          <w:szCs w:val="18"/>
          <w:color w:val="auto"/>
        </w:rPr>
        <w:t>We have made, and expect to continue making, investments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integration of artificial intelligence into our platforms, products, and services. However, AI presents various risks, challenges, and potential unintended consequences that could disrupt our ability to effectively integrate and leverage these technologies. The integration of AI may also require significant capital investment, specialized talent, and new safety protocols, and we may be unable to recruit or retain personnel with the necessary expertise. Additionally, competitors may develop more effective or efficient AI solutions, potentially undermining our competitive position. The regulatory environment surrounding AI is still in development, and new laws or regulations could emerge that require substantial adjustments to our business practices. These changes could impose unexpected costs or operational disruptions, and the full scope and impact of such regulatory developments remain uncertain. If we suffer adverse consequences due to any of these factors, it could in turn have a material adverse effect on our financial performance and operations.</w:t>
      </w:r>
    </w:p>
    <w:p>
      <w:pPr>
        <w:spacing w:after="0" w:line="19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financial results could be negatively impacted by costs associated with product liability, casualty, manufacturing and construction defects, and other claims. </w:t>
      </w:r>
      <w:r>
        <w:rPr>
          <w:rFonts w:ascii="Times New Roman" w:cs="Times New Roman" w:eastAsia="Times New Roman" w:hAnsi="Times New Roman"/>
          <w:sz w:val="18"/>
          <w:szCs w:val="18"/>
          <w:color w:val="auto"/>
        </w:rPr>
        <w:t>From time to time, we are exposed to claims relating to product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casualty events, manufacturing and construction defects, and similar claims, including as the result of the conduct of our employees and subcontractors. These claims could have a negative impact on our results of operation and financial condition, including through increased litigation costs, insurance-related costs, and damage to our reputation and customer relationships.</w:t>
      </w:r>
    </w:p>
    <w:p>
      <w:pPr>
        <w:spacing w:after="0" w:line="18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adversely affected by the impact of pandemics and similar outbreaks. </w:t>
      </w:r>
      <w:r>
        <w:rPr>
          <w:rFonts w:ascii="Times New Roman" w:cs="Times New Roman" w:eastAsia="Times New Roman" w:hAnsi="Times New Roman"/>
          <w:sz w:val="18"/>
          <w:szCs w:val="18"/>
          <w:color w:val="auto"/>
        </w:rPr>
        <w:t>Disease outbreaks could have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impact on the Company's operations and financial results. These outbreaks may adversely impact our business, consolidated results of operations and financial condition. Any such outbreak, as well as measures taken by governmental authorities and businesses to limit the spread of any outbreak, may result in adverse changes in customer demand and our sales, interfere with the ability of our employees and suppliers to perform and function in a manner consistent with targeted objectives and otherwise adversely impact the efficiency of our operations. This may cause us to materially curtail certain segments and could have a material adverse effect on the results of our operations and cash flow.</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Adverse economic conditions and our customers’ ability to operate may impact their ability to pay. </w:t>
      </w:r>
      <w:r>
        <w:rPr>
          <w:rFonts w:ascii="Times New Roman" w:cs="Times New Roman" w:eastAsia="Times New Roman" w:hAnsi="Times New Roman"/>
          <w:sz w:val="18"/>
          <w:szCs w:val="18"/>
          <w:color w:val="auto"/>
        </w:rPr>
        <w:t>This may result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as of December 27, 2025 was approximately 90% current. Our bad debt expense as a percentage of sales was 0.01%, 0.05%, and 0.03%, in 2025, 2024, and 2023, respectively. During the most difficult collection period of the Great Recession, from 2008 through 2010, our bad debt expense as a percentage of sales averaged 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Risk Management and Strategy.</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recognize the importance of managing cybersecurity risks to protect our business operations, assets, data, and stakeholders. This is achieved through implementation of an enterprise-wide security risk management program, risk-based approach to cybersecurity program management, and an internal security control framework. We employ a structured approach to frame, assess, treat and monitor risks to determine if such risks are material.</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Material cybersecurity risks are identified, assessed and managed in several ways. Cybersecurity risk management processes are embedded in our enterprise-level activities, business processes as well as day-to-day operations. This includes but is not limited to:</w:t>
      </w:r>
    </w:p>
    <w:p>
      <w:pPr>
        <w:spacing w:after="0" w:line="172" w:lineRule="exact"/>
        <w:rPr>
          <w:sz w:val="20"/>
          <w:szCs w:val="20"/>
          <w:color w:val="auto"/>
        </w:rPr>
      </w:pPr>
    </w:p>
    <w:p>
      <w:pPr>
        <w:jc w:val="both"/>
        <w:ind w:left="720" w:right="79" w:hanging="319"/>
        <w:spacing w:after="0" w:line="25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Program foundations and standards. </w:t>
      </w:r>
      <w:r>
        <w:rPr>
          <w:rFonts w:ascii="Times New Roman" w:cs="Times New Roman" w:eastAsia="Times New Roman" w:hAnsi="Times New Roman"/>
          <w:sz w:val="18"/>
          <w:szCs w:val="18"/>
          <w:color w:val="auto"/>
        </w:rPr>
        <w:t>We established information security, cybersecurity and risk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frameworks that serve as the foundation for our cybersecurity program, which aligns with internationally recognized frameworks, including the NIST CSF and ISO 27001, as well as risk management guidelines such as NIST SP 800-37 (RMF) and ISO 27005. These frameworks have been adapted to include the assessment and management of risks associated with emerging technologies, including artificial intelligence (AI). Additional security and privacy controls are selected, implemented, assessed and monitored for organizational systems and processes that access, process, transfer or store data categorized to fall under regulatory requirements.</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 with enterprise risk management (ERM). </w:t>
      </w:r>
      <w:r>
        <w:rPr>
          <w:rFonts w:ascii="Times New Roman" w:cs="Times New Roman" w:eastAsia="Times New Roman" w:hAnsi="Times New Roman"/>
          <w:sz w:val="18"/>
          <w:szCs w:val="18"/>
          <w:color w:val="auto"/>
        </w:rPr>
        <w:t>Cybersecurity risk management is an integral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 of our ERM program, ensuring that cybersecurity risks are aggregated and compared against other enterprise-level risks to inform strategic decision-making.</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Risk management process. </w:t>
      </w:r>
      <w:r>
        <w:rPr>
          <w:rFonts w:ascii="Times New Roman" w:cs="Times New Roman" w:eastAsia="Times New Roman" w:hAnsi="Times New Roman"/>
          <w:sz w:val="18"/>
          <w:szCs w:val="18"/>
          <w:color w:val="auto"/>
        </w:rPr>
        <w:t>Our strategic and operational risk management approach begins with risk framing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to align the enterprise-wide cybersecurity strategy with day-to-day operations. Cybersecurity risks are identified, analyzed, evaluated, communicated, and prioritized across the organization through a comprehensive assessment. Risk responses are then managed to reflect our established risk appetite, tolerance, and thresholds. Ongoing monitoring of risk factors, treatment effectiveness, and compliance changes are performed to maintain continuous oversight and monitoring of acceptable risk levels consistent with our governance model.</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Threat monitoring, detection and response. </w:t>
      </w:r>
      <w:r>
        <w:rPr>
          <w:rFonts w:ascii="Times New Roman" w:cs="Times New Roman" w:eastAsia="Times New Roman" w:hAnsi="Times New Roman"/>
          <w:sz w:val="18"/>
          <w:szCs w:val="18"/>
          <w:color w:val="auto"/>
        </w:rPr>
        <w:t>Our dedicated Cybersecurity Incident Response Team (CSIRT)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our Security Operations Center (SOC) monitors threats and vulnerabilities, investigates potential incidents, and coordinates response and remediation. Our Incident Response Plan is maintained and tested to verify completeness and effectiveness of its preparation, detection and analysis, containment, eradication and recovery, as well as post-incident review stages. Incidents are risk-ranked, prioritized and escalated according to defined thresholds to members of the Incident Response Team, including executive leadership, when warranted, consisting of our CIO, our Director of Cybersecurity, and other members of the executive team to facilitate timely assessment of potential materiality and coordination of required disclosures.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controls and layered defense. </w:t>
      </w:r>
      <w:r>
        <w:rPr>
          <w:rFonts w:ascii="Times New Roman" w:cs="Times New Roman" w:eastAsia="Times New Roman" w:hAnsi="Times New Roman"/>
          <w:sz w:val="18"/>
          <w:szCs w:val="18"/>
          <w:color w:val="auto"/>
        </w:rPr>
        <w:t>As part of our defense in depth strategy, we operate multiple layers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frontline controls spanning network security, endpoint protection, identity and access management (including privileged access management) along with data protection and encryption safeguards. In addition to these technical frontline controls, we maintain a secondary layer of defense consisting of internal control owners and functional managers who perform regular self-assessments and monitoring of control effectiveness. This dual-layered approach is further validated by periodic independent testing and internal audits. These preventive layers are reinforced by comprehensive logging, detection, and response capabilities, ensuring that threats are identified and contained even if one control layer is bypassed. This layered approach strengthens our overall security posture by creating overlapping defenses that collectively reduce risk and improve resilience across the enterprise.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720" w:right="79" w:hanging="319"/>
        <w:spacing w:after="0" w:line="26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exercises, and continuous improvement. </w:t>
      </w:r>
      <w:r>
        <w:rPr>
          <w:rFonts w:ascii="Times New Roman" w:cs="Times New Roman" w:eastAsia="Times New Roman" w:hAnsi="Times New Roman"/>
          <w:sz w:val="18"/>
          <w:szCs w:val="18"/>
          <w:color w:val="auto"/>
        </w:rPr>
        <w:t>We conduct tabletop exercises for our incident response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disaster recovery activities and perform internal and external vulnerability assessments as well as penetration testing. Lessons learned from these activities are analyzed and integrated into our policies, governance, and technology through a risk-managed approach.</w:t>
      </w:r>
    </w:p>
    <w:p>
      <w:pPr>
        <w:spacing w:after="0" w:line="176"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Training and awareness. </w:t>
      </w:r>
      <w:r>
        <w:rPr>
          <w:rFonts w:ascii="Times New Roman" w:cs="Times New Roman" w:eastAsia="Times New Roman" w:hAnsi="Times New Roman"/>
          <w:sz w:val="18"/>
          <w:szCs w:val="18"/>
          <w:color w:val="auto"/>
        </w:rPr>
        <w:t>Mandatory, periodic security and privacy training is provided to all employees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onboarding and employment with our organization. This training is supplemented with phishing simulations and awareness activities on an ongoing basis.</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of external parties. </w:t>
      </w:r>
      <w:r>
        <w:rPr>
          <w:rFonts w:ascii="Times New Roman" w:cs="Times New Roman" w:eastAsia="Times New Roman" w:hAnsi="Times New Roman"/>
          <w:sz w:val="18"/>
          <w:szCs w:val="18"/>
          <w:color w:val="auto"/>
        </w:rPr>
        <w:t>We engage external assessors, consultants, independent auditors and, as needed,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to evaluate aspects of our cybersecurity program, controls and overall posture. This is achieved through control audits as well as testing, exercises, and continuous improvement activities.</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security. </w:t>
      </w:r>
      <w:r>
        <w:rPr>
          <w:rFonts w:ascii="Times New Roman" w:cs="Times New Roman" w:eastAsia="Times New Roman" w:hAnsi="Times New Roman"/>
          <w:sz w:val="18"/>
          <w:szCs w:val="18"/>
          <w:color w:val="auto"/>
        </w:rPr>
        <w:t>We monitor third party service providers and suppliers through risk-based onboarding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periodic assessments. Beyond initial and periodic evaluations, we actively monitor security events and threat intelligence related to our significant third-party providers to identify potential "downstream" incidents that could impact our systems or data. Additionally, we maintain security-focused contractual requirements and conduct risk-based continuous vendor monitoring (including targeted cybersecurity assessment correlated to vendor risk level).</w:t>
      </w:r>
    </w:p>
    <w:p>
      <w:pPr>
        <w:spacing w:after="0" w:line="18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the date of this report, we have not experienced any risks from cybersecurity threats, including as a result of any previous cybersecurity incidents, that have materially affected or are reasonably likely to materially affect us, including our business strategy, results of operations, or financial condition. While we have not identified any such material risks to date, we recognize that the threat landscape is constantly evolving. We remain committed to our structured approach to identifying and managing these risks as a core component of our business resilience strategy.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Governance.</w:t>
      </w:r>
    </w:p>
    <w:p>
      <w:pPr>
        <w:spacing w:after="0" w:line="221"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Role</w:t>
      </w:r>
      <w:r>
        <w:rPr>
          <w:rFonts w:ascii="Times New Roman" w:cs="Times New Roman" w:eastAsia="Times New Roman" w:hAnsi="Times New Roman"/>
          <w:sz w:val="18"/>
          <w:szCs w:val="18"/>
          <w:color w:val="auto"/>
        </w:rPr>
        <w:t>. Primary responsibility for risk management, including cybersecurity risks, lies with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management team actively assesses and manages material cybersecurity risks through a structured framework. The CIO and Director of Cybersecurity lead our efforts in managing these risks:</w:t>
      </w:r>
    </w:p>
    <w:p>
      <w:pPr>
        <w:spacing w:after="0" w:line="173" w:lineRule="exact"/>
        <w:rPr>
          <w:sz w:val="20"/>
          <w:szCs w:val="20"/>
          <w:color w:val="auto"/>
        </w:rPr>
      </w:pPr>
    </w:p>
    <w:p>
      <w:pPr>
        <w:jc w:val="both"/>
        <w:ind w:left="1040" w:right="79" w:hanging="315"/>
        <w:spacing w:after="0" w:line="26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CIO</w:t>
      </w:r>
      <w:r>
        <w:rPr>
          <w:rFonts w:ascii="Times New Roman" w:cs="Times New Roman" w:eastAsia="Times New Roman" w:hAnsi="Times New Roman"/>
          <w:sz w:val="18"/>
          <w:szCs w:val="18"/>
          <w:color w:val="auto"/>
        </w:rPr>
        <w:t>. With over 20 years of experience in the information technology space, our CIO brings expertise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insight to cybersecurity, compliance, enterprise architecture, systems resilience, and digital transformation.</w:t>
      </w:r>
    </w:p>
    <w:p>
      <w:pPr>
        <w:spacing w:after="0" w:line="173"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of Cybersecurity</w:t>
      </w:r>
      <w:r>
        <w:rPr>
          <w:rFonts w:ascii="Times New Roman" w:cs="Times New Roman" w:eastAsia="Times New Roman" w:hAnsi="Times New Roman"/>
          <w:sz w:val="18"/>
          <w:szCs w:val="18"/>
          <w:color w:val="auto"/>
        </w:rPr>
        <w:t>. With over 30 years of experience in information technology, including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architecture and management, our Director of Cybersecurity holds the Certified Information Security Manager (CISM) designation. This expertise supports the Director's responsibility for day-to-day cybersecurity operations, the alignment of security strategies with business objectives, and the management of our information security risk framework. The Director reports directly to the CIO and leads the cross-functional team in identifying and mitigating material risks.</w:t>
      </w:r>
    </w:p>
    <w:p>
      <w:pPr>
        <w:spacing w:after="0" w:line="18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cross-functional cybersecurity team, composed of experts with decades of combined experience, supports the CIO and Director in implementing our cybersecurity program. This team consults with legal, HR, and IT specialists to assess the materiality of cybersecurity risks and incidents, using a well-established Incident Response Plan that includes clear escalation measures.</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color w:val="auto"/>
        </w:rPr>
        <w:t>Board of Directors Oversight</w:t>
      </w:r>
      <w:r>
        <w:rPr>
          <w:rFonts w:ascii="Times New Roman" w:cs="Times New Roman" w:eastAsia="Times New Roman" w:hAnsi="Times New Roman"/>
          <w:sz w:val="18"/>
          <w:szCs w:val="18"/>
          <w:color w:val="auto"/>
        </w:rPr>
        <w:t>. The role of the Board of Directors with respect to our cybersecurity program is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oversight of management, and the Board has delegated primary oversight authority over the program to the Audit Committee. The Audit Committee oversees these risks as outlined in its Charter, which mandates reviewing the company's information technology framework, practices, and implemented controls to monitor and mitigate IT risks.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Audit Committee meets quarterly and receives reports and briefings from the CIO, Director of Cybersecurity, and the cybersecurity team on emerging threats, risk status, and mitigation strategies. The Committee engages with the cybersecurity team to increase their understanding of the specific issues facing the Company and to challenge the team as appropriate. The Committee also may consult external cybersecurity experts as needed to fulfill its oversight role. The Audit Committee regularly reports to the Board on matters addressed during the Committee’s quarterly meetings, including any material cybersecurity risks or developments.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corporate headquarters building is located in suburban Grand Rapids, Michigan. We currently have approximately 196 facilities located throughout the United States, Mexico, Canada, Spain, India and Australia. Depending upon function and location, these facilities typically utilize office, manufacturing, and indoor and outdoor storage space.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our property locations assigned by the primary segment the plant serves.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700" w:type="dxa"/>
            <w:vAlign w:val="bottom"/>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RETAIL SEGMENT</w:t>
            </w:r>
          </w:p>
        </w:tc>
        <w:tc>
          <w:tcPr>
            <w:tcW w:w="23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1900" w:type="dxa"/>
            <w:vAlign w:val="bottom"/>
            <w:vMerge w:val="continue"/>
          </w:tcPr>
          <w:p>
            <w:pPr>
              <w:spacing w:after="0"/>
              <w:rPr>
                <w:sz w:val="15"/>
                <w:szCs w:val="15"/>
                <w:color w:val="auto"/>
              </w:rPr>
            </w:pPr>
          </w:p>
        </w:tc>
        <w:tc>
          <w:tcPr>
            <w:tcW w:w="246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Athens, AL</w:t>
            </w:r>
          </w:p>
        </w:tc>
        <w:tc>
          <w:tcPr>
            <w:tcW w:w="2320" w:type="dxa"/>
            <w:vAlign w:val="bottom"/>
            <w:tcBorders>
              <w:top w:val="single" w:sz="8" w:color="auto"/>
            </w:tcBorders>
            <w:shd w:val="clear" w:color="auto" w:fill="CCEEFF"/>
          </w:tcPr>
          <w:p>
            <w:pPr>
              <w:jc w:val="center"/>
              <w:ind w:left="46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Moneta, VA</w:t>
            </w:r>
          </w:p>
        </w:tc>
        <w:tc>
          <w:tcPr>
            <w:tcW w:w="2300" w:type="dxa"/>
            <w:vAlign w:val="bottom"/>
            <w:tcBorders>
              <w:top w:val="single" w:sz="8" w:color="auto"/>
            </w:tcBorders>
            <w:shd w:val="clear" w:color="auto" w:fill="CCEEFF"/>
          </w:tcPr>
          <w:p>
            <w:pPr>
              <w:jc w:val="center"/>
              <w:ind w:left="44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Avondale, AZ</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Mosheim, TN</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Bartow, FL</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Moultrie, GA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Belchertown, MA</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Overland Park, KS</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Bennett, IA</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Ponce, Puerto Rico</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Brunswick, GA</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Prairie du Chien, WI</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Callao, VA</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Rancho Cucamonga, CA*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Durango, Mexico</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Ranson, WV</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Fairless Hills, PA</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Ringgold, GA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Fort Worth, TX</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Rockledge, FL</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Rapids, MI</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Rockwell, NC</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Greeneville, TN</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Saginaw, TX*</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Hamilton, OH</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Schertz, TX*</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Hampton, VA</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Selma, AL</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Hazelhurst, GA</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Spartanburg, SC</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Howell, MI</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Stockertown, PA</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Idabel, OK</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Tampa, FL</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9"/>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Janesville, WI*</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Thomaston, GA</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Kearneysville, WV</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Tipton, IA</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Lackawanna, NY</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Union City, GA*</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Lansing, MI</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White Bear Lake, MN*</w:t>
            </w:r>
          </w:p>
        </w:tc>
        <w:tc>
          <w:tcPr>
            <w:tcW w:w="2300" w:type="dxa"/>
            <w:vAlign w:val="bottom"/>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Lockhart, FL</w:t>
            </w:r>
          </w:p>
        </w:tc>
        <w:tc>
          <w:tcPr>
            <w:tcW w:w="2320" w:type="dxa"/>
            <w:vAlign w:val="bottom"/>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White Pigeon, MI</w:t>
            </w:r>
          </w:p>
        </w:tc>
        <w:tc>
          <w:tcPr>
            <w:tcW w:w="230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Louisville, AL</w:t>
            </w:r>
          </w:p>
        </w:tc>
        <w:tc>
          <w:tcPr>
            <w:tcW w:w="2320" w:type="dxa"/>
            <w:vAlign w:val="bottom"/>
            <w:shd w:val="clear" w:color="auto" w:fill="CCEEFF"/>
          </w:tcPr>
          <w:p>
            <w:pPr>
              <w:jc w:val="center"/>
              <w:ind w:left="4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24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Windsor, CO*</w:t>
            </w:r>
          </w:p>
        </w:tc>
        <w:tc>
          <w:tcPr>
            <w:tcW w:w="2300" w:type="dxa"/>
            <w:vAlign w:val="bottom"/>
            <w:tcBorders>
              <w:bottom w:val="single" w:sz="8" w:color="auto"/>
            </w:tcBorders>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9"/>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4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PACKAGING SEGMENT</w:t>
            </w:r>
          </w:p>
        </w:tc>
        <w:tc>
          <w:tcPr>
            <w:tcW w:w="24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1960" w:type="dxa"/>
            <w:vAlign w:val="bottom"/>
            <w:vMerge w:val="continue"/>
          </w:tcPr>
          <w:p>
            <w:pPr>
              <w:spacing w:after="0"/>
              <w:rPr>
                <w:sz w:val="15"/>
                <w:szCs w:val="15"/>
                <w:color w:val="auto"/>
              </w:rPr>
            </w:pPr>
          </w:p>
        </w:tc>
        <w:tc>
          <w:tcPr>
            <w:tcW w:w="240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Adairsville, GA</w:t>
            </w:r>
          </w:p>
        </w:tc>
        <w:tc>
          <w:tcPr>
            <w:tcW w:w="2260" w:type="dxa"/>
            <w:vAlign w:val="bottom"/>
            <w:tcBorders>
              <w:top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Milwaukee, WI</w:t>
            </w:r>
          </w:p>
        </w:tc>
        <w:tc>
          <w:tcPr>
            <w:tcW w:w="2480" w:type="dxa"/>
            <w:vAlign w:val="bottom"/>
            <w:tcBorders>
              <w:top w:val="single" w:sz="8" w:color="auto"/>
            </w:tcBorders>
            <w:shd w:val="clear" w:color="auto" w:fill="CCEEFF"/>
          </w:tcPr>
          <w:p>
            <w:pPr>
              <w:jc w:val="center"/>
              <w:ind w:left="62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Ashburn, GA*</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Minneota, MN*</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Auburndale, FL*</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Mocksville, NC</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Bartow, FL</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Morristown, TN</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Blue Island, IL*</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Muscle Shoals, AL</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Butner, NC</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Nappanee, IN</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Chandler, AZ*</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London, WI</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Clarksville, TX</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Newnan, GA</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Clearfield, UT*</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Orangeburg, SC</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Dallas, TX</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Peru, IL</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Delano, PA</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Port Arthur, TX</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Eatonton, GA</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Prattville, AL</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Flower Mound, TX</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Riverside, CA*</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Gilmer, TX</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Robertsdale, AL</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 Rapids, MI</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Rowesville, SC</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Grandview, TX</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Salina, KS*</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Harrisonville, MO*</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Salisbury, NC*</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Hartford, WI</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Shawnee, OK</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Hazelhurst, GA</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Shipshewana, IN</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Inwood, WV</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Siler City, NC</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Kansas City, MO</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Snohomish, WA*</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Las Vegas, NV</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Stayton, OR*</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Lawrenceburg, TN</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Thornton, CA*</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Livermore Falls, ME</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Warrens, WI*</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Magna, UT*</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Woodburn, OR*</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Martin, TN</w:t>
            </w:r>
          </w:p>
        </w:tc>
        <w:tc>
          <w:tcPr>
            <w:tcW w:w="2260" w:type="dxa"/>
            <w:vAlign w:val="bottom"/>
            <w:tcBorders>
              <w:bottom w:val="single" w:sz="8" w:color="CCEEFF"/>
            </w:tcBorders>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Borders>
              <w:bottom w:val="single" w:sz="8" w:color="CCEEFF"/>
            </w:tcBorders>
          </w:tcPr>
          <w:p>
            <w:pPr>
              <w:spacing w:after="0"/>
              <w:rPr>
                <w:sz w:val="12"/>
                <w:szCs w:val="12"/>
                <w:color w:val="auto"/>
              </w:rPr>
            </w:pPr>
          </w:p>
        </w:tc>
        <w:tc>
          <w:tcPr>
            <w:tcW w:w="206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Yakima, WA</w:t>
            </w:r>
          </w:p>
        </w:tc>
        <w:tc>
          <w:tcPr>
            <w:tcW w:w="2480" w:type="dxa"/>
            <w:vAlign w:val="bottom"/>
            <w:tcBorders>
              <w:bottom w:val="single" w:sz="8" w:color="auto"/>
            </w:tcBorders>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McMinnville, OR*</w:t>
            </w:r>
          </w:p>
        </w:tc>
        <w:tc>
          <w:tcPr>
            <w:tcW w:w="2260" w:type="dxa"/>
            <w:vAlign w:val="bottom"/>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shd w:val="clear" w:color="auto" w:fill="CCEEFF"/>
          </w:tcPr>
          <w:p>
            <w:pPr>
              <w:jc w:val="center"/>
              <w:ind w:left="6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61</w:t>
            </w:r>
          </w:p>
        </w:tc>
        <w:tc>
          <w:tcPr>
            <w:tcW w:w="0" w:type="dxa"/>
            <w:vAlign w:val="bottom"/>
          </w:tcPr>
          <w:p>
            <w:pPr>
              <w:spacing w:after="0"/>
              <w:rPr>
                <w:sz w:val="1"/>
                <w:szCs w:val="1"/>
                <w:color w:val="auto"/>
              </w:rPr>
            </w:pPr>
          </w:p>
        </w:tc>
      </w:tr>
      <w:tr>
        <w:trPr>
          <w:trHeight w:val="272"/>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46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CONSTRUCTION SEGMENT</w:t>
            </w:r>
          </w:p>
        </w:tc>
        <w:tc>
          <w:tcPr>
            <w:tcW w:w="24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1960" w:type="dxa"/>
            <w:vAlign w:val="bottom"/>
            <w:vMerge w:val="continue"/>
          </w:tcPr>
          <w:p>
            <w:pPr>
              <w:spacing w:after="0"/>
              <w:rPr>
                <w:sz w:val="15"/>
                <w:szCs w:val="15"/>
                <w:color w:val="auto"/>
              </w:rPr>
            </w:pPr>
          </w:p>
        </w:tc>
        <w:tc>
          <w:tcPr>
            <w:tcW w:w="240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Athena, OR</w:t>
            </w:r>
          </w:p>
        </w:tc>
        <w:tc>
          <w:tcPr>
            <w:tcW w:w="2260" w:type="dxa"/>
            <w:vAlign w:val="bottom"/>
            <w:tcBorders>
              <w:top w:val="single" w:sz="8" w:color="auto"/>
            </w:tcBorders>
            <w:shd w:val="clear" w:color="auto" w:fill="CCEEFF"/>
          </w:tcPr>
          <w:p>
            <w:pPr>
              <w:jc w:val="center"/>
              <w:ind w:left="40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Kyle, TX</w:t>
            </w:r>
          </w:p>
        </w:tc>
        <w:tc>
          <w:tcPr>
            <w:tcW w:w="2480" w:type="dxa"/>
            <w:vAlign w:val="bottom"/>
            <w:tcBorders>
              <w:top w:val="single" w:sz="8" w:color="auto"/>
            </w:tcBorders>
            <w:shd w:val="clear" w:color="auto" w:fill="CCEEFF"/>
          </w:tcPr>
          <w:p>
            <w:pPr>
              <w:jc w:val="center"/>
              <w:ind w:left="62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Auburn, NY</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Lafayette, CO</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Belchertown, MA</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Lenoir City, TN</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Berlin, NJ</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Liberty, NC</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Berthoud, CO</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Locust, NC</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Blanchester, OH</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Londonderry, NH</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Brooklyn Center, MN</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Nampa, ID*</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Burlington, NC</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Naugatuck, CT</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Cedar Hill, TX</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London, NC*</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Charlotte, NC</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New Waverly, TX*</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Chesapeake, VA</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New Windsor, MD</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Chicopee, MA</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Ontario, CA</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Clinton, NC</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Ooltewah, TN</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Conway, SC</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Pearisburg, VA*</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Cordele, GA</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Plainville, MA</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Dayton, OH</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San Antonio, TX</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DuBois, PA</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Shippenville, PA</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Edwardsburg, MI*</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Sidney, NY</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Elkhart, IN</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Stafford, TX</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Folkston, GA</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Stanfield, NC</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Fredericksburg, VA</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Temple, TX</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Gordon, PA</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Tooele, UT</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Granger, IN*</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Twin Falls, ID</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Haleyville, AL*</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Washington, NC</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Hillsboro, TX*</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Westbury, NY</w:t>
            </w:r>
          </w:p>
        </w:tc>
        <w:tc>
          <w:tcPr>
            <w:tcW w:w="2480" w:type="dxa"/>
            <w:vAlign w:val="bottom"/>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Jefferson, GA</w:t>
            </w:r>
          </w:p>
        </w:tc>
        <w:tc>
          <w:tcPr>
            <w:tcW w:w="226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Wilton, NH</w:t>
            </w:r>
          </w:p>
        </w:tc>
        <w:tc>
          <w:tcPr>
            <w:tcW w:w="2480" w:type="dxa"/>
            <w:vAlign w:val="bottom"/>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Jeffersonville, IN</w:t>
            </w:r>
          </w:p>
        </w:tc>
        <w:tc>
          <w:tcPr>
            <w:tcW w:w="2260" w:type="dxa"/>
            <w:vAlign w:val="bottom"/>
            <w:shd w:val="clear" w:color="auto" w:fill="CCEEFF"/>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0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Wujinang, China</w:t>
            </w:r>
          </w:p>
        </w:tc>
        <w:tc>
          <w:tcPr>
            <w:tcW w:w="2480" w:type="dxa"/>
            <w:vAlign w:val="bottom"/>
            <w:tcBorders>
              <w:bottom w:val="single" w:sz="8" w:color="auto"/>
            </w:tcBorders>
            <w:shd w:val="clear" w:color="auto" w:fill="CCEEFF"/>
          </w:tcPr>
          <w:p>
            <w:pPr>
              <w:jc w:val="center"/>
              <w:ind w:left="62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8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w w:val="99"/>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4480" w:type="dxa"/>
            <w:vAlign w:val="bottom"/>
            <w:gridSpan w:val="3"/>
          </w:tcPr>
          <w:p>
            <w:pPr>
              <w:ind w:left="1660"/>
              <w:spacing w:after="0"/>
              <w:rPr>
                <w:sz w:val="20"/>
                <w:szCs w:val="20"/>
                <w:color w:val="auto"/>
              </w:rPr>
            </w:pPr>
            <w:r>
              <w:rPr>
                <w:rFonts w:ascii="Times New Roman" w:cs="Times New Roman" w:eastAsia="Times New Roman" w:hAnsi="Times New Roman"/>
                <w:sz w:val="14"/>
                <w:szCs w:val="14"/>
                <w:b w:val="1"/>
                <w:bCs w:val="1"/>
                <w:color w:val="auto"/>
              </w:rPr>
              <w:t>ALL OTHER SEGMENT</w:t>
            </w:r>
          </w:p>
        </w:tc>
        <w:tc>
          <w:tcPr>
            <w:tcW w:w="24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0" w:type="dxa"/>
            <w:vAlign w:val="bottom"/>
          </w:tcPr>
          <w:p>
            <w:pPr>
              <w:spacing w:after="0"/>
              <w:rPr>
                <w:sz w:val="1"/>
                <w:szCs w:val="1"/>
                <w:color w:val="auto"/>
              </w:rPr>
            </w:pPr>
          </w:p>
        </w:tc>
      </w:tr>
      <w:tr>
        <w:trPr>
          <w:trHeight w:val="173"/>
        </w:trPr>
        <w:tc>
          <w:tcPr>
            <w:tcW w:w="200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4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Apaseo el Grande, Mexico</w:t>
            </w:r>
          </w:p>
        </w:tc>
        <w:tc>
          <w:tcPr>
            <w:tcW w:w="2220" w:type="dxa"/>
            <w:vAlign w:val="bottom"/>
            <w:shd w:val="clear" w:color="auto" w:fill="CCEEFF"/>
          </w:tcPr>
          <w:p>
            <w:pPr>
              <w:jc w:val="center"/>
              <w:ind w:left="36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Gladstone, Australia</w:t>
            </w:r>
          </w:p>
        </w:tc>
        <w:tc>
          <w:tcPr>
            <w:tcW w:w="2420" w:type="dxa"/>
            <w:vAlign w:val="bottom"/>
            <w:shd w:val="clear" w:color="auto" w:fill="CCEEFF"/>
          </w:tcPr>
          <w:p>
            <w:pPr>
              <w:jc w:val="center"/>
              <w:ind w:left="568"/>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Bangalore, India</w:t>
            </w:r>
          </w:p>
        </w:tc>
        <w:tc>
          <w:tcPr>
            <w:tcW w:w="22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Guntur, India</w:t>
            </w:r>
          </w:p>
        </w:tc>
        <w:tc>
          <w:tcPr>
            <w:tcW w:w="242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Carole Park, Australia</w:t>
            </w:r>
          </w:p>
        </w:tc>
        <w:tc>
          <w:tcPr>
            <w:tcW w:w="22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Hyderabad, India</w:t>
            </w:r>
          </w:p>
        </w:tc>
        <w:tc>
          <w:tcPr>
            <w:tcW w:w="2420" w:type="dxa"/>
            <w:vAlign w:val="bottom"/>
            <w:shd w:val="clear" w:color="auto" w:fill="CCEEFF"/>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Castellón, Spain</w:t>
            </w:r>
          </w:p>
        </w:tc>
        <w:tc>
          <w:tcPr>
            <w:tcW w:w="22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Lacolle, Canada</w:t>
            </w:r>
          </w:p>
        </w:tc>
        <w:tc>
          <w:tcPr>
            <w:tcW w:w="242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Chennai, India</w:t>
            </w:r>
          </w:p>
        </w:tc>
        <w:tc>
          <w:tcPr>
            <w:tcW w:w="22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Mordialloc, Australia</w:t>
            </w:r>
          </w:p>
        </w:tc>
        <w:tc>
          <w:tcPr>
            <w:tcW w:w="2420" w:type="dxa"/>
            <w:vAlign w:val="bottom"/>
            <w:shd w:val="clear" w:color="auto" w:fill="CCEEFF"/>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Coimbatore, India</w:t>
            </w:r>
          </w:p>
        </w:tc>
        <w:tc>
          <w:tcPr>
            <w:tcW w:w="22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Noida, India</w:t>
            </w:r>
          </w:p>
        </w:tc>
        <w:tc>
          <w:tcPr>
            <w:tcW w:w="242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Deer Park, Australia</w:t>
            </w:r>
          </w:p>
        </w:tc>
        <w:tc>
          <w:tcPr>
            <w:tcW w:w="22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Nuevo Leon, Mexico</w:t>
            </w:r>
          </w:p>
        </w:tc>
        <w:tc>
          <w:tcPr>
            <w:tcW w:w="2420" w:type="dxa"/>
            <w:vAlign w:val="bottom"/>
            <w:shd w:val="clear" w:color="auto" w:fill="CCEEFF"/>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2</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Durango, Mexico</w:t>
            </w:r>
          </w:p>
        </w:tc>
        <w:tc>
          <w:tcPr>
            <w:tcW w:w="22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Port Melbourne, Australia</w:t>
            </w:r>
          </w:p>
        </w:tc>
        <w:tc>
          <w:tcPr>
            <w:tcW w:w="242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Erskine Park, Australia</w:t>
            </w:r>
          </w:p>
        </w:tc>
        <w:tc>
          <w:tcPr>
            <w:tcW w:w="2220" w:type="dxa"/>
            <w:vAlign w:val="bottom"/>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12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Vadodara, India</w:t>
            </w:r>
          </w:p>
        </w:tc>
        <w:tc>
          <w:tcPr>
            <w:tcW w:w="2420" w:type="dxa"/>
            <w:vAlign w:val="bottom"/>
            <w:tcBorders>
              <w:bottom w:val="single" w:sz="8" w:color="auto"/>
            </w:tcBorders>
            <w:shd w:val="clear" w:color="auto" w:fill="CCEEFF"/>
          </w:tcPr>
          <w:p>
            <w:pPr>
              <w:jc w:val="center"/>
              <w:ind w:left="5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w w:val="99"/>
              </w:rPr>
              <w:t>21</w:t>
            </w:r>
          </w:p>
        </w:tc>
        <w:tc>
          <w:tcPr>
            <w:tcW w:w="0" w:type="dxa"/>
            <w:vAlign w:val="bottom"/>
          </w:tcPr>
          <w:p>
            <w:pPr>
              <w:spacing w:after="0"/>
              <w:rPr>
                <w:sz w:val="1"/>
                <w:szCs w:val="1"/>
                <w:color w:val="auto"/>
              </w:rPr>
            </w:pPr>
          </w:p>
        </w:tc>
      </w:tr>
      <w:tr>
        <w:trPr>
          <w:trHeight w:val="272"/>
        </w:trPr>
        <w:tc>
          <w:tcPr>
            <w:tcW w:w="42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CORPORATE SEGMENT</w:t>
            </w:r>
          </w:p>
        </w:tc>
        <w:tc>
          <w:tcPr>
            <w:tcW w:w="1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22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Number of Properties</w:t>
            </w:r>
          </w:p>
        </w:tc>
        <w:tc>
          <w:tcPr>
            <w:tcW w:w="14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Grand Rapids, MI</w:t>
            </w:r>
          </w:p>
        </w:tc>
        <w:tc>
          <w:tcPr>
            <w:tcW w:w="2220" w:type="dxa"/>
            <w:vAlign w:val="bottom"/>
            <w:shd w:val="clear" w:color="auto" w:fill="CCEEFF"/>
          </w:tcPr>
          <w:p>
            <w:pPr>
              <w:jc w:val="center"/>
              <w:ind w:left="368"/>
              <w:spacing w:after="0" w:line="142" w:lineRule="exact"/>
              <w:rPr>
                <w:sz w:val="20"/>
                <w:szCs w:val="20"/>
                <w:color w:val="auto"/>
              </w:rPr>
            </w:pPr>
            <w:r>
              <w:rPr>
                <w:rFonts w:ascii="Times New Roman" w:cs="Times New Roman" w:eastAsia="Times New Roman" w:hAnsi="Times New Roman"/>
                <w:sz w:val="14"/>
                <w:szCs w:val="14"/>
                <w:color w:val="auto"/>
                <w:w w:val="85"/>
              </w:rPr>
              <w:t>2</w:t>
            </w:r>
          </w:p>
        </w:tc>
        <w:tc>
          <w:tcPr>
            <w:tcW w:w="1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Matthews, NC</w:t>
            </w:r>
          </w:p>
        </w:tc>
        <w:tc>
          <w:tcPr>
            <w:tcW w:w="222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Borders>
              <w:bottom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Bryant, AR</w:t>
            </w:r>
          </w:p>
        </w:tc>
        <w:tc>
          <w:tcPr>
            <w:tcW w:w="2220" w:type="dxa"/>
            <w:vAlign w:val="bottom"/>
            <w:tcBorders>
              <w:bottom w:val="single" w:sz="8" w:color="auto"/>
            </w:tcBorders>
            <w:shd w:val="clear" w:color="auto" w:fill="CCEEFF"/>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w w:val="85"/>
              </w:rPr>
              <w:t>1</w:t>
            </w:r>
          </w:p>
        </w:tc>
        <w:tc>
          <w:tcPr>
            <w:tcW w:w="1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20" w:type="dxa"/>
            <w:vAlign w:val="bottom"/>
          </w:tcPr>
          <w:p>
            <w:pPr>
              <w:jc w:val="center"/>
              <w:ind w:left="368"/>
              <w:spacing w:after="0" w:line="135" w:lineRule="exact"/>
              <w:rPr>
                <w:sz w:val="20"/>
                <w:szCs w:val="20"/>
                <w:color w:val="auto"/>
              </w:rPr>
            </w:pPr>
            <w:r>
              <w:rPr>
                <w:rFonts w:ascii="Times New Roman" w:cs="Times New Roman" w:eastAsia="Times New Roman" w:hAnsi="Times New Roman"/>
                <w:sz w:val="14"/>
                <w:szCs w:val="14"/>
                <w:b w:val="1"/>
                <w:bCs w:val="1"/>
                <w:color w:val="auto"/>
                <w:w w:val="85"/>
              </w:rPr>
              <w:t>4</w:t>
            </w:r>
          </w:p>
        </w:tc>
        <w:tc>
          <w:tcPr>
            <w:tcW w:w="1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4"/>
          <w:szCs w:val="14"/>
          <w:color w:val="auto"/>
        </w:rPr>
        <w:t>* Due to the nature of our business and historical operating strategy, many of our locations service more than one segment.</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own all of our properties, free from any significant mortgage or other encumbrance, except for approximately 73 facilities which are leased. We believe all of these operating facilities are adequate in capacity and condition to service our existing markets.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Information regarding our legal proceedings is set forth in Note L of our Consolidated Financial Statements which are presented under Item 8 of this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Item: Executive Officers of the Registrant.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annually by our Board of Directors. There are no family relationships among these officers and our directors nor any arrangement or understanding between any of these officers and any other person pursuant to which the officer was appointed.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lists the names, ages, and positions of our executive officers as of February 2026.</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402"/>
        </w:trPr>
        <w:tc>
          <w:tcPr>
            <w:tcW w:w="23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Age</w:t>
            </w:r>
          </w:p>
        </w:tc>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D. Schwartz, Jr.</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Missad</w:t>
            </w:r>
          </w:p>
        </w:tc>
        <w:tc>
          <w:tcPr>
            <w:tcW w:w="8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R. Cole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 Treasurer and President of Corporate Services</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M. Benton</w:t>
            </w:r>
          </w:p>
        </w:tc>
        <w:tc>
          <w:tcPr>
            <w:tcW w:w="8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UFP Construction, LLC</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A. Worthington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President of UFP Packaging, LLC</w:t>
            </w:r>
          </w:p>
        </w:tc>
        <w:tc>
          <w:tcPr>
            <w:tcW w:w="3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Landon Tarvin</w:t>
            </w:r>
          </w:p>
        </w:tc>
        <w:tc>
          <w:tcPr>
            <w:tcW w:w="8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UFP Retail Solutions, LLC</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 Paul Guerre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Secretary and Director of Corporate Compliance</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William D. Schwartz, Jr. </w:t>
      </w:r>
      <w:r>
        <w:rPr>
          <w:rFonts w:ascii="Times New Roman" w:cs="Times New Roman" w:eastAsia="Times New Roman" w:hAnsi="Times New Roman"/>
          <w:sz w:val="18"/>
          <w:szCs w:val="18"/>
          <w:color w:val="auto"/>
        </w:rPr>
        <w:t>joined us in 1998. He became Operations Vice President in 2014 and Executive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and Transportation in 2020. On July 1, 2022, he became Executive Vice President of Operations Services and on September 26, 2022, he was promoted to President of UFP Retail Solutions, LLC. On December 29, 2024, Mr. Schwartz became President and Chief Executive Officer of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Matthew J. Missad </w:t>
      </w:r>
      <w:r>
        <w:rPr>
          <w:rFonts w:ascii="Times New Roman" w:cs="Times New Roman" w:eastAsia="Times New Roman" w:hAnsi="Times New Roman"/>
          <w:sz w:val="18"/>
          <w:szCs w:val="18"/>
          <w:color w:val="auto"/>
        </w:rPr>
        <w:t>joined us in 1985. In February 1996, Mr. Missad was promoted to Executive Vice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on July 13, 2011, he was promoted to Chief Executive Officer of the Company. On January 1, 2023, Mr. Missad added the title of President of the Company. On December 29, 2024, Mr. Missad became Executive Chairman of the Board.</w:t>
      </w:r>
    </w:p>
    <w:p>
      <w:pPr>
        <w:spacing w:after="0" w:line="180"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Michael R. Cole </w:t>
      </w:r>
      <w:r>
        <w:rPr>
          <w:rFonts w:ascii="Times New Roman" w:cs="Times New Roman" w:eastAsia="Times New Roman" w:hAnsi="Times New Roman"/>
          <w:sz w:val="18"/>
          <w:szCs w:val="18"/>
          <w:color w:val="auto"/>
        </w:rPr>
        <w:t>joined us in 1993 from the international public accounting firm Deloitte &amp; Touche. In December 1999,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promoted to Vice President of Finance. On July 19, 2000, Mr. Cole became Chief Financial Officer of the Company. On December 29, 2024, Mr. Cole added the title of President of Corporate Services to his current role.</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Patrick M. Benton </w:t>
      </w:r>
      <w:r>
        <w:rPr>
          <w:rFonts w:ascii="Times New Roman" w:cs="Times New Roman" w:eastAsia="Times New Roman" w:hAnsi="Times New Roman"/>
          <w:sz w:val="18"/>
          <w:szCs w:val="18"/>
          <w:color w:val="auto"/>
        </w:rPr>
        <w:t>joined us in 1993. In 2008 he became Operations Vice President of the South Texas Region,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1, 2014, he became Executive Vice President of UFP Eastern Division – North. On February 1, 2017, Mr. Benton became President of the UFP Northern Division, and on January 1, 2020, he became President of UFP Construction, LLC.</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Scott A. Worthington </w:t>
      </w:r>
      <w:r>
        <w:rPr>
          <w:rFonts w:ascii="Times New Roman" w:cs="Times New Roman" w:eastAsia="Times New Roman" w:hAnsi="Times New Roman"/>
          <w:sz w:val="18"/>
          <w:szCs w:val="18"/>
          <w:color w:val="auto"/>
        </w:rPr>
        <w:t>joined us in 1997. In 2014, he was promoted to Regional Vice President of the South Texas Region.</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1, 2020, he became President of UFP Packaging, LLC.</w:t>
      </w:r>
    </w:p>
    <w:p>
      <w:pPr>
        <w:spacing w:after="0" w:line="205" w:lineRule="exact"/>
        <w:rPr>
          <w:sz w:val="20"/>
          <w:szCs w:val="20"/>
          <w:color w:val="auto"/>
        </w:rPr>
      </w:pPr>
    </w:p>
    <w:p>
      <w:pPr>
        <w:jc w:val="both"/>
        <w:ind w:left="60" w:right="5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Landon C. Tarvin </w:t>
      </w:r>
      <w:r>
        <w:rPr>
          <w:rFonts w:ascii="Times New Roman" w:cs="Times New Roman" w:eastAsia="Times New Roman" w:hAnsi="Times New Roman"/>
          <w:sz w:val="17"/>
          <w:szCs w:val="17"/>
          <w:color w:val="auto"/>
        </w:rPr>
        <w:t>joined us in 2002. In 2019, he was promoted to Vice President of Outdoor Essentials and in 2021, he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promoted to Vice President of Deckorators. On December 29, 2024, he became President of UFP Retail Solutions, LLC.</w:t>
      </w:r>
    </w:p>
    <w:p>
      <w:pPr>
        <w:spacing w:after="0" w:line="13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 Paul Guerre </w:t>
      </w:r>
      <w:r>
        <w:rPr>
          <w:rFonts w:ascii="Times New Roman" w:cs="Times New Roman" w:eastAsia="Times New Roman" w:hAnsi="Times New Roman"/>
          <w:sz w:val="18"/>
          <w:szCs w:val="18"/>
          <w:color w:val="auto"/>
        </w:rPr>
        <w:t>joined us in 2020 as Senior Corporate Counsel. On May 15, 2023, he was promoted to Deputy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 Compliance &amp; Administration. On July 1, 2024, he was promoted to Corporate Secretary and Director of 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Shareholder Matters and Issuer Purchases of Equity Securities.</w:t>
      </w:r>
    </w:p>
    <w:p>
      <w:pPr>
        <w:spacing w:after="0" w:line="159" w:lineRule="exact"/>
        <w:rPr>
          <w:sz w:val="20"/>
          <w:szCs w:val="20"/>
          <w:color w:val="auto"/>
        </w:rPr>
      </w:pPr>
    </w:p>
    <w:p>
      <w:pPr>
        <w:ind w:left="380" w:right="1779" w:hanging="330"/>
        <w:spacing w:after="0" w:line="500"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trades on The Nasdaq Stock Market (“NASDAQ”) under the symbol UFPI. As of January 27, 2026, there were approximately 2,531 record holders of our common stock.</w:t>
      </w:r>
    </w:p>
    <w:p>
      <w:pPr>
        <w:spacing w:after="0" w:line="1" w:lineRule="exact"/>
        <w:rPr>
          <w:rFonts w:ascii="Times New Roman" w:cs="Times New Roman" w:eastAsia="Times New Roman" w:hAnsi="Times New Roman"/>
          <w:sz w:val="18"/>
          <w:szCs w:val="18"/>
          <w:color w:val="auto"/>
        </w:rPr>
      </w:pPr>
    </w:p>
    <w:p>
      <w:pPr>
        <w:jc w:val="both"/>
        <w:ind w:left="380" w:right="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rates are typically reviewed and approved at each of our February, April, July, and October board meetings and payments are typically made in March, June, September, and December of each year. On February 12, 2026, our board approved a quarterly cash dividend of $0.36 per share, which represents a 3% increase from the quarterly dividend of $0.35 per share paid in 2025. This dividend will be payable on March 16, 2026, to shareholders of record on March 2, 2026. Our board considers our dividend yield, payout ratios relative to earnings and operating cash flow, and potential variability of future results, among other factors, as part of its decision-making process. Further declarations of dividends and the establishment of future record and payment dates are subject to approval by our board.</w:t>
      </w:r>
    </w:p>
    <w:p>
      <w:pPr>
        <w:spacing w:after="0" w:line="191" w:lineRule="exact"/>
        <w:rPr>
          <w:rFonts w:ascii="Times New Roman" w:cs="Times New Roman" w:eastAsia="Times New Roman" w:hAnsi="Times New Roman"/>
          <w:sz w:val="18"/>
          <w:szCs w:val="18"/>
          <w:color w:val="auto"/>
        </w:rPr>
      </w:pPr>
    </w:p>
    <w:p>
      <w:pPr>
        <w:ind w:left="380" w:right="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Part III - Item 12 below for information about securities authorized for issuance under our equity compensation plans.</w:t>
      </w:r>
    </w:p>
    <w:p>
      <w:pPr>
        <w:spacing w:after="0" w:line="16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Performance Graph:</w:t>
      </w:r>
    </w:p>
    <w:p>
      <w:pPr>
        <w:spacing w:after="0" w:line="225" w:lineRule="exact"/>
        <w:rPr>
          <w:rFonts w:ascii="Times New Roman" w:cs="Times New Roman" w:eastAsia="Times New Roman" w:hAnsi="Times New Roman"/>
          <w:sz w:val="18"/>
          <w:szCs w:val="18"/>
          <w:color w:val="auto"/>
        </w:rPr>
      </w:pPr>
    </w:p>
    <w:p>
      <w:pPr>
        <w:jc w:val="both"/>
        <w:ind w:left="3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stock price performance graph compares the annual percentage change in the cumulative total return on our common stock with the cumulative total returns of companies comprising the NASDAQ US Benchmark TR index and an industry peer group we selected. The graph assumes an investment of $100 on December 26, 2020,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54980" cy="3034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companies included in our self-determined industry peer group are as follows:</w:t>
      </w:r>
    </w:p>
    <w:p>
      <w:pPr>
        <w:sectPr>
          <w:pgSz w:w="11900" w:h="16838" w:orient="portrait"/>
          <w:cols w:equalWidth="0" w:num="1">
            <w:col w:w="9019"/>
          </w:cols>
          <w:pgMar w:left="1440" w:top="513" w:right="1440" w:bottom="1440" w:gutter="0" w:footer="0" w:header="0"/>
        </w:sectPr>
      </w:pP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American Woodmark Corporation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Masco Corporation</w:t>
      </w:r>
    </w:p>
    <w:p>
      <w:pPr>
        <w:spacing w:after="0" w:line="129" w:lineRule="exact"/>
        <w:rPr>
          <w:sz w:val="20"/>
          <w:szCs w:val="20"/>
          <w:color w:val="auto"/>
        </w:rPr>
      </w:pPr>
    </w:p>
    <w:p>
      <w:pPr>
        <w:sectPr>
          <w:pgSz w:w="11900" w:h="16838" w:orient="portrait"/>
          <w:cols w:equalWidth="0" w:num="2">
            <w:col w:w="3220" w:space="580"/>
            <w:col w:w="5219"/>
          </w:cols>
          <w:pgMar w:left="1440" w:top="513"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7"/>
          <w:szCs w:val="17"/>
          <w:color w:val="auto"/>
        </w:rPr>
        <w:t>Boise Cascade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Patrick Industries, Inc.</w:t>
      </w:r>
    </w:p>
    <w:p>
      <w:pPr>
        <w:spacing w:after="0" w:line="129" w:lineRule="exact"/>
        <w:rPr>
          <w:sz w:val="20"/>
          <w:szCs w:val="20"/>
          <w:color w:val="auto"/>
        </w:rPr>
      </w:pPr>
    </w:p>
    <w:p>
      <w:pPr>
        <w:sectPr>
          <w:pgSz w:w="11900" w:h="16838" w:orient="portrait"/>
          <w:cols w:equalWidth="0" w:num="2">
            <w:col w:w="3080" w:space="720"/>
            <w:col w:w="5219"/>
          </w:cols>
          <w:pgMar w:left="1440" w:top="513"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7"/>
          <w:szCs w:val="17"/>
          <w:color w:val="auto"/>
        </w:rPr>
        <w:t>Builders FirstSource,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Simpson Manufacturing Company, Inc.</w:t>
      </w:r>
    </w:p>
    <w:p>
      <w:pPr>
        <w:spacing w:after="0" w:line="129" w:lineRule="exact"/>
        <w:rPr>
          <w:sz w:val="20"/>
          <w:szCs w:val="20"/>
          <w:color w:val="auto"/>
        </w:rPr>
      </w:pPr>
    </w:p>
    <w:p>
      <w:pPr>
        <w:sectPr>
          <w:pgSz w:w="11900" w:h="16838" w:orient="portrait"/>
          <w:cols w:equalWidth="0" w:num="2">
            <w:col w:w="3080" w:space="720"/>
            <w:col w:w="5219"/>
          </w:cols>
          <w:pgMar w:left="1440" w:top="513"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7"/>
          <w:szCs w:val="17"/>
          <w:color w:val="auto"/>
        </w:rPr>
        <w:t>Gibraltar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Smurfit Westrock plc</w:t>
      </w:r>
    </w:p>
    <w:p>
      <w:pPr>
        <w:spacing w:after="0" w:line="129" w:lineRule="exact"/>
        <w:rPr>
          <w:sz w:val="20"/>
          <w:szCs w:val="20"/>
          <w:color w:val="auto"/>
        </w:rPr>
      </w:pPr>
    </w:p>
    <w:p>
      <w:pPr>
        <w:sectPr>
          <w:pgSz w:w="11900" w:h="16838" w:orient="portrait"/>
          <w:cols w:equalWidth="0" w:num="2">
            <w:col w:w="3080" w:space="720"/>
            <w:col w:w="5219"/>
          </w:cols>
          <w:pgMar w:left="1440" w:top="513"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7"/>
          <w:szCs w:val="17"/>
          <w:color w:val="auto"/>
        </w:rPr>
        <w:t>Greif,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Sonoco Products Company</w:t>
      </w:r>
    </w:p>
    <w:p>
      <w:pPr>
        <w:spacing w:after="0" w:line="129" w:lineRule="exact"/>
        <w:rPr>
          <w:sz w:val="20"/>
          <w:szCs w:val="20"/>
          <w:color w:val="auto"/>
        </w:rPr>
      </w:pPr>
    </w:p>
    <w:p>
      <w:pPr>
        <w:sectPr>
          <w:pgSz w:w="11900" w:h="16838" w:orient="portrait"/>
          <w:cols w:equalWidth="0" w:num="2">
            <w:col w:w="3080" w:space="720"/>
            <w:col w:w="5219"/>
          </w:cols>
          <w:pgMar w:left="1440" w:top="513" w:right="1440"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7"/>
          <w:szCs w:val="17"/>
          <w:color w:val="auto"/>
        </w:rPr>
        <w:t>Louisiana-Pacific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Trex Company, Inc.</w:t>
      </w:r>
    </w:p>
    <w:p>
      <w:pPr>
        <w:spacing w:after="0" w:line="200" w:lineRule="exact"/>
        <w:rPr>
          <w:sz w:val="20"/>
          <w:szCs w:val="20"/>
          <w:color w:val="auto"/>
        </w:rPr>
      </w:pPr>
    </w:p>
    <w:p>
      <w:pPr>
        <w:sectPr>
          <w:pgSz w:w="11900" w:h="16838" w:orient="portrait"/>
          <w:cols w:equalWidth="0" w:num="2">
            <w:col w:w="3080" w:space="720"/>
            <w:col w:w="5219"/>
          </w:cols>
          <w:pgMar w:left="1440" w:top="513" w:right="1440" w:bottom="1440" w:gutter="0" w:footer="0" w:header="0"/>
          <w:type w:val="continuous"/>
        </w:sectPr>
      </w:pPr>
    </w:p>
    <w:p>
      <w:pPr>
        <w:spacing w:after="0" w:line="37" w:lineRule="exact"/>
        <w:rPr>
          <w:sz w:val="20"/>
          <w:szCs w:val="20"/>
          <w:color w:val="auto"/>
        </w:rPr>
      </w:pPr>
    </w:p>
    <w:p>
      <w:pPr>
        <w:jc w:val="both"/>
        <w:ind w:left="380" w:right="59"/>
        <w:spacing w:after="0" w:line="261" w:lineRule="auto"/>
        <w:rPr>
          <w:sz w:val="20"/>
          <w:szCs w:val="20"/>
          <w:color w:val="auto"/>
        </w:rPr>
      </w:pPr>
      <w:r>
        <w:rPr>
          <w:rFonts w:ascii="Times New Roman" w:cs="Times New Roman" w:eastAsia="Times New Roman" w:hAnsi="Times New Roman"/>
          <w:sz w:val="18"/>
          <w:szCs w:val="18"/>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Director Compensation Plan</w:t>
      </w:r>
    </w:p>
    <w:p>
      <w:pPr>
        <w:spacing w:after="0" w:line="227" w:lineRule="exact"/>
        <w:rPr>
          <w:sz w:val="20"/>
          <w:szCs w:val="20"/>
          <w:color w:val="auto"/>
        </w:rPr>
      </w:pPr>
    </w:p>
    <w:p>
      <w:pPr>
        <w:jc w:val="both"/>
        <w:ind w:left="380" w:right="59"/>
        <w:spacing w:after="0" w:line="256" w:lineRule="auto"/>
        <w:rPr>
          <w:sz w:val="20"/>
          <w:szCs w:val="20"/>
          <w:color w:val="auto"/>
        </w:rPr>
      </w:pPr>
      <w:r>
        <w:rPr>
          <w:rFonts w:ascii="Times New Roman" w:cs="Times New Roman" w:eastAsia="Times New Roman" w:hAnsi="Times New Roman"/>
          <w:sz w:val="18"/>
          <w:szCs w:val="18"/>
          <w:color w:val="auto"/>
        </w:rPr>
        <w:t>A portion of the annual retainer payable to each of our non-employee directors (such portion for each director was $135,000 for 2025) is paid in shares of our common stock. The retainer is deemed earned in equal quarterly installments on February 1, May 1, August 1, and November 1. We use the market price per share on each such installment date (or the preceding trading day if there were no trades on that installment date) to determine the number of shares issuable to each non-employee director, and except as described below, the shares are issued to the director within five business days.</w:t>
      </w:r>
    </w:p>
    <w:p>
      <w:pPr>
        <w:spacing w:after="0" w:line="187" w:lineRule="exact"/>
        <w:rPr>
          <w:sz w:val="20"/>
          <w:szCs w:val="20"/>
          <w:color w:val="auto"/>
        </w:rPr>
      </w:pPr>
    </w:p>
    <w:p>
      <w:pPr>
        <w:jc w:val="both"/>
        <w:ind w:left="380" w:right="59"/>
        <w:spacing w:after="0" w:line="253" w:lineRule="auto"/>
        <w:rPr>
          <w:sz w:val="20"/>
          <w:szCs w:val="20"/>
          <w:color w:val="auto"/>
        </w:rPr>
      </w:pPr>
      <w:r>
        <w:rPr>
          <w:rFonts w:ascii="Times New Roman" w:cs="Times New Roman" w:eastAsia="Times New Roman" w:hAnsi="Times New Roman"/>
          <w:sz w:val="18"/>
          <w:szCs w:val="18"/>
          <w:color w:val="auto"/>
        </w:rPr>
        <w:t>We maintain a Director Compensation Plan (the “Plan”) pursuant to which non-employee directors can elect to (1) receive shares of our common stock, on a deferred basis, in lieu of all or a portion of the annual retainer payable to the director in cash (which deferred cash is used to purchase our common stock on a deferred basis at the rate of 110% of the deferred cash amount), and/or (2) defer receipt of all or a portion of the annual retainer payable to the director in the form of our common stock. Any shares of common stock issuable to a director on a deferred basis pursuant to the Plan are not actually issued until the deferred payment date specified pursuant to the Plan, which is typically after a director’s retirement from the Board. However, on the date such shares are deemed earned by the director, we issue deferred stock units (“DSUs”) to a bookkeeping account for each director to represent the shares issuable in the future pursuant to the Plan. Directors who have DSUs credited to their account pursuant to the Plan receive additional DSUs credited to their account whenever a dividend is paid on the Company’s common stock.</w:t>
      </w:r>
    </w:p>
    <w:p>
      <w:pPr>
        <w:spacing w:after="0" w:line="194" w:lineRule="exact"/>
        <w:rPr>
          <w:sz w:val="20"/>
          <w:szCs w:val="20"/>
          <w:color w:val="auto"/>
        </w:rPr>
      </w:pPr>
    </w:p>
    <w:p>
      <w:pPr>
        <w:jc w:val="both"/>
        <w:ind w:left="380" w:right="59"/>
        <w:spacing w:after="0" w:line="258" w:lineRule="auto"/>
        <w:rPr>
          <w:sz w:val="20"/>
          <w:szCs w:val="20"/>
          <w:color w:val="auto"/>
        </w:rPr>
      </w:pPr>
      <w:r>
        <w:rPr>
          <w:rFonts w:ascii="Times New Roman" w:cs="Times New Roman" w:eastAsia="Times New Roman" w:hAnsi="Times New Roman"/>
          <w:sz w:val="18"/>
          <w:szCs w:val="18"/>
          <w:color w:val="auto"/>
        </w:rPr>
        <w:t>On November 1, 2025, the Company issued 1,098 shares of its common stock to non-employee directors as part of the annual retainer payable to directors in stock (i.e., shares that were issued on a current basis and not deferred pursuant to the Plan). The Company issued all shares described in this paragraph pursuant to an exemption from registration under Section 4(2) of the Securities Act of 1933 due to the fact that the issuance of the shares was made on a private basis pursuant to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jc w:val="both"/>
        <w:ind w:left="380" w:right="59"/>
        <w:spacing w:after="0" w:line="252" w:lineRule="auto"/>
        <w:rPr>
          <w:sz w:val="20"/>
          <w:szCs w:val="20"/>
          <w:color w:val="auto"/>
        </w:rPr>
      </w:pPr>
      <w:r>
        <w:rPr>
          <w:rFonts w:ascii="Times New Roman" w:cs="Times New Roman" w:eastAsia="Times New Roman" w:hAnsi="Times New Roman"/>
          <w:sz w:val="18"/>
          <w:szCs w:val="18"/>
          <w:color w:val="auto"/>
        </w:rPr>
        <w:t>We maintain a Deferred Compensation Plan (the “DCP”) which allows key employees to defer a portion of their salary and/or cash incentive compensation. Participants in the DCP may elect to invest the deferred amounts in certain investment alternatives, including our common stock. Also, under the DCP, if a key employee’s ownership of our common stock is below certain targeted thresholds, the amount of deferral must be used to invest in shares of our common stock. All amounts deferred to the DCP that are invested in our common stock are invested at a price per share representing a 15% discount to the prevailing market price of our stock. In general, each employee receives a payout of his or her DCP account one year from the date her or she terminates employment with the Company, unless termination of employment is due to retirement, death or change in control, in which case the employee or his or her beneficiary may receive the distribution earlier, subject to DCP provisions. The Company issued all shares described in this paragraph pursuant to an exemption under Section 4(2) of the Securities Act of 1933 due to the fact that the issuance of the shares was made on a private basis pursuant to the DCP. On February 20, 2025, we issued a total of 70,528 shares to employees who elected to defer a portion of their annual incentive bonus into our common stock. In addition, shares were issued on the respective employees’ last payroll dates in each month. During the fiscal year ended December 27, 2025 we issued 43,218 shares over the course of the year to employees who elected to defer a portion of their salaries into our common stock, which were as follows:</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80"/>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shares issued</w:t>
            </w:r>
          </w:p>
        </w:tc>
      </w:tr>
      <w:tr>
        <w:trPr>
          <w:trHeight w:val="216"/>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2025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27,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27,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24,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29,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May 30,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26,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August 28,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29,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September 25,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November 26,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28, 2025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December 24, 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6"/>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03"/>
        </w:trPr>
        <w:tc>
          <w:tcPr>
            <w:tcW w:w="61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common stock shares issued</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43,218</w:t>
            </w: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 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  Issuer purchases of equity securities during the fourth quarter:</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(1)</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(2)</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426"/>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28 - November 1, 2025</w:t>
            </w:r>
          </w:p>
        </w:tc>
        <w:tc>
          <w:tcPr>
            <w:tcW w:w="1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804,516</w:t>
            </w:r>
          </w:p>
        </w:tc>
        <w:tc>
          <w:tcPr>
            <w:tcW w:w="16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$ 91.07</w:t>
            </w: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804,516</w:t>
            </w:r>
          </w:p>
        </w:tc>
        <w:tc>
          <w:tcPr>
            <w:tcW w:w="1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$ 204,769,928</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2 - 29, 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774,418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774,418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134,986,695</w:t>
            </w:r>
          </w:p>
        </w:tc>
      </w:tr>
      <w:tr>
        <w:trPr>
          <w:trHeight w:val="43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30 - December 27, 2025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125,989,005</w:t>
            </w:r>
          </w:p>
        </w:tc>
      </w:tr>
    </w:tbl>
    <w:p>
      <w:pPr>
        <w:spacing w:after="0" w:line="126" w:lineRule="exact"/>
        <w:rPr>
          <w:sz w:val="20"/>
          <w:szCs w:val="20"/>
          <w:color w:val="auto"/>
        </w:rPr>
      </w:pPr>
    </w:p>
    <w:p>
      <w:pPr>
        <w:jc w:val="both"/>
        <w:ind w:left="60" w:right="79"/>
        <w:spacing w:after="0" w:line="241" w:lineRule="auto"/>
        <w:rPr>
          <w:sz w:val="20"/>
          <w:szCs w:val="20"/>
          <w:color w:val="auto"/>
        </w:rPr>
      </w:pPr>
      <w:r>
        <w:rPr>
          <w:rFonts w:ascii="Times New Roman" w:cs="Times New Roman" w:eastAsia="Times New Roman" w:hAnsi="Times New Roman"/>
          <w:sz w:val="14"/>
          <w:szCs w:val="14"/>
          <w:color w:val="auto"/>
        </w:rPr>
        <w:t>Note: October includes 84 shares tendered by certain employees of the Company (and repurchased by the Company) in order to satisfy their respective tax withholding obligations resulting from the vesting of restricted stock awards. The Company treats these share repurchases against its board approved share repurchase authorizations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14141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7"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number of shares purchased.</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w:t>
      </w:r>
    </w:p>
    <w:p>
      <w:pPr>
        <w:ind w:left="380" w:hanging="330"/>
        <w:spacing w:after="0" w:line="22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number of shares purchased as part of publicly announced plans or programs.</w:t>
      </w: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dollar value of shares that may yet be purchased under the plans or programs as of the end of the respective month.</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and effective as of July 23, 2025, our board authorized the repurchase of up to $300 million worth of shares of our common stock through the period ending July 31, 2026, which supersedes and replaces prior authorizations.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the United States, Mexico, Canada, Spain, India and Australia that design, manufacture, and supply products made from wood, wood and non-wood composites, and other materials to three segments: retail, packaging, and construction. We are headquartered in Grand Rapids, Michigan.</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 included under Item 1A above.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pleased to present this overview of 2025. Our results for 2025 include the following highlights:</w:t>
      </w:r>
    </w:p>
    <w:p>
      <w:pPr>
        <w:spacing w:after="0" w:line="225" w:lineRule="exact"/>
        <w:rPr>
          <w:sz w:val="20"/>
          <w:szCs w:val="20"/>
          <w:color w:val="auto"/>
        </w:rPr>
      </w:pPr>
    </w:p>
    <w:p>
      <w:pPr>
        <w:jc w:val="both"/>
        <w:ind w:left="720" w:right="79" w:hanging="319"/>
        <w:spacing w:after="0" w:line="25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5% compared to 2024, which was comprised of a 2% decrease in selling prices and a 3% decrease in unit sales. The overall decrease in our selling prices is primarily due to more competitive pricing in our Site-Built business unit. The overall organic unit decline consists of a 7% decrease in our Retail segment and a 1% decrease in our Packaging segment, while unit sales in our Construction segment were flat compared to 2024. An acquired business contributed a 1% unit increase in our Packaging segment. We believe we maintained or gained market share in each of our business units.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$167 million, or 14%, compared to last year, exceeding our 3% decrease in unit sales. By segment, gross profits decreased by $81 million in Construction, $36 million in Packaging, and $43 million in Retail. The overall decrease in our gross profits is primarily due to the decline in unit sales as a result of weaker demand, which also resulted in more competitive pricing.</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$128 million, or 26%, compared to last year. The overall decrease is a result of the decline in gross profits above which was partially offset by a $44 million decrease in selling, general, and administrative (“SG&amp;A”) expenses. The decrease in SG&amp;A is due to our cost reduction efforts totaling $40 million and our incentive compensation plans (bonus and sales incentives) totaling $24 million. These decreases in SG&amp;A were partially offset by a $20 million increase in advertising costs to build brand awareness of our Deckorators’ Surestone™ composite decking.</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in 2025 were $546 million compared to $643 million in 2024. The $97 million decline resulted primarily from the change in our investment in net working capital, which was $54 million higher in 2025 than 2024. In 2025, working capital increased by $3 million, reflecting a $35 million decrease in current assets and a $38 million decrease in current liabilities. The prior year included a $53 million net decrease in working capital comprised of a $54 million decrease in current assets and $3 million decrease in current liabilities. Additionally, net earnings and non-cash expenses decreased $43 million compared to the prior year due to the factors stated above.</w:t>
      </w:r>
    </w:p>
    <w:p>
      <w:pPr>
        <w:spacing w:after="0" w:line="18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invested $269 million in capital expenditures, which was comprised of expansionary and efficiency capital expenditures, to support and grow our existing businesses, totaling $163 million, maintenance capital expenditures totaling $106 million, and $18 million invested in business combinations.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returned $82 million to our shareholders through dividends. We repurchased 4,498,835 shares of our common stock for $443 million, at an average price of $98.39 per share. Of this amount, 87,327 shares were repurchased in order to settle tax withholding obligations of long-term stock incentive plan participants’ awards that vested in 2025. These shares were purchased at an average price of $109.83 per share, totaling $10 million.</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2025 was $914 million compared to $1.2 billion at the end of 2024. Our unused borrowing capacity under our revolving credit facility and a shelf agreement with certain lenders along with our cash resulted in total liquidity of approximately $2.2 billion at the end of December 2025. We plan to continue to pursue a balanced and return driven approach to capital allocation focused on continuing to increase our dividend at a rate that is aligned with our anticipated long-term earnings growth rate, repurchasing our common stock to offset dilution from issuances under our equity-based compensation programs, making capital investments needed to execute our organic growth and operating improvement strategies, and completing business acquisitions that complement our existing businesses and provide new avenues for growth. We will opportunistically increase repurchases of our stock when the price reaches a pre-determined level that we believe represents an attractive investment.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Random Lengths framing lumber composite price.</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Random Lengths Composite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Average $/MBF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0" w:type="dxa"/>
            <w:vAlign w:val="bottom"/>
          </w:tcPr>
          <w:p>
            <w:pPr>
              <w:ind w:left="2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62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3"/>
                <w:szCs w:val="13"/>
                <w:color w:val="auto"/>
              </w:rPr>
            </w:pPr>
          </w:p>
        </w:tc>
        <w:tc>
          <w:tcPr>
            <w:tcW w:w="420" w:type="dxa"/>
            <w:vAlign w:val="bottom"/>
            <w:gridSpan w:val="2"/>
          </w:tcPr>
          <w:p>
            <w:pPr>
              <w:jc w:val="right"/>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December</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Annual average</w:t>
            </w:r>
          </w:p>
        </w:tc>
        <w:tc>
          <w:tcPr>
            <w:tcW w:w="27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Annual percentage change</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approximately 75% of our total lumber purchases.</w:t>
      </w:r>
    </w:p>
    <w:tbl>
      <w:tblPr>
        <w:tblLayout w:type="fixed"/>
        <w:tblInd w:w="4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5"/>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Random Lengths SYP</w:t>
            </w:r>
          </w:p>
        </w:tc>
      </w:tr>
      <w:tr>
        <w:trPr>
          <w:trHeight w:val="180"/>
        </w:trPr>
        <w:tc>
          <w:tcPr>
            <w:tcW w:w="31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$/MBF</w:t>
            </w:r>
          </w:p>
        </w:tc>
      </w:tr>
      <w:tr>
        <w:trPr>
          <w:trHeight w:val="155"/>
        </w:trPr>
        <w:tc>
          <w:tcPr>
            <w:tcW w:w="3140" w:type="dxa"/>
            <w:vAlign w:val="bottom"/>
          </w:tcPr>
          <w:p>
            <w:pPr>
              <w:spacing w:after="0"/>
              <w:rPr>
                <w:sz w:val="13"/>
                <w:szCs w:val="13"/>
                <w:color w:val="auto"/>
              </w:rPr>
            </w:pPr>
          </w:p>
        </w:tc>
        <w:tc>
          <w:tcPr>
            <w:tcW w:w="3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tcBorders>
            <w:gridSpan w:val="2"/>
          </w:tcPr>
          <w:p>
            <w:pPr>
              <w:jc w:val="right"/>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r>
      <w:tr>
        <w:trPr>
          <w:trHeight w:val="21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3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average</w:t>
            </w:r>
          </w:p>
        </w:tc>
        <w:tc>
          <w:tcPr>
            <w:tcW w:w="40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percentage change</w:t>
            </w:r>
          </w:p>
        </w:tc>
        <w:tc>
          <w:tcPr>
            <w:tcW w:w="3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6"/>
        </w:trPr>
        <w:tc>
          <w:tcPr>
            <w:tcW w:w="3140" w:type="dxa"/>
            <w:vAlign w:val="bottom"/>
          </w:tcPr>
          <w:p>
            <w:pPr>
              <w:spacing w:after="0"/>
              <w:rPr>
                <w:sz w:val="24"/>
                <w:szCs w:val="24"/>
                <w:color w:val="auto"/>
              </w:rPr>
            </w:pPr>
          </w:p>
        </w:tc>
        <w:tc>
          <w:tcPr>
            <w:tcW w:w="3880" w:type="dxa"/>
            <w:vAlign w:val="bottom"/>
          </w:tcPr>
          <w:p>
            <w:pPr>
              <w:jc w:val="right"/>
              <w:ind w:right="2376"/>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Finally, a Spruce Pine Fir (“SPF”) composite price, which we prepare and use, is presented below. Our purchases of this species comprise approximately 12% of our total lumber purchases.</w:t>
      </w:r>
    </w:p>
    <w:tbl>
      <w:tblPr>
        <w:tblLayout w:type="fixed"/>
        <w:tblInd w:w="4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jc w:val="center"/>
              <w:ind w:right="91"/>
              <w:spacing w:after="0" w:line="137" w:lineRule="exact"/>
              <w:rPr>
                <w:sz w:val="20"/>
                <w:szCs w:val="20"/>
                <w:color w:val="auto"/>
              </w:rPr>
            </w:pPr>
            <w:r>
              <w:rPr>
                <w:rFonts w:ascii="Times New Roman" w:cs="Times New Roman" w:eastAsia="Times New Roman" w:hAnsi="Times New Roman"/>
                <w:sz w:val="14"/>
                <w:szCs w:val="14"/>
                <w:b w:val="1"/>
                <w:bCs w:val="1"/>
                <w:color w:val="auto"/>
              </w:rPr>
              <w:t>Random Lengths SPF</w:t>
            </w:r>
          </w:p>
        </w:tc>
      </w:tr>
      <w:tr>
        <w:trPr>
          <w:trHeight w:val="180"/>
        </w:trPr>
        <w:tc>
          <w:tcPr>
            <w:tcW w:w="44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Average $/MBF</w:t>
            </w:r>
          </w:p>
        </w:tc>
      </w:tr>
      <w:tr>
        <w:trPr>
          <w:trHeight w:val="155"/>
        </w:trPr>
        <w:tc>
          <w:tcPr>
            <w:tcW w:w="4420" w:type="dxa"/>
            <w:vAlign w:val="bottom"/>
          </w:tcPr>
          <w:p>
            <w:pPr>
              <w:spacing w:after="0"/>
              <w:rPr>
                <w:sz w:val="13"/>
                <w:szCs w:val="13"/>
                <w:color w:val="auto"/>
              </w:rPr>
            </w:pPr>
          </w:p>
        </w:tc>
        <w:tc>
          <w:tcPr>
            <w:tcW w:w="2600" w:type="dxa"/>
            <w:vAlign w:val="bottom"/>
          </w:tcPr>
          <w:p>
            <w:pPr>
              <w:ind w:left="25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70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2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4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average</w:t>
            </w:r>
          </w:p>
        </w:tc>
        <w:tc>
          <w:tcPr>
            <w:tcW w:w="27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4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percentage change</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Overall lumber prices in 2025 have increased compared to 2024 despite overall weak demand in the end markets that primarily consume softwood lumber – new housing, housing repair and remodel activity, and industrial (including packaging) – as a result of higher duties on Canadian lumber imported to the United States and capacity curtailments in the U.S. and Canada.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41.6% and 40.4% of our net sales in 2025 and 2024,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Our gross margins are impacted by (1) the relative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the Lumber Market (i.e. whether prices are higher or lower from comparative periods), and (2)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720" w:right="79" w:hanging="319"/>
        <w:spacing w:after="0" w:line="25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profits.</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720" w:right="79" w:hanging="319"/>
        <w:spacing w:after="0" w:line="254"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21% of our total net sales in 2025.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We estimate that 13% of our total purchases for 2025 were completed under these programs. (</w:t>
      </w:r>
      <w:r>
        <w:rPr>
          <w:rFonts w:ascii="Times New Roman" w:cs="Times New Roman" w:eastAsia="Times New Roman" w:hAnsi="Times New Roman"/>
          <w:sz w:val="18"/>
          <w:szCs w:val="18"/>
          <w:i w:val="1"/>
          <w:iCs w:val="1"/>
          <w:color w:val="auto"/>
        </w:rPr>
        <w:t>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the “Risk Factors” in Item 1A above for more information.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impact of the Lumber Market </w:t>
      </w:r>
      <w:r>
        <w:rPr>
          <w:rFonts w:ascii="Times New Roman" w:cs="Times New Roman" w:eastAsia="Times New Roman" w:hAnsi="Times New Roman"/>
          <w:sz w:val="18"/>
          <w:szCs w:val="18"/>
          <w:u w:val="single" w:color="auto"/>
          <w:color w:val="auto"/>
        </w:rPr>
        <w:t>trends</w:t>
      </w:r>
      <w:r>
        <w:rPr>
          <w:rFonts w:ascii="Times New Roman" w:cs="Times New Roman" w:eastAsia="Times New Roman" w:hAnsi="Times New Roman"/>
          <w:sz w:val="18"/>
          <w:szCs w:val="18"/>
          <w:color w:val="auto"/>
        </w:rPr>
        <w:t xml:space="preserve"> on gross margins, changes in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sold with our change in gross profits, selling, general, and administrative expenses, and operating profits as presented in the following table.</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Annual Percentage Change from</w:t>
            </w:r>
          </w:p>
        </w:tc>
      </w:tr>
      <w:tr>
        <w:trPr>
          <w:trHeight w:val="155"/>
        </w:trPr>
        <w:tc>
          <w:tcPr>
            <w:tcW w:w="6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696"/>
              <w:spacing w:after="0" w:line="149" w:lineRule="exact"/>
              <w:rPr>
                <w:sz w:val="20"/>
                <w:szCs w:val="20"/>
                <w:color w:val="auto"/>
              </w:rPr>
            </w:pPr>
            <w:r>
              <w:rPr>
                <w:rFonts w:ascii="Times New Roman" w:cs="Times New Roman" w:eastAsia="Times New Roman" w:hAnsi="Times New Roman"/>
                <w:sz w:val="14"/>
                <w:szCs w:val="14"/>
                <w:b w:val="1"/>
                <w:bCs w:val="1"/>
                <w:color w:val="auto"/>
              </w:rPr>
              <w:t>Prior Year Ended</w:t>
            </w:r>
          </w:p>
        </w:tc>
      </w:tr>
      <w:tr>
        <w:trPr>
          <w:trHeight w:val="124"/>
        </w:trPr>
        <w:tc>
          <w:tcPr>
            <w:tcW w:w="6260" w:type="dxa"/>
            <w:vAlign w:val="bottom"/>
          </w:tcPr>
          <w:p>
            <w:pPr>
              <w:ind w:left="614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140" w:type="dxa"/>
            <w:vAlign w:val="bottom"/>
          </w:tcPr>
          <w:p>
            <w:pPr>
              <w:jc w:val="right"/>
              <w:ind w:right="119"/>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ind w:right="116"/>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0"/>
        </w:trPr>
        <w:tc>
          <w:tcPr>
            <w:tcW w:w="6360" w:type="dxa"/>
            <w:vAlign w:val="bottom"/>
            <w:gridSpan w:val="2"/>
          </w:tcPr>
          <w:p>
            <w:pPr>
              <w:ind w:left="616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(23.9)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results above reflect the impact of generally weaker demand across most of the end markets we serve as well as more competitive pricing and higher material costs for most of 2025. Notwithstanding our recent results, it is our long-term goal to increase our gross profits and earnings from operations at a rate of growth that exceeds our unit sales growth, or in other words, increase our profit per unit sold. We also have a long-term goal of improving our efficiencies and leveraging the fixed costs in our selling, general, and administrative expenses as we grow, which would result in a rate of growth of these expenses which is less than our unit sales growth resulting in a lower cost per unit.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ASSET PURCHASES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completed two business acquisitions during 2025 that had annual historical sales of approximately $24 million in aggregate. During 2024 we completed one business acquisition that had approximately $25 million in annual historical sales. These business combinations were not significant to our operating results; consequently pro forma results for 2025 and 2024 are not presented.</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 C “Business Combinations” of our Consolidated Financial Statements which are presented under Item 8 below for additional information.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Consolidated Statements of Earnings as a percentage of net sales. See “Impact of the Lumber Market on our Operating Results”.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Borders>
              <w:bottom w:val="single" w:sz="8" w:color="auto"/>
            </w:tcBorders>
          </w:tcPr>
          <w:p>
            <w:pPr>
              <w:spacing w:after="0"/>
              <w:rPr>
                <w:sz w:val="15"/>
                <w:szCs w:val="15"/>
                <w:color w:val="auto"/>
              </w:rPr>
            </w:pPr>
          </w:p>
        </w:tc>
      </w:tr>
      <w:tr>
        <w:trPr>
          <w:trHeight w:val="124"/>
        </w:trPr>
        <w:tc>
          <w:tcPr>
            <w:tcW w:w="672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December 27,</w:t>
            </w:r>
          </w:p>
        </w:tc>
        <w:tc>
          <w:tcPr>
            <w:tcW w:w="11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December 28,</w:t>
            </w:r>
          </w:p>
        </w:tc>
        <w:tc>
          <w:tcPr>
            <w:tcW w:w="2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67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on disposition and impairment of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losses (gains), net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CEEFF"/>
            </w:tcBorders>
          </w:tcPr>
          <w:p>
            <w:pPr>
              <w:spacing w:after="0"/>
              <w:rPr>
                <w:sz w:val="18"/>
                <w:szCs w:val="18"/>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r>
      <w:tr>
        <w:trPr>
          <w:trHeight w:val="210"/>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Over time,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primarily due to the impact of competitive pricing and higher material costs for most of the year, which has reduced our gross profits.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Borders>
              <w:bottom w:val="single" w:sz="8" w:color="auto"/>
            </w:tcBorders>
          </w:tcPr>
          <w:p>
            <w:pPr>
              <w:spacing w:after="0"/>
              <w:rPr>
                <w:sz w:val="15"/>
                <w:szCs w:val="15"/>
                <w:color w:val="auto"/>
              </w:rPr>
            </w:pPr>
          </w:p>
        </w:tc>
      </w:tr>
      <w:tr>
        <w:trPr>
          <w:trHeight w:val="124"/>
        </w:trPr>
        <w:tc>
          <w:tcPr>
            <w:tcW w:w="5080" w:type="dxa"/>
            <w:vAlign w:val="bottom"/>
          </w:tcPr>
          <w:p>
            <w:pPr>
              <w:spacing w:after="0"/>
              <w:rPr>
                <w:sz w:val="10"/>
                <w:szCs w:val="10"/>
                <w:color w:val="auto"/>
              </w:rPr>
            </w:pPr>
          </w:p>
        </w:tc>
        <w:tc>
          <w:tcPr>
            <w:tcW w:w="420" w:type="dxa"/>
            <w:vAlign w:val="bottom"/>
          </w:tcPr>
          <w:p>
            <w:pPr>
              <w:jc w:val="right"/>
              <w:ind w:right="9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440" w:type="dxa"/>
            <w:vAlign w:val="bottom"/>
          </w:tcPr>
          <w:p>
            <w:pPr>
              <w:jc w:val="right"/>
              <w:ind w:right="15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ind w:right="257"/>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0"/>
        </w:trPr>
        <w:tc>
          <w:tcPr>
            <w:tcW w:w="50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1,060,150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1,226,742</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691,008</w:t>
            </w:r>
          </w:p>
        </w:tc>
        <w:tc>
          <w:tcPr>
            <w:tcW w:w="240" w:type="dxa"/>
            <w:vAlign w:val="bottom"/>
          </w:tcPr>
          <w:p>
            <w:pPr>
              <w:spacing w:after="0"/>
              <w:rPr>
                <w:sz w:val="18"/>
                <w:szCs w:val="18"/>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735,046</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UFP Packaging and UFP Construction, and align with the end markets we serve. Among other advantages, this structure allows for a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includes purchasing, transportation, corporate ventures, and administrative functions that serve our operating segments. Operating results of Corporate primarily consist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operating results by segment for December 27, 2025 and December 28,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27, 2025</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2,433,556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1,603,723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6,320,343</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1,645,998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(24,208)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5,260,193</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1,060,150</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180,619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691,008</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(8,550)</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363,901</w:t>
            </w:r>
          </w:p>
        </w:tc>
        <w:tc>
          <w:tcPr>
            <w:tcW w:w="20" w:type="dxa"/>
            <w:vAlign w:val="bottom"/>
          </w:tcPr>
          <w:p>
            <w:pPr>
              <w:spacing w:after="0"/>
              <w:rPr>
                <w:sz w:val="19"/>
                <w:szCs w:val="19"/>
                <w:color w:val="auto"/>
              </w:rPr>
            </w:pP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28, 2024</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2,597,994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1,636,563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2,113,844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6,652,309</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1,335,304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(34,796)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5,425,567</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438,498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1,226,742</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735,046</w:t>
            </w:r>
          </w:p>
        </w:tc>
        <w:tc>
          <w:tcPr>
            <w:tcW w:w="20" w:type="dxa"/>
            <w:vAlign w:val="bottom"/>
          </w:tcPr>
          <w:p>
            <w:pPr>
              <w:spacing w:after="0"/>
              <w:rPr>
                <w:sz w:val="20"/>
                <w:szCs w:val="20"/>
                <w:color w:val="auto"/>
              </w:rPr>
            </w:pPr>
          </w:p>
        </w:tc>
      </w:tr>
      <w:tr>
        <w:trPr>
          <w:trHeight w:val="198"/>
        </w:trPr>
        <w:tc>
          <w:tcPr>
            <w:tcW w:w="2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0" w:type="dxa"/>
            <w:vAlign w:val="bottom"/>
          </w:tcPr>
          <w:p>
            <w:pPr>
              <w:spacing w:after="0"/>
              <w:rPr>
                <w:sz w:val="20"/>
                <w:szCs w:val="20"/>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0" w:type="dxa"/>
            <w:vAlign w:val="bottom"/>
          </w:tcPr>
          <w:p>
            <w:pPr>
              <w:spacing w:after="0"/>
              <w:rPr>
                <w:sz w:val="19"/>
                <w:szCs w:val="19"/>
                <w:color w:val="auto"/>
              </w:rPr>
            </w:pPr>
          </w:p>
        </w:tc>
      </w:tr>
      <w:tr>
        <w:trPr>
          <w:trHeight w:val="223"/>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492,242</w:t>
            </w:r>
          </w:p>
        </w:tc>
        <w:tc>
          <w:tcPr>
            <w:tcW w:w="20" w:type="dxa"/>
            <w:vAlign w:val="bottom"/>
          </w:tcPr>
          <w:p>
            <w:pPr>
              <w:spacing w:after="0"/>
              <w:rPr>
                <w:sz w:val="19"/>
                <w:szCs w:val="19"/>
                <w:color w:val="auto"/>
              </w:rPr>
            </w:pPr>
          </w:p>
        </w:tc>
      </w:tr>
      <w:tr>
        <w:trPr>
          <w:trHeight w:val="64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as a percentage of net sales by segment for December 27, 2025 and December 28,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4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27, 2025</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4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0"/>
                <w:szCs w:val="10"/>
                <w:color w:val="auto"/>
              </w:rPr>
            </w:pPr>
          </w:p>
        </w:tc>
        <w:tc>
          <w:tcPr>
            <w:tcW w:w="1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12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(0.2)</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11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4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28, 2024</w:t>
            </w: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14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spacing w:after="0"/>
              <w:rPr>
                <w:sz w:val="10"/>
                <w:szCs w:val="10"/>
                <w:color w:val="auto"/>
              </w:rPr>
            </w:pPr>
          </w:p>
        </w:tc>
        <w:tc>
          <w:tcPr>
            <w:tcW w:w="1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spacing w:after="0"/>
              <w:rPr>
                <w:sz w:val="10"/>
                <w:szCs w:val="10"/>
                <w:color w:val="auto"/>
              </w:rPr>
            </w:pPr>
          </w:p>
        </w:tc>
        <w:tc>
          <w:tcPr>
            <w:tcW w:w="2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12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6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and</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1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sold to national home centers and other retailers;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The following table presents estimates, for the periods indicated, of our percentage change in net sales attributable to changes in overall selling prices versus changes in units shipped by segment.</w:t>
      </w:r>
    </w:p>
    <w:p>
      <w:pPr>
        <w:spacing w:after="0" w:line="236" w:lineRule="exact"/>
        <w:rPr>
          <w:rFonts w:ascii="Times New Roman" w:cs="Times New Roman" w:eastAsia="Times New Roman" w:hAnsi="Times New Roman"/>
          <w:sz w:val="18"/>
          <w:szCs w:val="18"/>
          <w:color w:val="auto"/>
        </w:rPr>
      </w:pPr>
    </w:p>
    <w:p>
      <w:pPr>
        <w:ind w:left="6780" w:hanging="177"/>
        <w:spacing w:after="0"/>
        <w:tabs>
          <w:tab w:leader="none" w:pos="6780" w:val="left"/>
        </w:tabs>
        <w:numPr>
          <w:ilvl w:val="1"/>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7620</wp:posOffset>
            </wp:positionV>
            <wp:extent cx="25634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3495" cy="1714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8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2025 versus 2024</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Acquisition</w:t>
            </w:r>
          </w:p>
        </w:tc>
        <w:tc>
          <w:tcPr>
            <w:tcW w:w="76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4"/>
                <w:szCs w:val="14"/>
                <w:b w:val="1"/>
                <w:bCs w:val="1"/>
                <w:color w:val="auto"/>
                <w:w w:val="97"/>
              </w:rPr>
              <w:t>Organic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Sales ​​​</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37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Prices   ​​​ in Units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7"/>
        </w:trPr>
        <w:tc>
          <w:tcPr>
            <w:tcW w:w="4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gridSpan w:val="2"/>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16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1.1 %  (10.0)%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35.2 %</w:t>
            </w:r>
          </w:p>
        </w:tc>
        <w:tc>
          <w:tcPr>
            <w:tcW w:w="16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0.2 %  35.0 %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Increasing our sales of “value-added” products and enhancing our product offering with new or improved products</w:t>
      </w:r>
      <w:r>
        <w:rPr>
          <w:rFonts w:ascii="Times New Roman" w:cs="Times New Roman" w:eastAsia="Times New Roman" w:hAnsi="Times New Roman"/>
          <w:sz w:val="18"/>
          <w:szCs w:val="18"/>
          <w:color w:val="auto"/>
        </w:rPr>
        <w:t>. 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80% of our sales consist of products we manufacture at our locations, while 20% of our sales consist of products manufactured by suppliers that we inventory and distribute to customers.</w:t>
      </w:r>
    </w:p>
    <w:p>
      <w:pPr>
        <w:spacing w:after="0" w:line="190" w:lineRule="exact"/>
        <w:rPr>
          <w:sz w:val="20"/>
          <w:szCs w:val="20"/>
          <w:color w:val="auto"/>
        </w:rPr>
      </w:pPr>
    </w:p>
    <w:p>
      <w:pPr>
        <w:ind w:left="700" w:right="59"/>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tbl>
      <w:tblPr>
        <w:tblLayout w:type="fixed"/>
        <w:tblInd w:w="40" w:type="dxa"/>
        <w:tblCellMar>
          <w:top w:w="0" w:type="dxa"/>
          <w:left w:w="0" w:type="dxa"/>
          <w:bottom w:w="0" w:type="dxa"/>
          <w:right w:w="0" w:type="dxa"/>
        </w:tblCellMar>
      </w:tblPr>
      <w:tr>
        <w:trPr>
          <w:trHeight w:val="169"/>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27, 2025</w:t>
            </w:r>
          </w:p>
        </w:tc>
        <w:tc>
          <w:tcPr>
            <w:tcW w:w="1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28, 2024</w:t>
            </w:r>
          </w:p>
        </w:tc>
        <w:tc>
          <w:tcPr>
            <w:tcW w:w="200" w:type="dxa"/>
            <w:vAlign w:val="bottom"/>
            <w:gridSpan w:val="2"/>
          </w:tcPr>
          <w:p>
            <w:pPr>
              <w:spacing w:after="0"/>
              <w:rPr>
                <w:sz w:val="14"/>
                <w:szCs w:val="14"/>
                <w:color w:val="auto"/>
              </w:rPr>
            </w:pPr>
          </w:p>
        </w:tc>
      </w:tr>
      <w:tr>
        <w:trPr>
          <w:trHeight w:val="155"/>
        </w:trPr>
        <w:tc>
          <w:tcPr>
            <w:tcW w:w="2460" w:type="dxa"/>
            <w:vAlign w:val="bottom"/>
          </w:tcPr>
          <w:p>
            <w:pPr>
              <w:spacing w:after="0"/>
              <w:rPr>
                <w:sz w:val="13"/>
                <w:szCs w:val="13"/>
                <w:color w:val="auto"/>
              </w:rPr>
            </w:pPr>
          </w:p>
        </w:tc>
        <w:tc>
          <w:tcPr>
            <w:tcW w:w="2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Value-Added</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Value-Added</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Commodity-Based</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w:t>
            </w:r>
          </w:p>
        </w:tc>
      </w:tr>
      <w:tr>
        <w:trPr>
          <w:trHeight w:val="21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21"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Our overall unit sales of value-added products decreased approximately 1% in 2025 compared to 2024. Our overall unit sales of commodity-based products decreased approximately 3% compared to 2024.</w:t>
      </w:r>
    </w:p>
    <w:p>
      <w:pPr>
        <w:spacing w:after="0" w:line="162" w:lineRule="exact"/>
        <w:rPr>
          <w:sz w:val="20"/>
          <w:szCs w:val="20"/>
          <w:color w:val="auto"/>
        </w:rPr>
      </w:pPr>
    </w:p>
    <w:p>
      <w:pPr>
        <w:jc w:val="both"/>
        <w:ind w:left="720" w:right="79" w:hanging="319"/>
        <w:spacing w:after="0" w:line="254"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We define new products as those that will generate sales of at least $1 million per year within 4 years of launch and are still growing and gaining market penetration and meet our internal definition of value-added products. New product sales in 2025 increased 6% compared to the prior year, primarily due to an increase in unit sales in our Deckorators business unit. Approximately $76.2 million of new product sales for 2024, while still sold, were sunset in 2025 and excluded from the table below because they no longer meet the definition above. Our goal was to achieve annual new product sales of at least $550 million in 2025. Our short-term goal is to achieve annual new product sales of at least $560 million for 2026. On a long-term basis, our goal is for new product sales to comprise at least 10% of our total net sales.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presents new product sales in thousands: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7"/>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0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0"/>
                <w:szCs w:val="10"/>
                <w:color w:val="auto"/>
              </w:rPr>
            </w:pPr>
          </w:p>
        </w:tc>
        <w:tc>
          <w:tcPr>
            <w:tcW w:w="9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20" w:type="dxa"/>
            <w:vAlign w:val="bottom"/>
            <w:gridSpan w:val="2"/>
          </w:tcPr>
          <w:p>
            <w:pPr>
              <w:jc w:val="right"/>
              <w:ind w:right="42"/>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0"/>
                <w:szCs w:val="10"/>
                <w:color w:val="auto"/>
              </w:rPr>
            </w:pPr>
          </w:p>
        </w:tc>
        <w:tc>
          <w:tcPr>
            <w:tcW w:w="10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200" w:type="dxa"/>
            <w:vAlign w:val="bottom"/>
            <w:gridSpan w:val="3"/>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 Change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Packaging</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463,553</w:t>
            </w:r>
          </w:p>
        </w:tc>
        <w:tc>
          <w:tcPr>
            <w:tcW w:w="8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435,898</w:t>
            </w:r>
          </w:p>
        </w:tc>
        <w:tc>
          <w:tcPr>
            <w:tcW w:w="9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from the Retail segment decreased 6% in 2025 compared to 2024 due to a 1% increase in selling prices and a 7% decrease in units. Unit changes within this segment consisted of decreases of 27% in UFP Edge, as we complete the closure of our Bonner, Montana plants and transition production to other facilities, and 6% in ProWood; while Deckorators unit sales were flat. Additionally, our unit sales to big box customers, which we believe are more closely correlated with repair and remodel activity, decreased approximately 7%, while unit sales to independent retailers, which we believe are more closely correlated to new housing starts, decreased approximately 9%. The decline in ProWood volume is primarily due to higher interest rates and weaker consumer sentiment resulting in a softening of demand to complete repair and remodel projects.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Within our Deckorators business unit, our sales of wood-plastic composite decking and Surestone™ mineral-based-composite decking increased 20%. Of the 20% increase in net sales for our Deckorators business unit, wood-plastic composite decking and mineral based-composite decking (sold under our new Surestone™ tradename) increased 5% and 36% from the prior year, respectively. The increases were offset by railings, which declined 23% from the prior year. The decline in our railing sales is due to lost market share with a big box customer which began impacting sales at the beginning of the year. However, we gained market share with another big box customer which began to more favorably impact the sales of our mineral-based composite decking products beginning in July with most of the growth from these market share gains expected to be realized in 2026. Our long-term goal is to double our market share of composite decking and railing over the next 5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declined by $43 million, or 11%, and totaled $346 million in 2025 compared to $389 million in 2024. The change in gross profit was attributable to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pressure-treated products decreased by $25 million, primarily due to falling lumber prices in our primary selling season. Additionally, gross profits associated with our Edge products declined by $9 million due to inefficiencies and the closure of our Edge manufacturing facilities in Bonner, MT and the shift of that volume to other locations.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decreased by $9 million due to lower railing sales and inefficiencies associated with adding new capacity to produce our mineral-based composite decking. In the future, we believe this new, more efficient technology will allow us to achieve our targeted cost per unit. Additionally, our wood plastic composite plant has experienced an unfavorable change in sales mix.</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(“SG&amp;A”) within our Retail segment increased $9 million, or 4%, in 2025 compared to 2024. This increase is a result of a $20 million increase in advertising expenses primarily related to Deckorators. The increase was partially offset by a decrease in wages and benefits of $5 million, a decrease in accrued bonus expense of $5 million, and decreases across several other accounts totaling $1 million. Accrued bonus expense varies with the overall profitability and return on investment of the segment, and totaled approximately $42 million in 2025.</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Earnings from operations of the Retail segment decreased in 2025 compared to 2024 by $64 million, or 36%, as a result of the factors mentioned above as well as a foreign exchange loss totaling $1 million and an increase in the net loss on disposition and impairment of assets, which was comprised of machinery and equipment impairments and losses of $11 million, lease impairment charges of $2 million and intangible asset impairment charges of $1 million, partially offset by a gain on the sale of real estate totaling $5 million. The prior year included a $3 million net loss on disposition and impairment of assets which was comprised of lease impairment charges and intangible asset impairments, offset by foreign exchange gains of $3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from the Packaging segment decreased 2% in 2025 compared to 2024 due to a 2% decrease in selling prices, and a 1% decrease in organic unit sales, partially offset by an acquired business which contributed 1% to unit growth. The decrease in prices is primarily due to competitive price pressure. The decrease in units was due to organic unit declines of 3% in Structural Packaging and 2% in PalletOne, which was partially offset by an increase in unit sales of 8% in Protective Packaging due to geographic expansion and market share gains.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$36 million, or 12%, to $266 million in 2025 compared to 2024. The decrease in gross profits was attributable to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a total of $17 million. The decline in gross profit is attributable to competitive price pressure as we continue to execute our strategy to gain market share.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$15 million primarily due to lower unit sales and competitive price pressure due to lower demand.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$4 million due to fixed manufacturing costs resulting in unfavorable cost variances related to new greenfield locations which more than offset the sales increase resulting from increased prices and unit sales.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expenses within the Packaging segment decreased by approximately $11 million, or 6%, in 2025 compared to 2024. The decrease in SG&amp;A was due to decreases in insurance expense of $3 million, sales incentive compensation of $2 million, travel expenses of $2 million, accrued bonus expense of $2 million, and several smaller decreases in many accounts totaling $2 million. Accrued bonus varies with the overall profitability and return on investment of the segment, and totaled approximately $29 million for 2025.</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Earnings from operations of the Packaging segment decreased by $15 million in 2025, or 15%, compared to 2024 due to the factors discussed above. The losses were offset by net gains on the disposition of assets totaling $3 million, compared to a $7 million loss in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sales from the Construction segment decreased 5% in 2025 compared to 2024 due to a 5% decrease in selling prices, while unit sales remained flat. Increases in unit sales of 7% in each of our Factory-Built, Commercial, and Concrete Forming business units were fully offset by a decrease in unit sales of 11% in Site-Built.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$81 million, or 18%, to $358 million in 2025 compared to 2024. The decrease in our gross profit was comprised of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business unit decreased by $92 million due to a decline in unit sales and competitive price pressure due to weaker demand.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and Commercial business units increased by $5 million and $3 million, respectively, due to the favorable impact of unit sales growth. The gross profit of our Factory-Built business unit increased by $4 million due to an increase in unit sales.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expenses within the Construction segment decreased by approximately $25 million, or 9%, in 2025 compared to 2024. Accrued bonus expense, which varies with the overall profitability of the segment and return on investment, decreased approximately $10 million compared to last year and totaled approximately $36 million for 2025. The decline in SG&amp;A was also due to decreases in wages and benefits of $4 million, sales incentives of $4 million, insurance costs of $2 million, gains on insurance settlements of $2 million, and several smaller decreases in many accounts totaling $3 million.</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of the Construction reportable segment decreased by $56 million in 2025 compared to 2024, or 32%,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Corporate segment consists primarily of over (under) allocated costs which are not significant and net sales to external customers initiated by UFP Purchasing, UFP Transportation, and UFP Real Estate.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expense in 2025 decreased by $2 million compared to 2024 due to a $40 million debt repayment at the end of 2024 on our Series 2012 Senior Note Tranche B, which matured on December 17, 2024. See “Note E of our Consolidated Financial Statements” which are presented under Item 8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and investment income decreased by $22.0 million in 2025 compared to 2024 due to the decrease in cash and a lower interest rate earned on those deposits as well as an impairment loss of $6.5 million on an investment in our Innov8 Fund recorded in the fourth quarter.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state and local income taxes, and permanent tax differences. Our effective tax rate was 24.5% in 2025 compared to 22.5% in 2024. The increase was primarily due to an increase in our state income tax expense as a result of timing differences in the deductibility of R&amp;D costs between federal and state, as well as an increase in nondeductible officer compensation relative to overall income.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COMMITMENTS AND CONTRACTUAL OBLIGATIONS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have no significant off-balance sheet commitments. The following table summarizes our contractual obligations as of December 27, 2025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24"/>
        </w:trPr>
        <w:tc>
          <w:tcPr>
            <w:tcW w:w="4160" w:type="dxa"/>
            <w:vAlign w:val="bottom"/>
          </w:tcPr>
          <w:p>
            <w:pPr>
              <w:spacing w:after="0"/>
              <w:rPr>
                <w:sz w:val="10"/>
                <w:szCs w:val="10"/>
                <w:color w:val="auto"/>
              </w:rPr>
            </w:pPr>
          </w:p>
        </w:tc>
        <w:tc>
          <w:tcPr>
            <w:tcW w:w="4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35"/>
              <w:spacing w:after="0" w:line="124" w:lineRule="exact"/>
              <w:rPr>
                <w:sz w:val="20"/>
                <w:szCs w:val="20"/>
                <w:color w:val="auto"/>
              </w:rPr>
            </w:pPr>
            <w:r>
              <w:rPr>
                <w:rFonts w:ascii="Times New Roman" w:cs="Times New Roman" w:eastAsia="Times New Roman" w:hAnsi="Times New Roman"/>
                <w:sz w:val="14"/>
                <w:szCs w:val="14"/>
                <w:b w:val="1"/>
                <w:bCs w:val="1"/>
                <w:color w:val="auto"/>
                <w:w w:val="97"/>
              </w:rPr>
              <w:t>Less than</w:t>
            </w:r>
          </w:p>
        </w:tc>
        <w:tc>
          <w:tcPr>
            <w:tcW w:w="860" w:type="dxa"/>
            <w:vAlign w:val="bottom"/>
            <w:gridSpan w:val="2"/>
          </w:tcPr>
          <w:p>
            <w:pPr>
              <w:jc w:val="right"/>
              <w:ind w:right="137"/>
              <w:spacing w:after="0" w:line="124" w:lineRule="exact"/>
              <w:rPr>
                <w:sz w:val="20"/>
                <w:szCs w:val="20"/>
                <w:color w:val="auto"/>
              </w:rPr>
            </w:pPr>
            <w:r>
              <w:rPr>
                <w:rFonts w:ascii="Times New Roman" w:cs="Times New Roman" w:eastAsia="Times New Roman" w:hAnsi="Times New Roman"/>
                <w:sz w:val="14"/>
                <w:szCs w:val="14"/>
                <w:b w:val="1"/>
                <w:bCs w:val="1"/>
                <w:color w:val="auto"/>
              </w:rPr>
              <w:t>​​​   1 – 3</w:t>
            </w:r>
          </w:p>
        </w:tc>
        <w:tc>
          <w:tcPr>
            <w:tcW w:w="840" w:type="dxa"/>
            <w:vAlign w:val="bottom"/>
            <w:gridSpan w:val="2"/>
          </w:tcPr>
          <w:p>
            <w:pPr>
              <w:jc w:val="right"/>
              <w:ind w:right="135"/>
              <w:spacing w:after="0" w:line="124" w:lineRule="exact"/>
              <w:rPr>
                <w:sz w:val="20"/>
                <w:szCs w:val="20"/>
                <w:color w:val="auto"/>
              </w:rPr>
            </w:pPr>
            <w:r>
              <w:rPr>
                <w:rFonts w:ascii="Times New Roman" w:cs="Times New Roman" w:eastAsia="Times New Roman" w:hAnsi="Times New Roman"/>
                <w:sz w:val="14"/>
                <w:szCs w:val="14"/>
                <w:b w:val="1"/>
                <w:bCs w:val="1"/>
                <w:color w:val="auto"/>
              </w:rPr>
              <w:t>​​​   3 – 5</w:t>
            </w:r>
          </w:p>
        </w:tc>
        <w:tc>
          <w:tcPr>
            <w:tcW w:w="940" w:type="dxa"/>
            <w:vAlign w:val="bottom"/>
            <w:gridSpan w:val="2"/>
          </w:tcPr>
          <w:p>
            <w:pPr>
              <w:jc w:val="right"/>
              <w:ind w:right="155"/>
              <w:spacing w:after="0" w:line="124" w:lineRule="exact"/>
              <w:rPr>
                <w:sz w:val="20"/>
                <w:szCs w:val="20"/>
                <w:color w:val="auto"/>
              </w:rPr>
            </w:pPr>
            <w:r>
              <w:rPr>
                <w:rFonts w:ascii="Times New Roman" w:cs="Times New Roman" w:eastAsia="Times New Roman" w:hAnsi="Times New Roman"/>
                <w:sz w:val="14"/>
                <w:szCs w:val="14"/>
                <w:b w:val="1"/>
                <w:bCs w:val="1"/>
                <w:color w:val="auto"/>
              </w:rPr>
              <w:t>​​​   After</w:t>
            </w:r>
          </w:p>
        </w:tc>
        <w:tc>
          <w:tcPr>
            <w:tcW w:w="280" w:type="dxa"/>
            <w:vAlign w:val="bottom"/>
            <w:gridSpan w:val="2"/>
          </w:tcPr>
          <w:p>
            <w:pPr>
              <w:jc w:val="right"/>
              <w:ind w:right="16"/>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0"/>
                <w:szCs w:val="10"/>
                <w:color w:val="auto"/>
              </w:rPr>
            </w:pPr>
          </w:p>
        </w:tc>
      </w:tr>
      <w:tr>
        <w:trPr>
          <w:trHeight w:val="180"/>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$ 40,326</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$ 38,639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$ 149,993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229,758</w:t>
            </w: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interest on long-term debt and finance lease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48,885</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159,280</w:t>
            </w:r>
          </w:p>
        </w:tc>
      </w:tr>
      <w:tr>
        <w:trPr>
          <w:trHeight w:val="223"/>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 project purchase obligations</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135,410</w:t>
            </w:r>
          </w:p>
        </w:tc>
      </w:tr>
      <w:tr>
        <w:trPr>
          <w:trHeight w:val="21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177,400</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$ 99,854</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$ 75,613</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$ 220,466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573,333</w:t>
            </w: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27, 2025, we also had $40.4 million in outstanding letters of credit issued during the normal course of business, as required by some vendor contracts.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24"/>
        </w:trPr>
        <w:tc>
          <w:tcPr>
            <w:tcW w:w="5700" w:type="dxa"/>
            <w:vAlign w:val="bottom"/>
          </w:tcPr>
          <w:p>
            <w:pPr>
              <w:spacing w:after="0"/>
              <w:rPr>
                <w:sz w:val="10"/>
                <w:szCs w:val="10"/>
                <w:color w:val="auto"/>
              </w:rPr>
            </w:pPr>
          </w:p>
        </w:tc>
        <w:tc>
          <w:tcPr>
            <w:tcW w:w="1180" w:type="dxa"/>
            <w:vAlign w:val="bottom"/>
          </w:tcPr>
          <w:p>
            <w:pPr>
              <w:ind w:left="110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40" w:type="dxa"/>
            <w:vAlign w:val="bottom"/>
            <w:tcBorders>
              <w:top w:val="single" w:sz="8" w:color="auto"/>
            </w:tcBorders>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December 28,</w:t>
            </w:r>
          </w:p>
        </w:tc>
        <w:tc>
          <w:tcPr>
            <w:tcW w:w="20" w:type="dxa"/>
            <w:vAlign w:val="bottom"/>
          </w:tcPr>
          <w:p>
            <w:pPr>
              <w:spacing w:after="0"/>
              <w:rPr>
                <w:sz w:val="10"/>
                <w:szCs w:val="10"/>
                <w:color w:val="auto"/>
              </w:rPr>
            </w:pPr>
          </w:p>
        </w:tc>
      </w:tr>
      <w:tr>
        <w:trPr>
          <w:trHeight w:val="180"/>
        </w:trPr>
        <w:tc>
          <w:tcPr>
            <w:tcW w:w="57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642,571</w:t>
            </w:r>
          </w:p>
        </w:tc>
        <w:tc>
          <w:tcPr>
            <w:tcW w:w="20" w:type="dxa"/>
            <w:vAlign w:val="bottom"/>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(270,750)</w:t>
            </w: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(307,120)</w:t>
            </w:r>
          </w:p>
        </w:tc>
        <w:tc>
          <w:tcPr>
            <w:tcW w:w="20" w:type="dxa"/>
            <w:vAlign w:val="bottom"/>
          </w:tcPr>
          <w:p>
            <w:pPr>
              <w:spacing w:after="0"/>
              <w:rPr>
                <w:sz w:val="18"/>
                <w:szCs w:val="18"/>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57,338</w:t>
            </w:r>
          </w:p>
        </w:tc>
        <w:tc>
          <w:tcPr>
            <w:tcW w:w="20" w:type="dxa"/>
            <w:vAlign w:val="bottom"/>
          </w:tcPr>
          <w:p>
            <w:pPr>
              <w:spacing w:after="0"/>
              <w:rPr>
                <w:sz w:val="18"/>
                <w:szCs w:val="18"/>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1,179,594</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1,122,256</w:t>
            </w:r>
          </w:p>
        </w:tc>
        <w:tc>
          <w:tcPr>
            <w:tcW w:w="20" w:type="dxa"/>
            <w:vAlign w:val="bottom"/>
          </w:tcPr>
          <w:p>
            <w:pPr>
              <w:spacing w:after="0"/>
              <w:rPr>
                <w:sz w:val="19"/>
                <w:szCs w:val="19"/>
                <w:color w:val="auto"/>
              </w:rPr>
            </w:pPr>
          </w:p>
        </w:tc>
      </w:tr>
      <w:tr>
        <w:trPr>
          <w:trHeight w:val="21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925,071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1,179,594</w:t>
            </w:r>
          </w:p>
        </w:tc>
        <w:tc>
          <w:tcPr>
            <w:tcW w:w="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occurring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are outstanding) is a good indicator of our working capital management. As indicated in the table below, our cash cycle increased to 63 days in 2025 from 60 days in 2024.</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3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3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8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0"/>
                <w:szCs w:val="10"/>
                <w:color w:val="auto"/>
              </w:rPr>
            </w:pPr>
          </w:p>
        </w:tc>
        <w:tc>
          <w:tcPr>
            <w:tcW w:w="8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0"/>
        </w:trPr>
        <w:tc>
          <w:tcPr>
            <w:tcW w:w="39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202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1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39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18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increase in our days supply of inventory in 2025 is due to additional safety stock inventory resulting from anticipated supply chain disruptions and new stocking programs in the Deckorators business unit. The increase in our days of sales outstanding is primarily due to the UFP Edge business unit resulting from a decline in sales due to restructuring. We continue to focus on past due account balances with customers, and the percentage of our accounts receivable that are current was 90% in both 2025 and 2024.</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cash flows from operating activities in 2025 were $546 million, which was comprised of net earnings of $296 million, $253 million of non-cash expenses, and a $3 million increase in working capital since the end of December 2024. Our cash flows from operations decreased by $97 million compared to last year primarily due to a $54 million increase in our investment in net working capital compared to the prior year period and a decrease in our net earnings and non-cash expenses of $43 million.</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Capital expenditures of $269 million comprised most of our cash used in investing activities during 2025. Capital spending primarily consists of several projects to expand capacity to manufacture new and value-added products, primarily in our Deckorators and ProWood business units, and Packaging segment. Additionally there were investments to achieve efficiencies through automation in all segments and to make improvements to a number of facilities. On December 27, 2025, we had outstanding purchase commitments on capital projects of approximately $135.4 million. We intend to fund capital expenditures and purchase commitments through our operating cash flows. Cash used for acquisitions during the year totaled $18 million compared to $30 million in 2024. In 2025, we completed two acquisitions, RWP West, LLC and National Supply, LLC. See Note C “Business Combinations” of our Consolidated Financial Statements which are presented under Item 8 below for additional information. Our cash used in investing activities was partially offset by $31 million of proceeds from sale of property, plant and equipment as we divest assets that do not meet our profitability targets and strategic objectives.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primarily consisted of:</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repurchases of common stock of $443 million. We repurchased 4,498,835 shares of our common stock for the year at an average share price of $98.39. Of this amount, 87,327 shares were repurchased in order to settle tax withholding obligations of long-term stock incentive plan participants’ awards that vested in 2025. These shares were purchased at an average price of $109.83 per share, totaling $10 million.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2025 totaled $82 million, reflecting a quarterly rate of $0.35 per share, a 6% increase over the prior year.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noncontrolling interests of $3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December 6, 2022, we entered into a five-year, $750 million unsecured revolving credit facility with a syndicate of U.S. banks. This facility includes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December 27, 2025, we had no amount outstanding on our $750 million revolving credit facility. The revolving credit facility also supports letters of credit totaling $39.2 million which includes approximately $3.3 million related to industrial development revenue bonds. As a result, we have approximately $710.8 million in remaining availability. We also had approximately $1.3 million of outstanding letters of credit that were issued outside of the revolving credit facility.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27,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CONSIDERATIONS AND REGULATIONS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 L “Commitments, Contingencies, and Guarantees” of our Consolidated Financial Statements which are presented under Item 8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evaluate goodwill for indicators of impairment when events or circumstances indicate that this risk may be present. Our judgments regarding the existence of impairment are based on market conditions, operational performance and estimated future cash flows. Determining whether an impairment has occurred requires the valuation of the respective reporting unit, which we have consistently estimated using primarily a weighted average between income and market valuation approaches. We believe this approach is the most appropriate and accurate method to measure the fair value of our intangible assets. We use discounted cash flow analysis with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the carrying value of goodwill is considered impaired, an impairment charge is recorded to adjust it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our annual testing date of September 27, 2025, the fair values exceeded the carrying values for all reporting units and there were no indicators for impairment. We believe we have sufficient available information, both current and historical, to support our assumptions, judgments and estimates used in the goodwill impairment test.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Revenue for product sales is recognized at the time the performance obligation is satisfied, which is primarily when the goods are delivered to the carrier, Free On Board (FOB) shipping point. Generally, title passes at the time of shipment. In certain circumstances, the customer takes title when the shipment arrives at the destination. However, our shipping process is typically completed the same day.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Performance on construction contracts is reflected in operations using over time accounting, under either the cost to cost or units of delivery methods, depending on the nature of the business at individual operations.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SHORT-TERM DEMAND AND OUTLOOK</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improvements in demand in the end markets we serve and effectively executing our strategies will allow us to achieve our long-term goals below. However, in the short-term, demand in our markets has contracted due to a variety of macro-economic factors, which will continue to impact our results to varying degrees depending on the severity and duration of this cycle. As a result of these more challenging conditions, we have developed and are executing plans to reduce or eliminate capacity at locations that are not meeting our profitability targets and reduce our SG&amp;A costs. At the beginning of 2025, we announced that our goal through these actions was to improve our operating profits by $60 million by the end of 2026. In 2025, we achieved $35 million of targeted SG&amp;A cost reductions and $7 million of profitability improvements due to capacity consolidations that reduced our cost of goods sold. The reductions in SG&amp;A were partially offset by an additional $20 million of investments in advertising to build our Surestone™ brand of mineral-based composite decking. In 2026, we anticipate capacity consolidations completed in 2025 will reduce our cost of goods sold and improve our profitability by $25 million, primarily in our Retail segment. Therefore, we currently anticipate achieving cumulative cost reductions in 2025 and 2026 totaling $67 million, exceeding our original goal.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factors should be considered when evaluating our future results:</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lumber prices will remain near current levels, and experience typical seasonal trends, until there is a substantial change in the balance of supply and demand. In the event new tariffs are enacted on imports, we anticipate lumber prices will increase accordingly. We believe we are currently in a strong position to adapt quickly to new tariffs without adverse financial impact after a short adjustment period. Approximately 84% of our purchases of lumber are from domestic sources.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segment sales accounted for 39% of our net sales in 2025. When evaluating future demand for the segment, we analyze data such as the same-store sales growth of national home improvement retailers and forecasts of home remodeling activity. Based on this data, we currently anticipate market demand to be flat to slightly down in the first half of 2026. We anticipate market share gains in our composite decking and railing products will contribute approximately $100 million of sales growth in our Deckorators business unit. In addition, we anticipate recent investments in equipment to improve the manufacturing throughput and lower the cost of our Surestone™ decking products will result in margin improvements in those products in 2026 as the new capacity is effectively brought on-line and once the higher cost inventory is sold.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segment sales accounted for 25% of our net sales in 2025. When evaluating future demand, we consider a number of metrics, including the Purchasing Managers Index (PMI), durable goods manufacturing, and U.S. real GDP. We currently believe overall demand in the markets we serve to be flat to slightly down in the first half of 2026.</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segment sales accounted for 32% of our net sales in 2025.</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11% of our net sales in 2025. Our sales mix of single-family and multi-family homes builders is approximately 70% and 30%, respectively. The industry consensus estimate of national housing starts for 2026 is 1.34 million, with estimates generally predicting flat to slightly negative growth in the coming year with a softer single-family outlook more than offsetting an improving multi-family outlook. We anticipate demand in the regions we operate to be slightly down in the first half of 2026.</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business unit accounted for 13% of our net sales in 2025. When evaluating future demand, we analyze data from production and shipments of manufactured housing. The National Association of Home Builders forecast the manufactured home shipments in 2026 to be flat to slightly down.</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concrete forming business units accounted for 8% of our net sales in 2025. When evaluating future demand, we analyze data from non-residential construction spending. We anticipate the slightly positive trends seen in 2025 will carry through into the first half of 2026.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LONG-TERM OUTLOOK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GOALS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financial goals include:</w:t>
      </w:r>
    </w:p>
    <w:p>
      <w:pPr>
        <w:spacing w:after="0" w:line="225" w:lineRule="exact"/>
        <w:rPr>
          <w:sz w:val="20"/>
          <w:szCs w:val="20"/>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 to 10 percent (including smaller tuck-in acquisitions) with at least 10 percent of all sales coming from new products;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percent EBITDA margin by continuing to enhance our capabilities and grow our portfolio and sales of value-added products, expanding geographically in our higher margin business units, and achieving operating improvements;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hurdle rate of 15 percent;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Home Improvement Research Institute (“HIRI”) anticipates growth in home improvement spending and has forecasted 4.0% annual growth from 2026 through 2029. Markets remain competitive and we target market share gains with certain retail customers by introducing new value-add products and focusing on customer service.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goal is to achieve sales growth by:</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market share of value-added products, including our Deckorators business unit, which is focused on capitalizing on the advantages of our Surestone™ technology. Continued investment in capacity for Deckorators is expected to contribute to this increase.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and increasing our emphasis on product innovation and product differentiation in order to counter commoditization trends and influences.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businesses in core product categories.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products and customers through business acquisitions that strengthen our core business and meet our strategic objectives.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goal is to increase our sales of wood, wood alternative, and protective packaging products to a wide variety of packaging customers and manufactured wood components for OEM users. We believe the vast amount of hardwood and softwood lumber consumed for packaging applications, combined with the highly fragmented nature of this market, provides us with market share growth opportunities as a result of our competitive advantages in manufacturing, purchasing, and material utilization.</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purchasers of packaging products with a wide geographic footprint increasingly desire to reduce the number of suppliers they buy from, which provides an opportunity to gain market share due to our international presence. We plan to continue to obtain market share by expanding our manufacturing capacity, enhancing our capabilities and product offerings to enhance the solutions we offer our customers, and improving our ability to serve large regional and international customers in targeted markets.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plan to continue to pursue acquisition opportunities that meet our strategic criteria and help us meet these objectives.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 indicators that should be considered when evaluating future demand for our products in the packaging segment include industrial production, durable goods manufacturing, the PMI, U.S. GDP growth, and others.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industry consensus estimate of national housing starts for 2026 is 1.34 million, with estimates generally predicting flat to slightly negative growth in 2026 with a softer single-family and multi-family outlook. Housing starts are projected to increase low single-digits in 2027.</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National Association of Home Builders forecasts a 1% decrease in manufactured home shipments from 2025 to 2026 and a 1% to 2% compounded annual growth rate through 2027.</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Non-residential construction spending is a market indicator that should be considered when evaluating future demand for our products in our Commercial and Concrete Forming business units within our Construction segment.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more challenging market conditions, we continue to reduce or eliminate capacity at locations that are not meeting our profitability targets and to better align capacity with current demand. We anticipate these actions will improve operating profits by $25 million in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we believe the following factors are likely to impact our gross profits and margins in the future:</w:t>
      </w:r>
    </w:p>
    <w:p>
      <w:pPr>
        <w:spacing w:after="0" w:line="225" w:lineRule="exact"/>
        <w:rPr>
          <w:sz w:val="20"/>
          <w:szCs w:val="20"/>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 demand and our ability to grow and leverage fixed costs and price our products based on the value we offer our customers.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89" w:lineRule="auto"/>
        <w:tabs>
          <w:tab w:leader="none" w:pos="7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mix of value-added and commodity products and our ability to sell new products. We anticipate significant growth in our Deckorators branded products that use our patented Surestone™ technology and believe recent investments in more efficient manufacturing capabilities will lower our costs per unit.</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relative level of the Lumber Market and trends in the market price of lumber. (See “Impact of the Lumber Market on our Operating Results.”)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and transportation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labor and benefit costs.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achieve productivity improvements as our unit sales increase and planned cost reductions through continuous improvement activities, automation, and other operating improvement initiatives, including our investments to improve the manufacturing throughput and reduce the cost of our Surestone™ decking products.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complying with new or increased government regulations.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indicated above, we are taking actions to reduce our cost structure to better align it with current demand. We are also investing in the resources needed to achieve our long-term objectives for growth, product innovation, building brand awareness for certain products, and improving our efficiency through technology. With these considerations in mind, we have targeted “core” selling, general, and administrative expenses (SG&amp;A) totaling approximately $570 million in 2026, excluding highly variable sales incentive and bonus expenses tied to profitability and return on investment, compared to approximately $550 million in 2025 excluding insurance settlement gains. We expect an increase of $20 million in core SG&amp;A primarily due to increases in compensation and related benefits. Additionally, we anticipate sales incentives will be 3% of gross profits (3% of gross profits in 2025) and bonus expense will range from 17% to 18% of pre-bonus operating profits (17% of pre-bonus operating profits in 2025) plus approximately $21 million associated with the vesting expense of shares granted in prior years under our bonus plan ($29 million in 2025). See Note H “Common Stock” of our Consolidated Financial Statements which are presented under Item 8 below for a discussion of future compensation costs related to long-term share-based bonus awards.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 long-term basis, we expect that our SG&amp;A expenses will primarily be impacted by:</w:t>
      </w:r>
    </w:p>
    <w:p>
      <w:pPr>
        <w:spacing w:after="0" w:line="225"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in sales in the Packaging and the Construction segments. Our sales in these segments require a higher ratio of SG&amp;A costs due, in part, to product design and engineering requirements.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and value-added product and branded products in the Retail segment, which generally require higher product development, marketing, advertising, and other selling costs.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compensation programs which are tied to gross profits, pre-bonus earnings from operations and threshold levels of return on investment.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success in achieving continuous improvement and automation objectives designed to improve our productivity and leverage our fixed costs as we grow.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cash cycle will continue to be impacted in the future by our mix of sales by segment. Sales from our Construction and Packaging segments generally require a greater investment in receivables than sales in our Retail segment, while our Retail segment generally requires a greater investment in inventory. Also, our net investment in trade receivables, inventory, and accounts payable will continue to be impacted by the level of lumber prices.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we expect to spend approximately $300 million to $325 million on capital expenditures, incur depreciation of approximately $153 million, and incur amortization and other non-cash expenses of approximately $50 million in 2026.</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December 27, 2025, we had outstanding purchase commitments on capital projects of approximately $135.4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dividend rates are typically reviewed and approved at each of our February, April, July, and October board meetings and payments are typically made in March, June, September, and December of each year. On February 12, 2026, our board approved a quarterly cash dividend of $0.36 per share, which represents a 3% increase from the quarterly dividend of $0.35 per share paid in 2025. This dividend will be payable on March 16, 2026, to shareholders of record on March 2, 2026. Our board considers our dividend yield, payout ratios relative to earnings and operating cash flow, and potential variability of future results, among other factors, as part of its decision-making process. Future declarations of dividends and the establishment of future record and payment dates are subject to approval by the Board of Directors.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 share repurchase program approved by our Board of Directors, and on July 23, 2025, our board authorized the repurchase of up to $300 million worth of shares of outstanding stock through July 31, 2026. As of February 25, 2026, we have approximately $125 million of remaining availability under this authorization. In the past, we have repurchased shares in order to offset the effect of issuances resulting from our employee benefit plans and at opportune times when our stock price falls to predetermined levels.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27, 2025, the estimated fair value of our long-term debt, including the current portion, was $210.1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Expected cash flows over the next five years related to debt instruments, excluding debt issuance costs,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equivalents, in thousands)</w:t>
            </w: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2030</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Thereafter</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($US)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150,000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interest rate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($US)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Average interest rate</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bottom w:val="single" w:sz="8" w:color="CCEEFF"/>
            </w:tcBorders>
            <w:shd w:val="clear" w:color="auto" w:fill="CCEEFF"/>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Average of rates at December 27, 2025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5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00" w:type="dxa"/>
            <w:vAlign w:val="bottom"/>
          </w:tcPr>
          <w:p>
            <w:pPr>
              <w:spacing w:after="0"/>
              <w:rPr>
                <w:sz w:val="17"/>
                <w:szCs w:val="17"/>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5"/>
        </w:trPr>
        <w:tc>
          <w:tcPr>
            <w:tcW w:w="8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 Opinion on Internal Control Over Financial Reporting</w:t>
            </w:r>
          </w:p>
        </w:tc>
        <w:tc>
          <w:tcPr>
            <w:tcW w:w="400" w:type="dxa"/>
            <w:vAlign w:val="bottom"/>
          </w:tcPr>
          <w:p>
            <w:pPr>
              <w:spacing w:after="0"/>
              <w:rPr>
                <w:sz w:val="24"/>
                <w:szCs w:val="24"/>
                <w:color w:val="auto"/>
              </w:rPr>
            </w:pPr>
          </w:p>
        </w:tc>
      </w:tr>
      <w:tr>
        <w:trPr>
          <w:trHeight w:val="218"/>
        </w:trPr>
        <w:tc>
          <w:tcPr>
            <w:tcW w:w="4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(PCAOB ID 34)</w:t>
            </w:r>
          </w:p>
        </w:tc>
        <w:tc>
          <w:tcPr>
            <w:tcW w:w="4280" w:type="dxa"/>
            <w:vAlign w:val="bottom"/>
            <w:gridSpan w:val="2"/>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4"/>
        </w:trPr>
        <w:tc>
          <w:tcPr>
            <w:tcW w:w="85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 Opinion on Financial Statements (PCAOB ID 34)</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4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2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Earnings and Comprehensive Income</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47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37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9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UFP Industries,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UFP Industries, Inc. and subsidiaries (the "Company") as of December 27,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27, 2025, based on criteria established in Internal Control — Integrated Framework (2013) issued by COSO.</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27, 2025, of the Company and our report dated February 25, 2026, expressed an unqualified opinion on those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25,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UFP Industries,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UFP Industries, Inc. and subsidiaries (the "Company") as of December 27, 2025 and December 28, 2024, the related consolidated statements of earnings and comprehensive income, shareholders' equity, and cash flows, for each of the three years in the period ended December 27, 2025, and the related notes (collectively referred to as the "financial statements"). In our opinion, the financial statements present fairly, in all material respects, the financial position of the Company as of December 27, 2025 and December 28, 2024, and the results of its operations and its cash flows for each of the three years in the period ended December 27, 2025, in conformity with accounting principles generally accepted in the United States of America.</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27, 2025, based on criteria established in Internal Control — Integrated Framework (2013) issued by the Committee of Sponsoring Organizations of the Treadway Commission and our report dated February 25, 2026, expressed an unqualified opinion on the Company's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Sales – Point in Time Revenue - Refer to Note A to the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point in time revenue f or product sales is recognized at the time the performance obligation is satisfied and the majority of the Company’s contracts have a single performance obligation. Generally, title and control passes at the time of shipment. In certain circumstances, the customer takes title when the shipment arrives at the destination. However, the shipping process is typically completed the same day.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Auditing point in time revenue required a significant extent of effort, including the involvement of professionals in our firm with expertise in information technology.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audit procedures related to point in time revenue included the following, among others:</w:t>
      </w:r>
    </w:p>
    <w:p>
      <w:pPr>
        <w:spacing w:after="0" w:line="225" w:lineRule="exact"/>
        <w:rPr>
          <w:sz w:val="20"/>
          <w:szCs w:val="20"/>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with expertise in information technology, we tested the effectiveness of controls over point in time revenue, including automated controls and general IT controls.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substantive analytical procedures by developing independent expectations for point in time revenue and comparing the expectations to the point in time revenue that was recorded by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share data)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0"/>
        </w:trPr>
        <w:tc>
          <w:tcPr>
            <w:tcW w:w="6240" w:type="dxa"/>
            <w:vAlign w:val="bottom"/>
          </w:tcPr>
          <w:p>
            <w:pPr>
              <w:ind w:left="60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8"/>
        </w:trPr>
        <w:tc>
          <w:tcPr>
            <w:tcW w:w="62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914,199</w:t>
            </w:r>
          </w:p>
        </w:tc>
        <w:tc>
          <w:tcPr>
            <w:tcW w:w="36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0" w:type="dxa"/>
            <w:vAlign w:val="bottom"/>
          </w:tcPr>
          <w:p>
            <w:pPr>
              <w:spacing w:after="0"/>
              <w:rPr>
                <w:sz w:val="1"/>
                <w:szCs w:val="1"/>
                <w:color w:val="auto"/>
              </w:rPr>
            </w:pPr>
          </w:p>
        </w:tc>
      </w:tr>
      <w:tr>
        <w:trPr>
          <w:trHeight w:val="148"/>
        </w:trPr>
        <w:tc>
          <w:tcPr>
            <w:tcW w:w="6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34,374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31,087</w:t>
            </w:r>
          </w:p>
        </w:tc>
        <w:tc>
          <w:tcPr>
            <w:tcW w:w="0" w:type="dxa"/>
            <w:vAlign w:val="bottom"/>
          </w:tcPr>
          <w:p>
            <w:pPr>
              <w:spacing w:after="0"/>
              <w:rPr>
                <w:sz w:val="1"/>
                <w:szCs w:val="1"/>
                <w:color w:val="auto"/>
              </w:rPr>
            </w:pPr>
          </w:p>
        </w:tc>
      </w:tr>
      <w:tr>
        <w:trPr>
          <w:trHeight w:val="148"/>
        </w:trPr>
        <w:tc>
          <w:tcPr>
            <w:tcW w:w="6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475,959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500,920</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380,206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388,435</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341,814</w:t>
            </w: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332,389</w:t>
            </w:r>
          </w:p>
        </w:tc>
        <w:tc>
          <w:tcPr>
            <w:tcW w:w="0" w:type="dxa"/>
            <w:vAlign w:val="bottom"/>
          </w:tcPr>
          <w:p>
            <w:pPr>
              <w:spacing w:after="0"/>
              <w:rPr>
                <w:sz w:val="1"/>
                <w:szCs w:val="1"/>
                <w:color w:val="auto"/>
              </w:rPr>
            </w:pPr>
          </w:p>
        </w:tc>
      </w:tr>
      <w:tr>
        <w:trPr>
          <w:trHeight w:val="136"/>
        </w:trPr>
        <w:tc>
          <w:tcPr>
            <w:tcW w:w="62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722,020</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720,824</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38,373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20,588</w:t>
            </w:r>
          </w:p>
        </w:tc>
        <w:tc>
          <w:tcPr>
            <w:tcW w:w="0" w:type="dxa"/>
            <w:vAlign w:val="bottom"/>
          </w:tcPr>
          <w:p>
            <w:pPr>
              <w:spacing w:after="0"/>
              <w:rPr>
                <w:sz w:val="1"/>
                <w:szCs w:val="1"/>
                <w:color w:val="auto"/>
              </w:rPr>
            </w:pPr>
          </w:p>
        </w:tc>
      </w:tr>
      <w:tr>
        <w:trPr>
          <w:trHeight w:val="148"/>
        </w:trPr>
        <w:tc>
          <w:tcPr>
            <w:tcW w:w="6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66,515</w:t>
            </w: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50,012</w:t>
            </w:r>
          </w:p>
        </w:tc>
        <w:tc>
          <w:tcPr>
            <w:tcW w:w="0" w:type="dxa"/>
            <w:vAlign w:val="bottom"/>
          </w:tcPr>
          <w:p>
            <w:pPr>
              <w:spacing w:after="0"/>
              <w:rPr>
                <w:sz w:val="1"/>
                <w:szCs w:val="1"/>
                <w:color w:val="auto"/>
              </w:rPr>
            </w:pPr>
          </w:p>
        </w:tc>
      </w:tr>
      <w:tr>
        <w:trPr>
          <w:trHeight w:val="136"/>
        </w:trPr>
        <w:tc>
          <w:tcPr>
            <w:tcW w:w="6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2,268,652</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2,503,025</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income taxes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investments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50,540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39,140</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Right of use assets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115,790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114,721</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102,433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98,409</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343,921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339,839</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Indefinite-lived intangible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intangible assets,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133,616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152,498</w:t>
            </w:r>
          </w:p>
        </w:tc>
        <w:tc>
          <w:tcPr>
            <w:tcW w:w="0" w:type="dxa"/>
            <w:vAlign w:val="bottom"/>
          </w:tcPr>
          <w:p>
            <w:pPr>
              <w:spacing w:after="0"/>
              <w:rPr>
                <w:sz w:val="1"/>
                <w:szCs w:val="1"/>
                <w:color w:val="auto"/>
              </w:rPr>
            </w:pPr>
          </w:p>
        </w:tc>
      </w:tr>
      <w:tr>
        <w:trPr>
          <w:trHeight w:val="149"/>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1,936,470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1,750,211</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(943,890)</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(859,468)</w:t>
            </w:r>
          </w:p>
        </w:tc>
        <w:tc>
          <w:tcPr>
            <w:tcW w:w="0" w:type="dxa"/>
            <w:vAlign w:val="bottom"/>
          </w:tcPr>
          <w:p>
            <w:pPr>
              <w:spacing w:after="0"/>
              <w:rPr>
                <w:sz w:val="1"/>
                <w:szCs w:val="1"/>
                <w:color w:val="auto"/>
              </w:rPr>
            </w:pPr>
          </w:p>
        </w:tc>
      </w:tr>
      <w:tr>
        <w:trPr>
          <w:trHeight w:val="169"/>
        </w:trPr>
        <w:tc>
          <w:tcPr>
            <w:tcW w:w="624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992,580</w:t>
            </w: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890,743</w:t>
            </w:r>
          </w:p>
        </w:tc>
        <w:tc>
          <w:tcPr>
            <w:tcW w:w="0" w:type="dxa"/>
            <w:vAlign w:val="bottom"/>
          </w:tcPr>
          <w:p>
            <w:pPr>
              <w:spacing w:after="0"/>
              <w:rPr>
                <w:sz w:val="1"/>
                <w:szCs w:val="1"/>
                <w:color w:val="auto"/>
              </w:rPr>
            </w:pPr>
          </w:p>
        </w:tc>
      </w:tr>
      <w:tr>
        <w:trPr>
          <w:trHeight w:val="175"/>
        </w:trPr>
        <w:tc>
          <w:tcPr>
            <w:tcW w:w="6240" w:type="dxa"/>
            <w:vAlign w:val="bottom"/>
            <w:tcBorders>
              <w:bottom w:val="single" w:sz="8" w:color="CCEEFF"/>
            </w:tcBorders>
          </w:tcPr>
          <w:p>
            <w:pPr>
              <w:ind w:left="100"/>
              <w:spacing w:after="0" w:line="136"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4,022,893</w:t>
            </w:r>
          </w:p>
        </w:tc>
        <w:tc>
          <w:tcPr>
            <w:tcW w:w="28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4,150,938</w:t>
            </w:r>
          </w:p>
        </w:tc>
        <w:tc>
          <w:tcPr>
            <w:tcW w:w="0" w:type="dxa"/>
            <w:vAlign w:val="bottom"/>
          </w:tcPr>
          <w:p>
            <w:pPr>
              <w:spacing w:after="0"/>
              <w:rPr>
                <w:sz w:val="1"/>
                <w:szCs w:val="1"/>
                <w:color w:val="auto"/>
              </w:rPr>
            </w:pPr>
          </w:p>
        </w:tc>
      </w:tr>
      <w:tr>
        <w:trPr>
          <w:trHeight w:val="129"/>
        </w:trPr>
        <w:tc>
          <w:tcPr>
            <w:tcW w:w="6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temporary equity and shareholders’ equity</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205,932</w:t>
            </w:r>
          </w:p>
        </w:tc>
        <w:tc>
          <w:tcPr>
            <w:tcW w:w="360" w:type="dxa"/>
            <w:vAlign w:val="bottom"/>
            <w:gridSpan w:val="3"/>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224,659</w:t>
            </w:r>
          </w:p>
        </w:tc>
        <w:tc>
          <w:tcPr>
            <w:tcW w:w="0" w:type="dxa"/>
            <w:vAlign w:val="bottom"/>
          </w:tcPr>
          <w:p>
            <w:pPr>
              <w:spacing w:after="0"/>
              <w:rPr>
                <w:sz w:val="1"/>
                <w:szCs w:val="1"/>
                <w:color w:val="auto"/>
              </w:rPr>
            </w:pPr>
          </w:p>
        </w:tc>
      </w:tr>
      <w:tr>
        <w:trPr>
          <w:trHeight w:val="149"/>
        </w:trPr>
        <w:tc>
          <w:tcPr>
            <w:tcW w:w="6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188,354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193,438</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liabilities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62,356</w:t>
            </w:r>
          </w:p>
        </w:tc>
        <w:tc>
          <w:tcPr>
            <w:tcW w:w="0" w:type="dxa"/>
            <w:vAlign w:val="bottom"/>
          </w:tcPr>
          <w:p>
            <w:pPr>
              <w:spacing w:after="0"/>
              <w:rPr>
                <w:sz w:val="1"/>
                <w:szCs w:val="1"/>
                <w:color w:val="auto"/>
              </w:rPr>
            </w:pPr>
          </w:p>
        </w:tc>
      </w:tr>
      <w:tr>
        <w:trPr>
          <w:trHeight w:val="149"/>
        </w:trPr>
        <w:tc>
          <w:tcPr>
            <w:tcW w:w="62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27,997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27,870</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w:t>
            </w:r>
          </w:p>
        </w:tc>
        <w:tc>
          <w:tcPr>
            <w:tcW w:w="0" w:type="dxa"/>
            <w:vAlign w:val="bottom"/>
          </w:tcPr>
          <w:p>
            <w:pPr>
              <w:spacing w:after="0"/>
              <w:rPr>
                <w:sz w:val="1"/>
                <w:szCs w:val="1"/>
                <w:color w:val="auto"/>
              </w:rPr>
            </w:pPr>
          </w:p>
        </w:tc>
      </w:tr>
      <w:tr>
        <w:trPr>
          <w:trHeight w:val="135"/>
        </w:trPr>
        <w:tc>
          <w:tcPr>
            <w:tcW w:w="6240" w:type="dxa"/>
            <w:vAlign w:val="bottom"/>
          </w:tcPr>
          <w:p>
            <w:pPr>
              <w:ind w:left="220"/>
              <w:spacing w:after="0" w:line="136"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494,221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512,448</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Long-term debt and finance lease obligations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228,859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229,830</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Lease liability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99,085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95,095</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income taxes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83,205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31,244</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 liabilities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28,816</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32,330</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934,186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900,947</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Temporary 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 outstanding, none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24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240,000,000; issued and outstanding, 56,591,900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56,592</w:t>
            </w: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60,724</w:t>
            </w:r>
          </w:p>
        </w:tc>
        <w:tc>
          <w:tcPr>
            <w:tcW w:w="0" w:type="dxa"/>
            <w:vAlign w:val="bottom"/>
          </w:tcPr>
          <w:p>
            <w:pPr>
              <w:spacing w:after="0"/>
              <w:rPr>
                <w:sz w:val="1"/>
                <w:szCs w:val="1"/>
                <w:color w:val="auto"/>
              </w:rPr>
            </w:pPr>
          </w:p>
        </w:tc>
      </w:tr>
      <w:tr>
        <w:trPr>
          <w:trHeight w:val="171"/>
        </w:trPr>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and 60,724,308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444,828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403,379</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2,559,375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2,775,280</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(15,311)</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3,062,359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3,224,072</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21,885</w:t>
            </w:r>
          </w:p>
        </w:tc>
        <w:tc>
          <w:tcPr>
            <w:tcW w:w="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20,553</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CCEEFF"/>
            </w:tcBorders>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3,084,244</w:t>
            </w: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3,244,625</w:t>
            </w:r>
          </w:p>
        </w:tc>
        <w:tc>
          <w:tcPr>
            <w:tcW w:w="0" w:type="dxa"/>
            <w:vAlign w:val="bottom"/>
          </w:tcPr>
          <w:p>
            <w:pPr>
              <w:spacing w:after="0"/>
              <w:rPr>
                <w:sz w:val="1"/>
                <w:szCs w:val="1"/>
                <w:color w:val="auto"/>
              </w:rPr>
            </w:pPr>
          </w:p>
        </w:tc>
      </w:tr>
      <w:tr>
        <w:trPr>
          <w:trHeight w:val="135"/>
        </w:trPr>
        <w:tc>
          <w:tcPr>
            <w:tcW w:w="624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b w:val="1"/>
                <w:bCs w:val="1"/>
                <w:color w:val="auto"/>
              </w:rPr>
              <w:t>Total liabilities, temporary equity and shareholders’ equity</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4,022,893</w:t>
            </w:r>
          </w:p>
        </w:tc>
        <w:tc>
          <w:tcPr>
            <w:tcW w:w="280" w:type="dxa"/>
            <w:vAlign w:val="bottom"/>
            <w:gridSpan w:val="2"/>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4,150,938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COMPREHENSIVE INCOME</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 except per share data)</w:t>
            </w:r>
          </w:p>
        </w:tc>
        <w:tc>
          <w:tcPr>
            <w:tcW w:w="7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7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6,320,343</w:t>
            </w:r>
          </w:p>
        </w:tc>
        <w:tc>
          <w:tcPr>
            <w:tcW w:w="160" w:type="dxa"/>
            <w:vAlign w:val="bottom"/>
            <w:tcBorders>
              <w:top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6,652,309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7,218,384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sales</w:t>
            </w: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5,260,193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5,425,567</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5,799,446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1,060,150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1,226,742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1,418,938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766,633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(gain) on disposition and impairments of assets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losses (gains), net</w:t>
            </w: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2,113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(6,703)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696,249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734,500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772,404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from operations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363,901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492,242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646,534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 other</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and investment income</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 in (earnings) loss of investee</w:t>
            </w: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interest and other</w:t>
            </w: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(47,913)</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before income taxes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392,241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540,155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96,249</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121,422</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295,992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 net earnings attributable to noncontrolling interest</w:t>
            </w: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 attributable to controlling interest</w:t>
            </w:r>
          </w:p>
        </w:tc>
        <w:tc>
          <w:tcPr>
            <w:tcW w:w="7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294,792</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414,560</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 - basic</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 - diluted</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earnings</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295,992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418,733</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514,457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19,348</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315,340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529,293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Less comprehensive income attributable to noncontrolling interest</w:t>
            </w:r>
          </w:p>
        </w:tc>
        <w:tc>
          <w:tcPr>
            <w:tcW w:w="7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attributable to controlling interest</w:t>
            </w:r>
          </w:p>
        </w:tc>
        <w:tc>
          <w:tcPr>
            <w:tcW w:w="7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311,667</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398,143</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Controlling Interest Shareholders’ Equity</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82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except share and per share data)</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Temporary</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Capital</w:t>
            </w:r>
          </w:p>
        </w:tc>
        <w:tc>
          <w:tcPr>
            <w:tcW w:w="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b w:val="1"/>
                <w:bCs w:val="1"/>
                <w:color w:val="auto"/>
              </w:rPr>
              <w:t>Earnings</w:t>
            </w:r>
          </w:p>
        </w:tc>
        <w:tc>
          <w:tcPr>
            <w:tcW w:w="1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w:t>
            </w:r>
            <w:r>
              <w:rPr>
                <w:rFonts w:ascii="Times New Roman" w:cs="Times New Roman" w:eastAsia="Times New Roman" w:hAnsi="Times New Roman"/>
                <w:sz w:val="14"/>
                <w:szCs w:val="14"/>
                <w:b w:val="1"/>
                <w:bCs w:val="1"/>
                <w:color w:val="auto"/>
              </w:rPr>
              <w:t>Interest (NCI)</w:t>
            </w: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gridSpan w:val="3"/>
          </w:tcPr>
          <w:p>
            <w:pPr>
              <w:ind w:left="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7"/>
        </w:trPr>
        <w:tc>
          <w:tcPr>
            <w:tcW w:w="28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on December 31, 2022</w:t>
            </w: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00" w:type="dxa"/>
            <w:vAlign w:val="bottom"/>
            <w:gridSpan w:val="2"/>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2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61,618</w:t>
            </w:r>
          </w:p>
        </w:tc>
        <w:tc>
          <w:tcPr>
            <w:tcW w:w="80" w:type="dxa"/>
            <w:vAlign w:val="bottom"/>
            <w:vMerge w:val="continue"/>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$ 294,029</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$ 2,217,410</w:t>
            </w:r>
          </w:p>
        </w:tc>
        <w:tc>
          <w:tcPr>
            <w:tcW w:w="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(9,075)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32,841</w:t>
            </w: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$ 2,596,823</w:t>
            </w:r>
          </w:p>
        </w:tc>
        <w:tc>
          <w:tcPr>
            <w:tcW w:w="1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6,880</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514,975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4,267</w:t>
            </w:r>
          </w:p>
        </w:tc>
        <w:tc>
          <w:tcPr>
            <w:tcW w:w="2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NCI related to business combinations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13,237</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$1.10 per share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32,944 shares under ESPP</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2,717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820,591 shares under stock grant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2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14,485</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124,145 shares under deferred</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974,869 shares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34,727</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34,727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74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10,895</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820" w:type="dxa"/>
            <w:vAlign w:val="bottom"/>
            <w:tcBorders>
              <w:bottom w:val="single" w:sz="8" w:color="CCEEFF"/>
              <w:right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40" w:type="dxa"/>
            <w:vAlign w:val="bottom"/>
            <w:tcBorders>
              <w:bottom w:val="single" w:sz="8" w:color="auto"/>
              <w:right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61,621</w:t>
            </w:r>
          </w:p>
        </w:tc>
        <w:tc>
          <w:tcPr>
            <w:tcW w:w="80" w:type="dxa"/>
            <w:vAlign w:val="bottom"/>
          </w:tcPr>
          <w:p>
            <w:pPr>
              <w:spacing w:after="0"/>
              <w:rPr>
                <w:sz w:val="11"/>
                <w:szCs w:val="11"/>
                <w:color w:val="auto"/>
              </w:rPr>
            </w:pPr>
          </w:p>
        </w:tc>
        <w:tc>
          <w:tcPr>
            <w:tcW w:w="740" w:type="dxa"/>
            <w:vAlign w:val="bottom"/>
          </w:tcPr>
          <w:p>
            <w:pPr>
              <w:jc w:val="right"/>
              <w:ind w:right="68"/>
              <w:spacing w:after="0" w:line="136" w:lineRule="exact"/>
              <w:rPr>
                <w:sz w:val="20"/>
                <w:szCs w:val="20"/>
                <w:color w:val="auto"/>
              </w:rPr>
            </w:pPr>
            <w:r>
              <w:rPr>
                <w:rFonts w:ascii="Times New Roman" w:cs="Times New Roman" w:eastAsia="Times New Roman" w:hAnsi="Times New Roman"/>
                <w:sz w:val="14"/>
                <w:szCs w:val="14"/>
                <w:b w:val="1"/>
                <w:bCs w:val="1"/>
                <w:color w:val="auto"/>
              </w:rPr>
              <w:t>$ 354,702</w:t>
            </w: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$ 2,582,332</w:t>
            </w:r>
          </w:p>
        </w:tc>
        <w:tc>
          <w:tcPr>
            <w:tcW w:w="80" w:type="dxa"/>
            <w:vAlign w:val="bottom"/>
          </w:tcPr>
          <w:p>
            <w:pPr>
              <w:spacing w:after="0"/>
              <w:rPr>
                <w:sz w:val="11"/>
                <w:szCs w:val="11"/>
                <w:color w:val="auto"/>
              </w:rPr>
            </w:pP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1,106</w:t>
            </w:r>
          </w:p>
        </w:tc>
        <w:tc>
          <w:tcPr>
            <w:tcW w:w="50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30,429</w:t>
            </w:r>
          </w:p>
        </w:tc>
        <w:tc>
          <w:tcPr>
            <w:tcW w:w="8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$ 3,030,190</w:t>
            </w:r>
          </w:p>
        </w:tc>
        <w:tc>
          <w:tcPr>
            <w:tcW w:w="100" w:type="dxa"/>
            <w:vAlign w:val="bottom"/>
            <w:gridSpan w:val="2"/>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414,560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5,413</w:t>
            </w:r>
          </w:p>
        </w:tc>
        <w:tc>
          <w:tcPr>
            <w:tcW w:w="22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419,973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w:t>
            </w:r>
          </w:p>
        </w:tc>
        <w:tc>
          <w:tcPr>
            <w:tcW w:w="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(13,302)</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$1.32 per share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(80,782)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27,898 shares under ESPP</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2,784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380,548 shares under stock grant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2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5,923</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104,124 shares under deferred</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1,409,266 shares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(160,002)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37,938</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37,938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74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11,664</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820" w:type="dxa"/>
            <w:vAlign w:val="bottom"/>
            <w:tcBorders>
              <w:bottom w:val="single" w:sz="8" w:color="CCEEFF"/>
              <w:right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40" w:type="dxa"/>
            <w:vAlign w:val="bottom"/>
            <w:tcBorders>
              <w:bottom w:val="single" w:sz="8" w:color="auto"/>
              <w:right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December 28, 2024</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60,724</w:t>
            </w:r>
          </w:p>
        </w:tc>
        <w:tc>
          <w:tcPr>
            <w:tcW w:w="80" w:type="dxa"/>
            <w:vAlign w:val="bottom"/>
          </w:tcPr>
          <w:p>
            <w:pPr>
              <w:spacing w:after="0"/>
              <w:rPr>
                <w:sz w:val="11"/>
                <w:szCs w:val="11"/>
                <w:color w:val="auto"/>
              </w:rPr>
            </w:pPr>
          </w:p>
        </w:tc>
        <w:tc>
          <w:tcPr>
            <w:tcW w:w="740" w:type="dxa"/>
            <w:vAlign w:val="bottom"/>
          </w:tcPr>
          <w:p>
            <w:pPr>
              <w:jc w:val="right"/>
              <w:ind w:right="68"/>
              <w:spacing w:after="0" w:line="136" w:lineRule="exact"/>
              <w:rPr>
                <w:sz w:val="20"/>
                <w:szCs w:val="20"/>
                <w:color w:val="auto"/>
              </w:rPr>
            </w:pPr>
            <w:r>
              <w:rPr>
                <w:rFonts w:ascii="Times New Roman" w:cs="Times New Roman" w:eastAsia="Times New Roman" w:hAnsi="Times New Roman"/>
                <w:sz w:val="14"/>
                <w:szCs w:val="14"/>
                <w:b w:val="1"/>
                <w:bCs w:val="1"/>
                <w:color w:val="auto"/>
              </w:rPr>
              <w:t>$ 403,379</w:t>
            </w: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$ 2,775,280</w:t>
            </w:r>
          </w:p>
        </w:tc>
        <w:tc>
          <w:tcPr>
            <w:tcW w:w="80" w:type="dxa"/>
            <w:vAlign w:val="bottom"/>
          </w:tcPr>
          <w:p>
            <w:pPr>
              <w:spacing w:after="0"/>
              <w:rPr>
                <w:sz w:val="11"/>
                <w:szCs w:val="11"/>
                <w:color w:val="auto"/>
              </w:rPr>
            </w:pP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3"/>
          </w:tcPr>
          <w:p>
            <w:pPr>
              <w:jc w:val="right"/>
              <w:ind w:right="340"/>
              <w:spacing w:after="0" w:line="136" w:lineRule="exact"/>
              <w:rPr>
                <w:sz w:val="20"/>
                <w:szCs w:val="20"/>
                <w:color w:val="auto"/>
              </w:rPr>
            </w:pPr>
            <w:r>
              <w:rPr>
                <w:rFonts w:ascii="Times New Roman" w:cs="Times New Roman" w:eastAsia="Times New Roman" w:hAnsi="Times New Roman"/>
                <w:sz w:val="14"/>
                <w:szCs w:val="14"/>
                <w:b w:val="1"/>
                <w:bCs w:val="1"/>
                <w:color w:val="auto"/>
              </w:rPr>
              <w:t xml:space="preserve">(15,311)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20,553</w:t>
            </w:r>
          </w:p>
        </w:tc>
        <w:tc>
          <w:tcPr>
            <w:tcW w:w="8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$ 3,244,625</w:t>
            </w:r>
          </w:p>
        </w:tc>
        <w:tc>
          <w:tcPr>
            <w:tcW w:w="100" w:type="dxa"/>
            <w:vAlign w:val="bottom"/>
            <w:gridSpan w:val="2"/>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5,366</w:t>
            </w:r>
          </w:p>
        </w:tc>
        <w:tc>
          <w:tcPr>
            <w:tcW w:w="0" w:type="dxa"/>
            <w:vAlign w:val="bottom"/>
          </w:tcPr>
          <w:p>
            <w:pPr>
              <w:spacing w:after="0"/>
              <w:rPr>
                <w:sz w:val="1"/>
                <w:szCs w:val="1"/>
                <w:color w:val="auto"/>
              </w:rPr>
            </w:pPr>
          </w:p>
        </w:tc>
      </w:tr>
      <w:tr>
        <w:trPr>
          <w:trHeight w:val="148"/>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294,792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296,409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16"/>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investments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$1.40 per share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29,749 shares under ESPP</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2,441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222,935 shares under stock grant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20" w:type="dxa"/>
            <w:vAlign w:val="bottom"/>
            <w:tcBorders>
              <w:right w:val="single" w:sz="8" w:color="CCEEFF"/>
            </w:tcBorders>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3,156</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20" w:type="dxa"/>
            <w:vAlign w:val="bottom"/>
            <w:tcBorders>
              <w:right w:val="single" w:sz="8" w:color="CCEEFF"/>
            </w:tcBorders>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113,743 shares under deferred</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w:t>
            </w: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4,498,835 shares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(4,499)</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(9,503)</w:t>
            </w: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(428,617)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(442,619)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37,583</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37,583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tcBorders>
              <w:right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740" w:type="dxa"/>
            <w:vAlign w:val="bottom"/>
            <w:tcBorders>
              <w:right w:val="single" w:sz="8" w:color="CCEEFF"/>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11,549</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820" w:type="dxa"/>
            <w:vAlign w:val="bottom"/>
            <w:tcBorders>
              <w:bottom w:val="single" w:sz="8" w:color="CCEEFF"/>
              <w:right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740" w:type="dxa"/>
            <w:vAlign w:val="bottom"/>
            <w:tcBorders>
              <w:bottom w:val="single" w:sz="8" w:color="auto"/>
              <w:right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December 27, 2025</w:t>
            </w: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56,592</w:t>
            </w:r>
          </w:p>
        </w:tc>
        <w:tc>
          <w:tcPr>
            <w:tcW w:w="80" w:type="dxa"/>
            <w:vAlign w:val="bottom"/>
          </w:tcPr>
          <w:p>
            <w:pPr>
              <w:spacing w:after="0"/>
              <w:rPr>
                <w:sz w:val="11"/>
                <w:szCs w:val="11"/>
                <w:color w:val="auto"/>
              </w:rPr>
            </w:pPr>
          </w:p>
        </w:tc>
        <w:tc>
          <w:tcPr>
            <w:tcW w:w="740" w:type="dxa"/>
            <w:vAlign w:val="bottom"/>
          </w:tcPr>
          <w:p>
            <w:pPr>
              <w:jc w:val="right"/>
              <w:ind w:right="68"/>
              <w:spacing w:after="0" w:line="136" w:lineRule="exact"/>
              <w:rPr>
                <w:sz w:val="20"/>
                <w:szCs w:val="20"/>
                <w:color w:val="auto"/>
              </w:rPr>
            </w:pPr>
            <w:r>
              <w:rPr>
                <w:rFonts w:ascii="Times New Roman" w:cs="Times New Roman" w:eastAsia="Times New Roman" w:hAnsi="Times New Roman"/>
                <w:sz w:val="14"/>
                <w:szCs w:val="14"/>
                <w:b w:val="1"/>
                <w:bCs w:val="1"/>
                <w:color w:val="auto"/>
              </w:rPr>
              <w:t>$ 444,828</w:t>
            </w: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b w:val="1"/>
                <w:bCs w:val="1"/>
                <w:color w:val="auto"/>
                <w:w w:val="99"/>
              </w:rPr>
              <w:t>$ 2,559,375</w:t>
            </w:r>
          </w:p>
        </w:tc>
        <w:tc>
          <w:tcPr>
            <w:tcW w:w="80" w:type="dxa"/>
            <w:vAlign w:val="bottom"/>
          </w:tcPr>
          <w:p>
            <w:pPr>
              <w:spacing w:after="0"/>
              <w:rPr>
                <w:sz w:val="11"/>
                <w:szCs w:val="11"/>
                <w:color w:val="auto"/>
              </w:rPr>
            </w:pP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1,564</w:t>
            </w:r>
          </w:p>
        </w:tc>
        <w:tc>
          <w:tcPr>
            <w:tcW w:w="50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21,885</w:t>
            </w:r>
          </w:p>
        </w:tc>
        <w:tc>
          <w:tcPr>
            <w:tcW w:w="80" w:type="dxa"/>
            <w:vAlign w:val="bottom"/>
          </w:tcPr>
          <w:p>
            <w:pPr>
              <w:spacing w:after="0"/>
              <w:rPr>
                <w:sz w:val="11"/>
                <w:szCs w:val="11"/>
                <w:color w:val="auto"/>
              </w:rPr>
            </w:pP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$ 3,084,244</w:t>
            </w:r>
          </w:p>
        </w:tc>
        <w:tc>
          <w:tcPr>
            <w:tcW w:w="100" w:type="dxa"/>
            <w:vAlign w:val="bottom"/>
            <w:gridSpan w:val="2"/>
          </w:tcPr>
          <w:p>
            <w:pPr>
              <w:spacing w:after="0"/>
              <w:rPr>
                <w:sz w:val="11"/>
                <w:szCs w:val="11"/>
                <w:color w:val="auto"/>
              </w:rPr>
            </w:pPr>
          </w:p>
        </w:tc>
        <w:tc>
          <w:tcPr>
            <w:tcW w:w="8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4,463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of United States dollars)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7"/>
              </w:rPr>
              <w:t>December 27,</w:t>
            </w:r>
          </w:p>
        </w:tc>
        <w:tc>
          <w:tcPr>
            <w:tcW w:w="1020" w:type="dxa"/>
            <w:vAlign w:val="bottom"/>
            <w:gridSpan w:val="4"/>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0"/>
                <w:szCs w:val="10"/>
                <w:color w:val="auto"/>
              </w:rPr>
            </w:pPr>
          </w:p>
        </w:tc>
        <w:tc>
          <w:tcPr>
            <w:tcW w:w="92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0"/>
        </w:trPr>
        <w:tc>
          <w:tcPr>
            <w:tcW w:w="5840" w:type="dxa"/>
            <w:vAlign w:val="bottom"/>
          </w:tcPr>
          <w:p>
            <w:pPr>
              <w:ind w:left="56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58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295,992</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418,733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514,457</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124,641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110,563</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22,691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23,521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21,327</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38,163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34,899</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(5,573)</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of investments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Equity in (earnings) loss of investee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 (gain) loss on sale, disposition and impairment of assets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of goodwill and other intangibles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(3,177)</w:t>
            </w:r>
          </w:p>
        </w:tc>
        <w:tc>
          <w:tcPr>
            <w:tcW w:w="0" w:type="dxa"/>
            <w:vAlign w:val="bottom"/>
          </w:tcPr>
          <w:p>
            <w:pPr>
              <w:spacing w:after="0"/>
              <w:rPr>
                <w:sz w:val="1"/>
                <w:szCs w:val="1"/>
                <w:color w:val="auto"/>
              </w:rPr>
            </w:pPr>
          </w:p>
        </w:tc>
      </w:tr>
      <w:tr>
        <w:trPr>
          <w:trHeight w:val="149"/>
        </w:trPr>
        <w:tc>
          <w:tcPr>
            <w:tcW w:w="5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47,070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81,659</w:t>
            </w:r>
          </w:p>
        </w:tc>
        <w:tc>
          <w:tcPr>
            <w:tcW w:w="0" w:type="dxa"/>
            <w:vAlign w:val="bottom"/>
          </w:tcPr>
          <w:p>
            <w:pPr>
              <w:spacing w:after="0"/>
              <w:rPr>
                <w:sz w:val="1"/>
                <w:szCs w:val="1"/>
                <w:color w:val="auto"/>
              </w:rPr>
            </w:pPr>
          </w:p>
        </w:tc>
      </w:tr>
      <w:tr>
        <w:trPr>
          <w:trHeight w:val="148"/>
        </w:trPr>
        <w:tc>
          <w:tcPr>
            <w:tcW w:w="58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250,561</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(3,578)</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(17,754)</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(25,316)</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(40,920)</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Net cash from operating activities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545,737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642,571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959,890</w:t>
            </w:r>
          </w:p>
        </w:tc>
        <w:tc>
          <w:tcPr>
            <w:tcW w:w="0" w:type="dxa"/>
            <w:vAlign w:val="bottom"/>
          </w:tcPr>
          <w:p>
            <w:pPr>
              <w:spacing w:after="0"/>
              <w:rPr>
                <w:sz w:val="1"/>
                <w:szCs w:val="1"/>
                <w:color w:val="auto"/>
              </w:rPr>
            </w:pPr>
          </w:p>
        </w:tc>
      </w:tr>
      <w:tr>
        <w:trPr>
          <w:trHeight w:val="148"/>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(269,377)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(232,274)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(180,382)</w:t>
            </w:r>
          </w:p>
        </w:tc>
        <w:tc>
          <w:tcPr>
            <w:tcW w:w="0" w:type="dxa"/>
            <w:vAlign w:val="bottom"/>
          </w:tcPr>
          <w:p>
            <w:pPr>
              <w:spacing w:after="0"/>
              <w:rPr>
                <w:sz w:val="1"/>
                <w:szCs w:val="1"/>
                <w:color w:val="auto"/>
              </w:rPr>
            </w:pPr>
          </w:p>
        </w:tc>
      </w:tr>
      <w:tr>
        <w:trPr>
          <w:trHeight w:val="148"/>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Acquisitions and purchases of noncontrolling interest, net of cash received</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(52,383)</w:t>
            </w:r>
          </w:p>
        </w:tc>
        <w:tc>
          <w:tcPr>
            <w:tcW w:w="0" w:type="dxa"/>
            <w:vAlign w:val="bottom"/>
          </w:tcPr>
          <w:p>
            <w:pPr>
              <w:spacing w:after="0"/>
              <w:rPr>
                <w:sz w:val="1"/>
                <w:szCs w:val="1"/>
                <w:color w:val="auto"/>
              </w:rPr>
            </w:pPr>
          </w:p>
        </w:tc>
      </w:tr>
      <w:tr>
        <w:trPr>
          <w:trHeight w:val="148"/>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(55,397)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(29,806)</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29,935</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4,406</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(10,819)</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(273,241)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(270,750)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(240,164)</w:t>
            </w:r>
          </w:p>
        </w:tc>
        <w:tc>
          <w:tcPr>
            <w:tcW w:w="0" w:type="dxa"/>
            <w:vAlign w:val="bottom"/>
          </w:tcPr>
          <w:p>
            <w:pPr>
              <w:spacing w:after="0"/>
              <w:rPr>
                <w:sz w:val="1"/>
                <w:szCs w:val="1"/>
                <w:color w:val="auto"/>
              </w:rPr>
            </w:pPr>
          </w:p>
        </w:tc>
      </w:tr>
      <w:tr>
        <w:trPr>
          <w:trHeight w:val="148"/>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29,913</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28,462</w:t>
            </w:r>
          </w:p>
        </w:tc>
        <w:tc>
          <w:tcPr>
            <w:tcW w:w="0" w:type="dxa"/>
            <w:vAlign w:val="bottom"/>
          </w:tcPr>
          <w:p>
            <w:pPr>
              <w:spacing w:after="0"/>
              <w:rPr>
                <w:sz w:val="1"/>
                <w:szCs w:val="1"/>
                <w:color w:val="auto"/>
              </w:rPr>
            </w:pPr>
          </w:p>
        </w:tc>
      </w:tr>
      <w:tr>
        <w:trPr>
          <w:trHeight w:val="149"/>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(32,256)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(30,125)</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(6,262)</w:t>
            </w:r>
          </w:p>
        </w:tc>
        <w:tc>
          <w:tcPr>
            <w:tcW w:w="0" w:type="dxa"/>
            <w:vAlign w:val="bottom"/>
          </w:tcPr>
          <w:p>
            <w:pPr>
              <w:spacing w:after="0"/>
              <w:rPr>
                <w:sz w:val="1"/>
                <w:szCs w:val="1"/>
                <w:color w:val="auto"/>
              </w:rPr>
            </w:pPr>
          </w:p>
        </w:tc>
      </w:tr>
      <w:tr>
        <w:trPr>
          <w:trHeight w:val="148"/>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(80,782)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(68,238)</w:t>
            </w:r>
          </w:p>
        </w:tc>
        <w:tc>
          <w:tcPr>
            <w:tcW w:w="0" w:type="dxa"/>
            <w:vAlign w:val="bottom"/>
          </w:tcPr>
          <w:p>
            <w:pPr>
              <w:spacing w:after="0"/>
              <w:rPr>
                <w:sz w:val="1"/>
                <w:szCs w:val="1"/>
                <w:color w:val="auto"/>
              </w:rPr>
            </w:pPr>
          </w:p>
        </w:tc>
      </w:tr>
      <w:tr>
        <w:trPr>
          <w:trHeight w:val="148"/>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remaining noncontrolling interest of subsidiary</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(433,028)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(82,149)</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(530,143)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(307,120)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(162,860)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3,124</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(7,363)</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5,767</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57,338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562,633</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1,179,594</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149"/>
        </w:trPr>
        <w:tc>
          <w:tcPr>
            <w:tcW w:w="58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925,071</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1,179,594</w:t>
            </w: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1,171,828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0" w:type="dxa"/>
            <w:vAlign w:val="bottom"/>
          </w:tcPr>
          <w:p>
            <w:pPr>
              <w:spacing w:after="0"/>
              <w:rPr>
                <w:sz w:val="1"/>
                <w:szCs w:val="1"/>
                <w:color w:val="auto"/>
              </w:rPr>
            </w:pPr>
          </w:p>
        </w:tc>
      </w:tr>
      <w:tr>
        <w:trPr>
          <w:trHeight w:val="148"/>
        </w:trPr>
        <w:tc>
          <w:tcPr>
            <w:tcW w:w="58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914,199</w:t>
            </w:r>
          </w:p>
        </w:tc>
        <w:tc>
          <w:tcPr>
            <w:tcW w:w="14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1,171,828</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1,118,329</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10,872</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0" w:type="dxa"/>
            <w:vAlign w:val="bottom"/>
          </w:tcPr>
          <w:p>
            <w:pPr>
              <w:spacing w:after="0"/>
              <w:rPr>
                <w:sz w:val="1"/>
                <w:szCs w:val="1"/>
                <w:color w:val="auto"/>
              </w:rPr>
            </w:pPr>
          </w:p>
        </w:tc>
      </w:tr>
      <w:tr>
        <w:trPr>
          <w:trHeight w:val="182"/>
        </w:trPr>
        <w:tc>
          <w:tcPr>
            <w:tcW w:w="58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925,071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1,179,594</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0" w:type="dxa"/>
            <w:vAlign w:val="bottom"/>
          </w:tcPr>
          <w:p>
            <w:pPr>
              <w:spacing w:after="0"/>
              <w:rPr>
                <w:sz w:val="1"/>
                <w:szCs w:val="1"/>
                <w:color w:val="auto"/>
              </w:rPr>
            </w:pPr>
          </w:p>
        </w:tc>
      </w:tr>
      <w:tr>
        <w:trPr>
          <w:trHeight w:val="129"/>
        </w:trPr>
        <w:tc>
          <w:tcPr>
            <w:tcW w:w="58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10,910</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12,736</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128,115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158,145</w:t>
            </w:r>
          </w:p>
        </w:tc>
        <w:tc>
          <w:tcPr>
            <w:tcW w:w="0" w:type="dxa"/>
            <w:vAlign w:val="bottom"/>
          </w:tcPr>
          <w:p>
            <w:pPr>
              <w:spacing w:after="0"/>
              <w:rPr>
                <w:sz w:val="1"/>
                <w:szCs w:val="1"/>
                <w:color w:val="auto"/>
              </w:rPr>
            </w:pPr>
          </w:p>
        </w:tc>
      </w:tr>
      <w:tr>
        <w:trPr>
          <w:trHeight w:val="148"/>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0" w:type="dxa"/>
            <w:vAlign w:val="bottom"/>
          </w:tcPr>
          <w:p>
            <w:pPr>
              <w:spacing w:after="0"/>
              <w:rPr>
                <w:sz w:val="1"/>
                <w:szCs w:val="1"/>
                <w:color w:val="auto"/>
              </w:rPr>
            </w:pPr>
          </w:p>
        </w:tc>
      </w:tr>
      <w:tr>
        <w:trPr>
          <w:trHeight w:val="148"/>
        </w:trPr>
        <w:tc>
          <w:tcPr>
            <w:tcW w:w="5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12,029</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11,920</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right="3619" w:hanging="10"/>
        <w:spacing w:after="0" w:line="503" w:lineRule="auto"/>
        <w:tabs>
          <w:tab w:leader="none" w:pos="70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SUMMARY OF SIGNIFICANT ACCOUNTING POLICIES </w:t>
      </w:r>
      <w:r>
        <w:rPr>
          <w:rFonts w:ascii="Times New Roman" w:cs="Times New Roman" w:eastAsia="Times New Roman" w:hAnsi="Times New Roman"/>
          <w:sz w:val="18"/>
          <w:szCs w:val="18"/>
          <w:b w:val="1"/>
          <w:bCs w:val="1"/>
          <w:color w:val="auto"/>
        </w:rPr>
        <w:t>OPERATIONS</w:t>
      </w: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whose subsidiaries supply products primarily made from wood, wood and non-wood composites, and other materials through three segments: retail, construction and packaging. Founded in 1955, we are headquartered in Grand Rapids, Michigan, with affiliates throughout the United States, Mexico, Canada, Spain, India and Australia.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PRESENTATION CURRENCY</w:t>
      </w:r>
    </w:p>
    <w:p>
      <w:pPr>
        <w:spacing w:after="0" w:line="229"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United States dollars (“US dollars” or “USD”), unless otherwise indicated.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which have been prepared in conformity with accounting principles generally accepted in the United States of America (“GAAP”) and with the rules and regulations of the Securities and Exchange Commission (the "SEC"), represent our assets and liabilities and operating results. The consolidated financial statements include our accounts and those of our wholly-owned and majority-owned subsidiaries and partnerships. All significant intercompany balances and transactions have been eliminated in consolidation.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were both first exercisable in June 2025 and expire in June 2030. As of December 27, 2025, the carrying value of our investment in Dempsey is $52.7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fiscal year is a 52 or 53 week period, ending on the last Saturday of December. Unless otherwise stated, references to 2025, 2024, and 2023 relate to the fiscal years ended December 27, 2025, December 28, 2024, and December 30, 2023, respectively. Fiscal years 2025, 2024 and 2023 were comprised of 52 weeks.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DISCLOSURES OF FINANCIAL INSTRUMENTS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follow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82"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Financial instruments with unadjusted, quoted prices listed on active market exchanges.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investment portfolio includes restricted investments within our wholly-owned subsidiary, Ardellis Insurance Ltd. There are $50.5 million and $39.1 million of restricted investments recorded as of December 27, 2025 and December 28,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purchased with an original maturity of three months or less.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Investments are deemed to be "available for sale" and are, accordingly, carried at fair value being the quoted market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base our allowances related to receivables on historical credit and collections experience, reasonable and supportable forecasts,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activity in our accounts receivable allowances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44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0" w:type="dxa"/>
            <w:vAlign w:val="bottom"/>
          </w:tcPr>
          <w:p>
            <w:pPr>
              <w:spacing w:after="0"/>
              <w:rPr>
                <w:sz w:val="13"/>
                <w:szCs w:val="13"/>
                <w:color w:val="auto"/>
              </w:rPr>
            </w:pP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possible losses on accounts receivable:</w:t>
            </w:r>
          </w:p>
        </w:tc>
        <w:tc>
          <w:tcPr>
            <w:tcW w:w="6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Year Ended December 27, 2025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4,204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57,787</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(56,898)</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5,093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 Ended December 28,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(66,392)</w:t>
            </w:r>
          </w:p>
        </w:tc>
        <w:tc>
          <w:tcPr>
            <w:tcW w:w="6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Year Ended December 30, 2023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accounts charged off, discounts given to customers and actual customer returns and allowances.</w:t>
      </w:r>
    </w:p>
    <w:p>
      <w:pPr>
        <w:spacing w:after="0" w:line="20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record estimated sales returns, discounts, and other applicable adjustments as a reduction of net sales in the same period revenue is recognized.</w:t>
      </w:r>
    </w:p>
    <w:p>
      <w:pPr>
        <w:spacing w:after="0" w:line="162"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retainage amounts related to long term construction contracts totaled $7.0 million and $8.6 million as of December 27, 2025 and December 28, 2024, respectively. All amounts are expected to be collected within 18 months. Concentration of accounts receivable related to our two largest customers totaled $95.7 million and $112.1 million as of December 27, 2025 and December 28,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 - Goodwill and Other - Internal-Use Software (Subtopic 350-40): Targeted Improvements to the Accounting for Internal-Use Software.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amendments in this ASU are effective for fiscal years beginning after December 15, 2027, and interim reporting periods within those annual reporting periods, using a prospective, retrospective or modified transition approach, with early adoption permitted. We are currently evaluating the impact of adopting this guidance on the consolidated financial statements and related disclosures.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Additionally, in January 2025, the FASB issued ASU 2025-01 to clarify the effective date of ASU 2024-03. This ASU provides guidance to expand disclosures related to the disaggregation of income statement expenses. Also, this ASU requires, in the notes to the financial statements, disclosure of specified information about certain costs and expenses which includes purchases of inventory, employee compensation, depreciation, and intangible asset amortization included in each relevant expense caption. ASU 2025-01 is effective for fiscal years beginning after December 15, 2026, and interim periods within annual reporting periods beginning after December 15, 2027, on a retrospective or prospective basis, with early adoption permitted. We are currently evaluating the impact of adopting this guidance on the financial statement disclosures.</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Our disclosures required by the new standard have been provided and updated retrospectively for all periods presented. Refer to Note J – Income Taxes.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 We have inventory on consignment at customer locations valued at $19.0 million as of December 27, 2025 and $21.8 million as of December 28, 2024.</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Expenditures for renewals and betterments are capitalized, and maintenance and repairs are expensed as incurred. The components of property, plant and equipment as of December 27, 2025 and December 28, 2024 were as follows: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24"/>
        </w:trPr>
        <w:tc>
          <w:tcPr>
            <w:tcW w:w="4980" w:type="dxa"/>
            <w:vAlign w:val="bottom"/>
          </w:tcPr>
          <w:p>
            <w:pPr>
              <w:spacing w:after="0"/>
              <w:rPr>
                <w:sz w:val="10"/>
                <w:szCs w:val="10"/>
                <w:color w:val="auto"/>
              </w:rPr>
            </w:pPr>
          </w:p>
        </w:tc>
        <w:tc>
          <w:tcPr>
            <w:tcW w:w="1900" w:type="dxa"/>
            <w:vAlign w:val="bottom"/>
          </w:tcPr>
          <w:p>
            <w:pPr>
              <w:ind w:left="182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December 28,</w:t>
            </w:r>
          </w:p>
        </w:tc>
      </w:tr>
      <w:tr>
        <w:trPr>
          <w:trHeight w:val="180"/>
        </w:trPr>
        <w:tc>
          <w:tcPr>
            <w:tcW w:w="498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200,732</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430,795</w:t>
            </w: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1,057,157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977,631</w:t>
            </w: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35,060</w:t>
            </w:r>
          </w:p>
        </w:tc>
      </w:tr>
      <w:tr>
        <w:trPr>
          <w:trHeight w:val="23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105,993</w:t>
            </w:r>
          </w:p>
        </w:tc>
      </w:tr>
      <w:tr>
        <w:trPr>
          <w:trHeight w:val="203"/>
        </w:trPr>
        <w:tc>
          <w:tcPr>
            <w:tcW w:w="4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Property, Plant and Equipment, Gross</w:t>
            </w:r>
          </w:p>
        </w:tc>
        <w:tc>
          <w:tcPr>
            <w:tcW w:w="190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1,936,470</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1,750,211</w:t>
            </w:r>
          </w:p>
        </w:tc>
      </w:tr>
      <w:tr>
        <w:trPr>
          <w:trHeight w:val="20"/>
        </w:trPr>
        <w:tc>
          <w:tcPr>
            <w:tcW w:w="4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Amortization of assets held under finance leases is included in depreciation and amortized over the shorter of the estimated useful life of the asset or the lease term. Depreciation expense included in Cost of goods sold is $130.4 million, $118.0 million, and $104.8 million as of December 27, 2025, December 28, 2024, and December 30, 2023, respectively. Depreciation expense included in Selling, general and administrative expenses is $8.0 million, $6.6 million, and $5.8 million as of December 27, 2025, December 28, 2024, and December 30, 2023, respectively. Depreciation is computed principally by the straight-line method over the estimated useful lives of the assets as follows: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322"/>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8"/>
                <w:szCs w:val="18"/>
                <w:color w:val="auto"/>
              </w:rPr>
              <w:t xml:space="preserve">  5 to 15 years</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32 years</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office furniture</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20 years</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Software costs are included in machinery and equipment on the balance sheet with gross amounts and accumulated amortization totaling $4.8 million and $4.6 million as of December 27, 2025, and $5.0 million and $4.8 million as of December 28,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classify assets and related liabilities as held for sale when the following conditions are met: (i) management has committed to a plan to sell the net assets, (ii) the net assets are available for immediate sale, (iii) there is an active program to locate a buyer, (iv) the sale and transfer of the net assets is probable within one year, (v) the net assets are being actively marketed for sale at a price that is reasonable in relation to the current fair value, and (vi) it is unlikely that significant changes will be made to the plan to sell the net assets. Upon designation as held for sale, we record the assets and related liabilities at the lower of their carrying value or their estimated fair value, reduced for the costs to dispose of the assets and related liabilities, which we determined using the estimated proceeds from the sale.</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During 2025, we determined real estate properties and machinery and equipment within our Retail and Corporate segments met the criteria as held for sale, and therefore we have classified the related assets as held for sale on the consolidated balance sheet. The fair value measurements for the assets held for sale are generally based on Level 3 inputs, which include information obtained from third-party appraisals. The assets had a carrying value of $6.3 million as of December 27, 2025, after $3.3 million of impairment charges recorded in fiscal 2025. Additionally, we have recognized $13.8 million of gains on the sale of real estate, machinery and equipment that had been classified as assets held for sale during the year. The impairments and gains were included in net loss (gain) on disposition and impairments of assets on the consolidated statements of earnings and. comprehensive income.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of acquired businesses. Goodwill and intangible assets deemed to have indefinite lives are not amortized and are subject to impairment tests at least annually in accordance with ASC 350, Intangibles-Goodwill and Other. We review the carrying amounts of goodwill and other non-amortizable intangibles by reporting unit to determine if such assets may be impaired. As of the date of the most recent goodwill impairment test, which utilized data and assumptions as of September 27, 2025, it was determined that the fair values exceeded the carrying values and there were no indicators for impairment for all of our reporting units. We believe we have sufficient available information, both current and historical, to support our assumptions, judgments and estimates used in the goodwill impairment test.</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annual testing date for evaluating goodwill and indefinite-lived intangible asset impairment is the first day of our fourth fiscal quarter for all reporting units. Additionally, we review various triggering events throughout the year to determine whether a mid-year impairment analysis is required.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are included in the consolidated financial statements as of December 27, 2025 and December 28, 2024.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providing coverage for the Company, Ardellis provides Excess Loss Insurance (primarily medical and prescription drug) and Excess General Liability and Property Insurance to certain third parties. As of December 27, 2025, Ardellis had 334 such contracts in place. Reserves associated with these contracts were $13.9 million at December 27, 2025, and $12.1 million at December 28, 2024, and are accrued based on third party actuarial valuations of the expected future liabilities.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Within the three primary segments (Retail, Packaging,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recognized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recognized in their entirety when such losses become apparent.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2300" w:type="dxa"/>
            <w:vAlign w:val="bottom"/>
          </w:tcPr>
          <w:p>
            <w:pPr>
              <w:spacing w:after="0"/>
              <w:rPr>
                <w:sz w:val="10"/>
                <w:szCs w:val="10"/>
                <w:color w:val="auto"/>
              </w:rPr>
            </w:pPr>
          </w:p>
        </w:tc>
        <w:tc>
          <w:tcPr>
            <w:tcW w:w="860" w:type="dxa"/>
            <w:vAlign w:val="bottom"/>
            <w:gridSpan w:val="2"/>
          </w:tcPr>
          <w:p>
            <w:pPr>
              <w:jc w:val="right"/>
              <w:ind w:right="1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97"/>
              <w:spacing w:after="0" w:line="12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280" w:type="dxa"/>
            <w:vAlign w:val="bottom"/>
            <w:gridSpan w:val="2"/>
          </w:tcPr>
          <w:p>
            <w:pPr>
              <w:jc w:val="right"/>
              <w:ind w:right="10"/>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97"/>
              <w:spacing w:after="0" w:line="12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117"/>
              <w:spacing w:after="0" w:line="12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 2025 vs. 2024</w:t>
            </w:r>
          </w:p>
        </w:tc>
        <w:tc>
          <w:tcPr>
            <w:tcW w:w="84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20" w:type="dxa"/>
            <w:vAlign w:val="bottom"/>
          </w:tcPr>
          <w:p>
            <w:pPr>
              <w:spacing w:after="0"/>
              <w:rPr>
                <w:sz w:val="10"/>
                <w:szCs w:val="10"/>
                <w:color w:val="auto"/>
              </w:rPr>
            </w:pPr>
          </w:p>
        </w:tc>
      </w:tr>
      <w:tr>
        <w:trPr>
          <w:trHeight w:val="180"/>
        </w:trPr>
        <w:tc>
          <w:tcPr>
            <w:tcW w:w="2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6,177,299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6,489,190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7,069,690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r>
      <w:tr>
        <w:trPr>
          <w:trHeight w:val="22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148,694</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r>
      <w:tr>
        <w:trPr>
          <w:trHeight w:val="216"/>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6,320,343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7,218,384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on December 27,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28, 2024 which are included in Other current assets and Accrued liabilities: Other, respectively (in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0"/>
        </w:trPr>
        <w:tc>
          <w:tcPr>
            <w:tcW w:w="6820" w:type="dxa"/>
            <w:vAlign w:val="bottom"/>
            <w:tcBorders>
              <w:bottom w:val="single" w:sz="8" w:color="CCEEFF"/>
            </w:tcBorders>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SHIPPING AND HANDLING OF PRODUCT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 for share-based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which requires recognition of share-based compensation costs in financial statements based on fair value. Compensation cost is recognized over the period during which an employee is required to provide services in exchange for the award (the requisite service period). Forfeitures are recognized as they occur.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Earnings per share (“EPS”) is computed using the two-class method. The two-class method determines EPS for each class of common stock and participating securities according to dividends and their respective participation rights in undistributed earnings. Participating securities include non-vested shares of restricted stock in which the participants have non-forfeitable rights to dividends during the performance period. EPS, basic and diluted, is calculated by dividing net earnings attributable to controlling interest, net of applicable taxes, by the weighted average number of shares of common stock outstanding for the period. The computation of EPS is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28,</w:t>
            </w: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December 30,</w:t>
            </w:r>
          </w:p>
        </w:tc>
        <w:tc>
          <w:tcPr>
            <w:tcW w:w="0" w:type="dxa"/>
            <w:vAlign w:val="bottom"/>
          </w:tcPr>
          <w:p>
            <w:pPr>
              <w:spacing w:after="0"/>
              <w:rPr>
                <w:sz w:val="1"/>
                <w:szCs w:val="1"/>
                <w:color w:val="auto"/>
              </w:rPr>
            </w:pPr>
          </w:p>
        </w:tc>
      </w:tr>
      <w:tr>
        <w:trPr>
          <w:trHeight w:val="180"/>
        </w:trPr>
        <w:tc>
          <w:tcPr>
            <w:tcW w:w="5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294,792</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414,560</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283,699</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398,464</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489,173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1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56,684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58,754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59,619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56,795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58,878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ACCOUNTING ESTIMATES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w:t>
      </w:r>
    </w:p>
    <w:p>
      <w:pPr>
        <w:spacing w:after="0" w:line="227" w:lineRule="exact"/>
        <w:rPr>
          <w:sz w:val="20"/>
          <w:szCs w:val="20"/>
          <w:color w:val="auto"/>
        </w:rPr>
      </w:pPr>
    </w:p>
    <w:p>
      <w:pPr>
        <w:jc w:val="both"/>
        <w:ind w:left="60" w:right="5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 assets and liabilities measured at fair value. Assets and liabilities measured at fair value are as follows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0"/>
                <w:szCs w:val="10"/>
                <w:color w:val="auto"/>
              </w:rPr>
            </w:pPr>
          </w:p>
        </w:tc>
        <w:tc>
          <w:tcPr>
            <w:tcW w:w="76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160" w:type="dxa"/>
            <w:vAlign w:val="bottom"/>
          </w:tcPr>
          <w:p>
            <w:pPr>
              <w:spacing w:after="0"/>
              <w:rPr>
                <w:sz w:val="10"/>
                <w:szCs w:val="10"/>
                <w:color w:val="auto"/>
              </w:rPr>
            </w:pPr>
          </w:p>
        </w:tc>
        <w:tc>
          <w:tcPr>
            <w:tcW w:w="74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(Level 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(Level 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4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$ 182,051</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26,450</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​​​$ 208,501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​​​$ 356,700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​​​$ 377,850</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funds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5,365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49,592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38,348</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securities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46,492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16,431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42,431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Alternative investments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Domestic stock funds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9,534</w:t>
            </w:r>
          </w:p>
        </w:tc>
        <w:tc>
          <w:tcPr>
            <w:tcW w:w="0" w:type="dxa"/>
            <w:vAlign w:val="bottom"/>
          </w:tcPr>
          <w:p>
            <w:pPr>
              <w:spacing w:after="0"/>
              <w:rPr>
                <w:sz w:val="1"/>
                <w:szCs w:val="1"/>
                <w:color w:val="auto"/>
              </w:rPr>
            </w:pPr>
          </w:p>
        </w:tc>
      </w:tr>
      <w:tr>
        <w:trPr>
          <w:trHeight w:val="181"/>
        </w:trPr>
        <w:tc>
          <w:tcPr>
            <w:tcW w:w="170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 stock</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04"/>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1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3"/>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Alternative funds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197"/>
        </w:trPr>
        <w:tc>
          <w:tcPr>
            <w:tcW w:w="1700" w:type="dxa"/>
            <w:vAlign w:val="bottom"/>
            <w:tcBorders>
              <w:top w:val="single" w:sz="8" w:color="CCEEFF"/>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 mutual funds</w:t>
            </w:r>
          </w:p>
        </w:tc>
        <w:tc>
          <w:tcPr>
            <w:tcW w:w="140" w:type="dxa"/>
            <w:vAlign w:val="bottom"/>
            <w:tcBorders>
              <w:top w:val="single" w:sz="8" w:color="CCEEFF"/>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11,759</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11,759</w:t>
            </w:r>
          </w:p>
        </w:tc>
        <w:tc>
          <w:tcPr>
            <w:tcW w:w="160" w:type="dxa"/>
            <w:vAlign w:val="bottom"/>
            <w:tcBorders>
              <w:top w:val="single" w:sz="8" w:color="CCEEFF"/>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10,668</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10,668</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$ 218,012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70,677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32,186</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$ 320,875</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$ 389,415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54,226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30,044</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$ 473,685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480" w:firstLine="648"/>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December 27, 2025, listed in the table above, $207.9 million of money market funds are held in Cash and cash equivalents, $34.3 million of mutual funds, equity securities, and alternative investments are held in Investments, $28.0 million of equity securities are held in Other assets, $0.2 million of mutual funds are held in Other assets for our deferred compensation plan, and $49.9 million of fixed income funds and $0.6 million of money market funds are held in Restricted investments. As of December 28, 2024, $377.4 million of money market funds were held in Cash and cash equivalents, $31.0 million of mutual funds, equity securities, and alternative investments were held in Investments, $26.0 million of equity securities are held in Other assets, $0.2 million of mutual funds were held in Other assets for our deferred compensation plan, and $38.7 million of fixed income funds and $0.4 million of money market funds were held in Restricted investments.</w:t>
      </w:r>
    </w:p>
    <w:p>
      <w:pPr>
        <w:spacing w:after="0" w:line="188" w:lineRule="exact"/>
        <w:rPr>
          <w:sz w:val="20"/>
          <w:szCs w:val="20"/>
          <w:color w:val="auto"/>
        </w:rPr>
      </w:pPr>
    </w:p>
    <w:p>
      <w:pPr>
        <w:jc w:val="both"/>
        <w:ind w:left="60" w:right="480" w:firstLine="648"/>
        <w:spacing w:after="0" w:line="258" w:lineRule="auto"/>
        <w:rPr>
          <w:sz w:val="20"/>
          <w:szCs w:val="20"/>
          <w:color w:val="auto"/>
        </w:rPr>
      </w:pPr>
      <w:r>
        <w:rPr>
          <w:rFonts w:ascii="Times New Roman" w:cs="Times New Roman" w:eastAsia="Times New Roman" w:hAnsi="Times New Roman"/>
          <w:sz w:val="18"/>
          <w:szCs w:val="18"/>
          <w:color w:val="auto"/>
        </w:rPr>
        <w:t>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Financial Instruments, to any of our financial instruments except for those expressly required by U.S. GAAP.</w:t>
      </w:r>
    </w:p>
    <w:p>
      <w:pPr>
        <w:spacing w:after="0" w:line="183" w:lineRule="exact"/>
        <w:rPr>
          <w:sz w:val="20"/>
          <w:szCs w:val="20"/>
          <w:color w:val="auto"/>
        </w:rPr>
      </w:pPr>
    </w:p>
    <w:p>
      <w:pPr>
        <w:jc w:val="both"/>
        <w:ind w:left="60" w:right="480" w:firstLine="648"/>
        <w:spacing w:after="0" w:line="258" w:lineRule="auto"/>
        <w:rPr>
          <w:sz w:val="20"/>
          <w:szCs w:val="20"/>
          <w:color w:val="auto"/>
        </w:rPr>
      </w:pPr>
      <w:r>
        <w:rPr>
          <w:rFonts w:ascii="Times New Roman" w:cs="Times New Roman" w:eastAsia="Times New Roman" w:hAnsi="Times New Roman"/>
          <w:sz w:val="18"/>
          <w:szCs w:val="18"/>
          <w:color w:val="auto"/>
        </w:rPr>
        <w:t>We have $28.0 million and $26.0 million of investments through our Innov8 Fund as of December 27, 2025 and December 28, 2024, respectively, which is designed to invest in emerging projects, services, and technologies. These investments are valued as Level 3 assets and are categorized as “Equity securities.” We evaluate these investments quarterly, including a qualitative assessment for indicators of impairment in accordance with ASC 321-10-35-3. During the fourth quarter of 2025, we concluded that one investment was fully impaired, resulting in a $6.5 million loss.</w:t>
      </w:r>
    </w:p>
    <w:p>
      <w:pPr>
        <w:spacing w:after="0" w:line="183" w:lineRule="exact"/>
        <w:rPr>
          <w:sz w:val="20"/>
          <w:szCs w:val="20"/>
          <w:color w:val="auto"/>
        </w:rPr>
      </w:pPr>
    </w:p>
    <w:p>
      <w:pPr>
        <w:jc w:val="both"/>
        <w:ind w:left="60" w:right="48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company, Ardellis Insurance Ltd. ("Ardellis"), maintains an investment portfolio, totaling $84.3 million and $69.8 million as of December 27, 2025 and December 28, 2024, respectively, which has been included in the aforementioned table of total investments. This portfolio consists of domestic and international equity securities, alternative investments, and fixed income bonds.</w:t>
      </w:r>
    </w:p>
    <w:p>
      <w:pPr>
        <w:spacing w:after="0" w:line="3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40"/>
          </w:cols>
          <w:pgMar w:left="1440" w:top="513" w:right="1019"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w w:val="98"/>
              </w:rPr>
              <w:t>December 28, 2024</w:t>
            </w: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7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   Cost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Cost</w:t>
            </w:r>
          </w:p>
        </w:tc>
        <w:tc>
          <w:tcPr>
            <w:tcW w:w="200" w:type="dxa"/>
            <w:vAlign w:val="bottom"/>
          </w:tcPr>
          <w:p>
            <w:pPr>
              <w:spacing w:after="0"/>
              <w:rPr>
                <w:sz w:val="10"/>
                <w:szCs w:val="10"/>
                <w:color w:val="auto"/>
              </w:rPr>
            </w:pPr>
          </w:p>
        </w:tc>
        <w:tc>
          <w:tcPr>
            <w:tcW w:w="7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Gain (Loss)</w:t>
            </w: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080" w:type="dxa"/>
            <w:vAlign w:val="bottom"/>
            <w:vMerge w:val="restart"/>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$ 49,342</w:t>
            </w: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$ 49,551</w:t>
            </w:r>
          </w:p>
        </w:tc>
        <w:tc>
          <w:tcPr>
            <w:tcW w:w="140" w:type="dxa"/>
            <w:vAlign w:val="bottom"/>
            <w:vMerge w:val="continue"/>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$ 39,645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$ 38,348</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Treasury securities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18,492</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16,431</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$ 75,696</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8,575</w:t>
            </w:r>
          </w:p>
        </w:tc>
        <w:tc>
          <w:tcPr>
            <w:tcW w:w="16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$ 84,271</w:t>
            </w: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$ 65,020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4,760</w:t>
            </w:r>
          </w:p>
        </w:tc>
        <w:tc>
          <w:tcPr>
            <w:tcW w:w="160" w:type="dxa"/>
            <w:vAlign w:val="bottom"/>
            <w:tcBorders>
              <w:top w:val="single" w:sz="8" w:color="CCEEFF"/>
            </w:tcBorders>
            <w:gridSpan w:val="2"/>
          </w:tcPr>
          <w:p>
            <w:pPr>
              <w:ind w:lef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$ 69,780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was $8.6 million and $4.8 million as of December 27, 2025 and December 28, 2024. Carrying amounts above are recorded in the Investments and Restricted investments line items within the balance sheet as of December 27, 2025 and December 28, 2024.</w:t>
      </w:r>
    </w:p>
    <w:p>
      <w:pPr>
        <w:spacing w:after="0" w:line="185"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completed the following business combinations in fiscal 2025 and 2024, which were accounted for using the purchase method (in thousands).</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$6,531</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July 14, 2025</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56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National Supply, LLC (NS)</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206"/>
        </w:trPr>
        <w:tc>
          <w:tcPr>
            <w:tcW w:w="2560" w:type="dxa"/>
            <w:vAlign w:val="bottom"/>
            <w:tcBorders>
              <w:left w:val="single" w:sz="8" w:color="auto"/>
              <w:bottom w:val="single" w:sz="8" w:color="auto"/>
              <w:right w:val="single" w:sz="8" w:color="auto"/>
            </w:tcBorders>
            <w:shd w:val="clear" w:color="auto" w:fill="CCEBFF"/>
          </w:tcPr>
          <w:p>
            <w:pPr>
              <w:spacing w:after="0"/>
              <w:rPr>
                <w:sz w:val="17"/>
                <w:szCs w:val="17"/>
                <w:color w:val="auto"/>
              </w:rPr>
            </w:pPr>
          </w:p>
        </w:tc>
        <w:tc>
          <w:tcPr>
            <w:tcW w:w="4520" w:type="dxa"/>
            <w:vAlign w:val="bottom"/>
            <w:tcBorders>
              <w:bottom w:val="single" w:sz="8" w:color="auto"/>
            </w:tcBorders>
            <w:gridSpan w:val="5"/>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Elkhart, IN, NS is a material supplier in the RV industry.</w:t>
            </w:r>
          </w:p>
        </w:tc>
        <w:tc>
          <w:tcPr>
            <w:tcW w:w="980" w:type="dxa"/>
            <w:vAlign w:val="bottom"/>
            <w:tcBorders>
              <w:bottom w:val="single" w:sz="8" w:color="auto"/>
              <w:right w:val="single" w:sz="8" w:color="CCEBFF"/>
            </w:tcBorders>
            <w:shd w:val="clear" w:color="auto" w:fill="CCEBFF"/>
          </w:tcPr>
          <w:p>
            <w:pPr>
              <w:spacing w:after="0"/>
              <w:rPr>
                <w:sz w:val="17"/>
                <w:szCs w:val="17"/>
                <w:color w:val="auto"/>
              </w:rPr>
            </w:pPr>
          </w:p>
        </w:tc>
        <w:tc>
          <w:tcPr>
            <w:tcW w:w="860" w:type="dxa"/>
            <w:vAlign w:val="bottom"/>
            <w:tcBorders>
              <w:bottom w:val="single" w:sz="8" w:color="auto"/>
              <w:right w:val="single" w:sz="8" w:color="auto"/>
            </w:tcBorders>
            <w:shd w:val="clear" w:color="auto" w:fill="CCEBFF"/>
          </w:tcPr>
          <w:p>
            <w:pPr>
              <w:spacing w:after="0"/>
              <w:rPr>
                <w:sz w:val="17"/>
                <w:szCs w:val="17"/>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$7,360</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June 16, 2025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r>
      <w:tr>
        <w:trPr>
          <w:trHeight w:val="21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RWP West, LLC (RWP)</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85"/>
        </w:trPr>
        <w:tc>
          <w:tcPr>
            <w:tcW w:w="2560" w:type="dxa"/>
            <w:vAlign w:val="bottom"/>
            <w:tcBorders>
              <w:left w:val="single" w:sz="8" w:color="auto"/>
              <w:right w:val="single" w:sz="8" w:color="auto"/>
            </w:tcBorders>
          </w:tcPr>
          <w:p>
            <w:pPr>
              <w:spacing w:after="0"/>
              <w:rPr>
                <w:sz w:val="16"/>
                <w:szCs w:val="16"/>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Located in Twin Falls, ID and established in 2007, RWP serves the western portion of the US and</w:t>
            </w: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is a manufacturer and distributor for the manufactured housing, RV, and cargo markets.</w:t>
            </w: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$29,901</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23, 2024</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100%</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12,662</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Packaging</w:t>
            </w:r>
          </w:p>
        </w:tc>
      </w:tr>
      <w:tr>
        <w:trPr>
          <w:trHeight w:val="213"/>
        </w:trPr>
        <w:tc>
          <w:tcPr>
            <w:tcW w:w="2560" w:type="dxa"/>
            <w:vAlign w:val="bottom"/>
            <w:tcBorders>
              <w:left w:val="single" w:sz="8" w:color="auto"/>
              <w:bottom w:val="single" w:sz="8" w:color="CCEBFF"/>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C&amp;L Wood Products (C&amp;L)</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asset 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r>
      <w:tr>
        <w:trPr>
          <w:trHeight w:val="185"/>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Hartselle, AL and founded in 1975, C&amp;L is a manufacturer of machine-built pallets,</w:t>
            </w: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2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Times New Roman" w:cs="Times New Roman" w:eastAsia="Times New Roman" w:hAnsi="Times New Roman"/>
                <w:sz w:val="16"/>
                <w:szCs w:val="16"/>
                <w:color w:val="auto"/>
              </w:rPr>
              <w:t>mulch, and other wood products.</w:t>
            </w:r>
          </w:p>
        </w:tc>
        <w:tc>
          <w:tcPr>
            <w:tcW w:w="120" w:type="dxa"/>
            <w:vAlign w:val="bottom"/>
            <w:tcBorders>
              <w:bottom w:val="single" w:sz="8" w:color="auto"/>
            </w:tcBorders>
            <w:shd w:val="clear" w:color="auto" w:fill="CCEBFF"/>
          </w:tcPr>
          <w:p>
            <w:pPr>
              <w:spacing w:after="0"/>
              <w:rPr>
                <w:sz w:val="19"/>
                <w:szCs w:val="19"/>
                <w:color w:val="auto"/>
              </w:rPr>
            </w:pP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August 8, 2024 we purchased the remaining 20% equity interest in UFP Palets from Palets Suller, SL.</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are based on available information at the acquisition date and assumptions deemed reasonable by management, supplemented by the expertise of third-party valuation specialists engaged to assist in determining fair value for intangible assets, including goodwill. As of December 27, 2025, the valuations for the fair value determination of the intangible assets for the above NS and RWP business combinations have not been finalized. Therefore, changes in facts and circumstances may result in adjustments to the initial fair value estimates during the measurement period, which may not exceed one year from the acquisition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intangible assets and goodwill for the C&amp;L acquisition were finalized during 2025. In aggregate, acquisitions made during 2025 and 2024 contributed approximately $33.8 million in net sales and a $2.4 million operating loss during 2025.</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amounts assigned to major intangible classes for the business combinations mentioned above are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3"/>
                <w:szCs w:val="13"/>
                <w:color w:val="auto"/>
              </w:rPr>
            </w:pPr>
          </w:p>
        </w:tc>
        <w:tc>
          <w:tcPr>
            <w:tcW w:w="76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Intangibles -</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Tradename</w:t>
            </w:r>
          </w:p>
        </w:tc>
        <w:tc>
          <w:tcPr>
            <w:tcW w:w="14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tcPr>
          <w:p>
            <w:pPr>
              <w:spacing w:after="0"/>
              <w:rPr>
                <w:sz w:val="12"/>
                <w:szCs w:val="12"/>
                <w:color w:val="auto"/>
              </w:rPr>
            </w:pPr>
          </w:p>
        </w:tc>
        <w:tc>
          <w:tcPr>
            <w:tcW w:w="800" w:type="dxa"/>
            <w:vAlign w:val="bottom"/>
          </w:tcPr>
          <w:p>
            <w:pPr>
              <w:jc w:val="right"/>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Relationships</w:t>
            </w: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Deductible</w:t>
            </w:r>
          </w:p>
        </w:tc>
        <w:tc>
          <w:tcPr>
            <w:tcW w:w="0" w:type="dxa"/>
            <w:vAlign w:val="bottom"/>
          </w:tcPr>
          <w:p>
            <w:pPr>
              <w:spacing w:after="0"/>
              <w:rPr>
                <w:sz w:val="1"/>
                <w:szCs w:val="1"/>
                <w:color w:val="auto"/>
              </w:rPr>
            </w:pPr>
          </w:p>
        </w:tc>
      </w:tr>
      <w:tr>
        <w:trPr>
          <w:trHeight w:val="216"/>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NS</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761</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3,045</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RWP</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*(estimate)</w:t>
      </w:r>
    </w:p>
    <w:p>
      <w:pPr>
        <w:spacing w:after="0" w:line="20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combinations described above were not significant to our operating results individually or in aggregate, and thus pro forma results for 2025 and 2024 are not presented.</w:t>
      </w:r>
    </w:p>
    <w:p>
      <w:pPr>
        <w:spacing w:after="0" w:line="158"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described in Note M — Segment Reporting, our segment structure is based upon the markets we serve and goodwill has been allocated to the segments using a relative fair value approach. The changes in the net carrying amount of goodwill by reporting segment for the years ended December 27, 2025 and December 28, 2024, are as follows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240" w:type="dxa"/>
            <w:vAlign w:val="bottom"/>
          </w:tcPr>
          <w:p>
            <w:pPr>
              <w:spacing w:after="0"/>
              <w:rPr>
                <w:sz w:val="15"/>
                <w:szCs w:val="15"/>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Retail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Packaging</w:t>
            </w: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Construction</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All Other</w:t>
            </w: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w:t>
            </w:r>
          </w:p>
        </w:tc>
        <w:tc>
          <w:tcPr>
            <w:tcW w:w="9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Total</w:t>
            </w: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$ 84,204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$ 141,042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$ 23,262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$ 336,313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2024 Acquisitions</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3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03"/>
        </w:trPr>
        <w:tc>
          <w:tcPr>
            <w:tcW w:w="3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28, 2024</w:t>
            </w:r>
          </w:p>
        </w:tc>
        <w:tc>
          <w:tcPr>
            <w:tcW w:w="44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$ 84,116</w:t>
            </w: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$ 146,747</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87,401</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$ 21,575</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$ 339,839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Acquisitions</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2025 Purchase Accounting Adjustments</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3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03"/>
        </w:trPr>
        <w:tc>
          <w:tcPr>
            <w:tcW w:w="3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as of December 27, 2025</w:t>
            </w:r>
          </w:p>
        </w:tc>
        <w:tc>
          <w:tcPr>
            <w:tcW w:w="44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$ 84,174</w:t>
            </w: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$ 148,104</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88,397</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$ 23,246</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$ 343,921</w:t>
            </w:r>
          </w:p>
        </w:tc>
      </w:tr>
      <w:tr>
        <w:trPr>
          <w:trHeight w:val="20"/>
        </w:trPr>
        <w:tc>
          <w:tcPr>
            <w:tcW w:w="3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most recent goodwill impairment test, which utilized data and assumptions as of September 27, 2025, all reporting units had fair values that were substantially in excess of their carrying values.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totaled $7.3 million as of December 27, 2025 and December 28, 2024 related to the commercial unit within the Construction segment, the international unit within the All Other segment, and the Deckorators unit within the Retail segment.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amounts were included in other amortizable intangible assets, net as of December 27,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28, 2024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800" w:type="dxa"/>
            <w:vAlign w:val="bottom"/>
          </w:tcPr>
          <w:p>
            <w:pPr>
              <w:spacing w:after="0"/>
              <w:rPr>
                <w:sz w:val="10"/>
                <w:szCs w:val="10"/>
                <w:color w:val="auto"/>
              </w:rPr>
            </w:pPr>
          </w:p>
        </w:tc>
        <w:tc>
          <w:tcPr>
            <w:tcW w:w="6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gridSpan w:val="5"/>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Accumulated ​​​</w:t>
            </w:r>
          </w:p>
        </w:tc>
        <w:tc>
          <w:tcPr>
            <w:tcW w:w="7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Net Value</w:t>
            </w:r>
          </w:p>
        </w:tc>
        <w:tc>
          <w:tcPr>
            <w:tcW w:w="280" w:type="dxa"/>
            <w:vAlign w:val="bottom"/>
            <w:gridSpan w:val="2"/>
          </w:tcPr>
          <w:p>
            <w:pPr>
              <w:jc w:val="right"/>
              <w:ind w:right="16"/>
              <w:spacing w:after="0" w:line="12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7"/>
              </w:rPr>
              <w:t>Net Value</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165,633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234,294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Amortization is computed principally by the straight-line method over the estimated useful lives of the intangible assets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 Type</w:t>
            </w:r>
          </w:p>
        </w:tc>
        <w:tc>
          <w:tcPr>
            <w:tcW w:w="1500" w:type="dxa"/>
            <w:vAlign w:val="bottom"/>
            <w:gridSpan w:val="2"/>
          </w:tcPr>
          <w:p>
            <w:pPr>
              <w:jc w:val="right"/>
              <w:ind w:right="1233"/>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0"/>
        </w:trPr>
        <w:tc>
          <w:tcPr>
            <w:tcW w:w="4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15 years</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20 years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12 years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 (amortizable)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25 years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4 years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intangibles totaled $22.7 million, $23.5 million and $21.3 million in 2025, 2024 and 2023, respectively, and is recorded in Selling, general, and administrative expenses. The estimated amortization expense for intangibles for each of the five succeeding fiscal years is as follows (in thousands):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17,532</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w:t>
            </w:r>
          </w:p>
        </w:tc>
      </w:tr>
      <w:tr>
        <w:trPr>
          <w:trHeight w:val="22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w:t>
            </w:r>
          </w:p>
        </w:tc>
      </w:tr>
      <w:tr>
        <w:trPr>
          <w:trHeight w:val="216"/>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133,616</w:t>
            </w:r>
          </w:p>
        </w:tc>
      </w:tr>
      <w:tr>
        <w:trPr>
          <w:trHeight w:val="20"/>
        </w:trPr>
        <w:tc>
          <w:tcPr>
            <w:tcW w:w="4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of December 6, 2022, we entered into a five-year, $750 million unsecured revolving credit facility with a syndicate of U.S. banks. This facility includes up to $60 million which may be advanced in the form of letters of credit, and up to $100 million (U.S. dollar equivalent) which may be advanced in Canadian dollars, Australian dollars, Sterling, Euros and such other foreign currencies as may subsequently be agreed upon among the parties.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15.0 to 30.0 basis points, also determined based upon our performance. The facility fee is payable quarterly in arrears.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Outstanding letters of credit extended on our behalf on December 27, 2025 and December 28, 2024 aggregated $40.4 million and $39.7 million, respectively. These letters of credit as of December 27, 2025 are comprised of $39.2 million issued under the revolving credit facility, including approximately $3.3 million related to industrial development revenue bonds, and $1.2 million issued outside of the facility. We had no amount outstanding on the revolver at December 27, 2025, and December 28, 2024. After considering letters of credit, we had $710.8 million and $712.7 million in remaining availability on the revolver on December 27, 2025, and December 28, 2024, respectively. Letters of credit have one-year terms, include an automatic renewal clause, and are charged an annual interest rate of 112.5 to 122.5 basis points, based upon our financial performance.</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Long-term debt obligations are summarized as follows on December 27, 2025 and December 28, 2024 (amounts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8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 Senior Notes E, due on August 10, 2032, interest payable semi-annually at 3.04%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2020 Senior Notes F, due on August 10, 2033, interest payable semi-annually at 3.08%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 Senior Notes G, due on August 10, 2035, interest payable semi-annually at 3.15%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Series 2018</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C, due on June 14, 2028, interest payable semi-annually at 4.20%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Series 2018</w:t>
            </w: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 due on June 14, 2030, interest payable semi-annually at 4.27%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Series 1999</w:t>
            </w:r>
          </w:p>
        </w:tc>
        <w:tc>
          <w:tcPr>
            <w:tcW w:w="6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Industrial Development Revenue Bonds, due on August 1, 2029, 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payable monthly at a floating rate (2.65% on December 27, 2025 and 3.32% on December 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3"/>
        </w:trPr>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and foreign affiliate debt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16"/>
        </w:trPr>
        <w:tc>
          <w:tcPr>
            <w:tcW w:w="8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229,998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234,032</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23"/>
        </w:trPr>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228,859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229,830</w:t>
            </w:r>
          </w:p>
        </w:tc>
      </w:tr>
      <w:tr>
        <w:trPr>
          <w:trHeight w:val="20"/>
        </w:trPr>
        <w:tc>
          <w:tcPr>
            <w:tcW w:w="8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27, 2025 and December 28, 2024.</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2025, the principal maturities of long-term debt and finance lease obligations are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35,090</w:t>
            </w:r>
          </w:p>
        </w:tc>
      </w:tr>
      <w:tr>
        <w:trPr>
          <w:trHeight w:val="223"/>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149,993</w:t>
            </w:r>
          </w:p>
        </w:tc>
      </w:tr>
      <w:tr>
        <w:trPr>
          <w:trHeight w:val="216"/>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229,758</w:t>
            </w:r>
          </w:p>
        </w:tc>
      </w:tr>
      <w:tr>
        <w:trPr>
          <w:trHeight w:val="20"/>
        </w:trPr>
        <w:tc>
          <w:tcPr>
            <w:tcW w:w="43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December 27, 2025, the estimated fair value of our long-term debt, including the current portion, was $210.1 million, which was $19.9 million less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at inception. 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 There were no restrictions or covenants imposed by any lease agreements.</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believe finance leases have no significant impact to our consolidated balance sheet and statement of earnings as of December 27, 2025.</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27, 2025, we have no leases that have not yet commenced that would significantly impact our financial position.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lease transactions between related parties as of December 27, 2025.</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rates implicit in our leases are primarily not readily available. To determine the discount rate used to present value the lease payments, we utilize the 7-year treasury note rate plus a blend of rate spreads associated with our 10 to 15 year senior notes along with estimated spreads based on current market conditions. We feel the determined rate is a reasonable representation of our lease population.</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Lease costs under non-cancelable operating leases on December 27, 2025 and December 28, 2024 are as follows (in thousands):</w:t>
      </w:r>
    </w:p>
    <w:p>
      <w:pPr>
        <w:sectPr>
          <w:pgSz w:w="11900" w:h="16838" w:orient="portrait"/>
          <w:cols w:equalWidth="0" w:num="1">
            <w:col w:w="9019"/>
          </w:cols>
          <w:pgMar w:left="1440" w:top="513" w:right="1440" w:bottom="1440" w:gutter="0" w:footer="0" w:header="0"/>
        </w:sect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Sublease income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7620</wp:posOffset>
            </wp:positionV>
            <wp:extent cx="564896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9"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39,197  $  39,914</w:t>
      </w:r>
    </w:p>
    <w:p>
      <w:pPr>
        <w:spacing w:after="0" w:line="1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7,144</w:t>
      </w:r>
      <w:r>
        <w:rPr>
          <w:rFonts w:ascii="Times New Roman" w:cs="Times New Roman" w:eastAsia="Times New Roman" w:hAnsi="Times New Roman"/>
          <w:sz w:val="17"/>
          <w:szCs w:val="17"/>
          <w:color w:val="auto"/>
        </w:rPr>
        <w:t>8,461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5715</wp:posOffset>
            </wp:positionV>
            <wp:extent cx="56489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340"/>
        <w:spacing w:after="0"/>
        <w:tabs>
          <w:tab w:leader="none" w:pos="1260" w:val="left"/>
        </w:tabs>
        <w:rPr>
          <w:sz w:val="20"/>
          <w:szCs w:val="20"/>
          <w:color w:val="auto"/>
        </w:rPr>
      </w:pPr>
      <w:r>
        <w:rPr>
          <w:rFonts w:ascii="Times New Roman" w:cs="Times New Roman" w:eastAsia="Times New Roman" w:hAnsi="Times New Roman"/>
          <w:sz w:val="18"/>
          <w:szCs w:val="18"/>
          <w:color w:val="auto"/>
        </w:rPr>
        <w:t>6,852</w:t>
      </w:r>
      <w:r>
        <w:rPr>
          <w:sz w:val="20"/>
          <w:szCs w:val="20"/>
          <w:color w:val="auto"/>
        </w:rPr>
        <w:tab/>
      </w:r>
      <w:r>
        <w:rPr>
          <w:rFonts w:ascii="Times New Roman" w:cs="Times New Roman" w:eastAsia="Times New Roman" w:hAnsi="Times New Roman"/>
          <w:sz w:val="18"/>
          <w:szCs w:val="18"/>
          <w:color w:val="auto"/>
        </w:rPr>
        <w:t>6,373</w:t>
      </w:r>
    </w:p>
    <w:p>
      <w:pPr>
        <w:spacing w:after="0" w:line="9" w:lineRule="exact"/>
        <w:rPr>
          <w:sz w:val="20"/>
          <w:szCs w:val="20"/>
          <w:color w:val="auto"/>
        </w:rPr>
      </w:pPr>
    </w:p>
    <w:p>
      <w:pPr>
        <w:jc w:val="both"/>
        <w:ind w:left="300"/>
        <w:spacing w:after="0"/>
        <w:tabs>
          <w:tab w:leader="none" w:pos="1200" w:val="left"/>
        </w:tabs>
        <w:rPr>
          <w:sz w:val="20"/>
          <w:szCs w:val="20"/>
          <w:color w:val="auto"/>
        </w:rPr>
      </w:pPr>
      <w:r>
        <w:rPr>
          <w:rFonts w:ascii="Times New Roman" w:cs="Times New Roman" w:eastAsia="Times New Roman" w:hAnsi="Times New Roman"/>
          <w:sz w:val="18"/>
          <w:szCs w:val="18"/>
          <w:color w:val="auto"/>
        </w:rPr>
        <w:t>(1,600)</w:t>
      </w:r>
      <w:r>
        <w:rPr>
          <w:sz w:val="20"/>
          <w:szCs w:val="20"/>
          <w:color w:val="auto"/>
        </w:rPr>
        <w:tab/>
      </w:r>
      <w:r>
        <w:rPr>
          <w:rFonts w:ascii="Times New Roman" w:cs="Times New Roman" w:eastAsia="Times New Roman" w:hAnsi="Times New Roman"/>
          <w:sz w:val="18"/>
          <w:szCs w:val="18"/>
          <w:color w:val="auto"/>
        </w:rPr>
        <w:t>(2,468)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5715</wp:posOffset>
            </wp:positionV>
            <wp:extent cx="564896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tabs>
          <w:tab w:leader="none" w:pos="240" w:val="left"/>
          <w:tab w:leader="none" w:pos="900" w:val="left"/>
          <w:tab w:leader="none" w:pos="1160" w:val="left"/>
        </w:tabs>
        <w:rPr>
          <w:sz w:val="20"/>
          <w:szCs w:val="20"/>
          <w:color w:val="auto"/>
        </w:rPr>
      </w:pPr>
      <w:r>
        <w:rPr>
          <w:rFonts w:ascii="Times New Roman" w:cs="Times New Roman" w:eastAsia="Times New Roman" w:hAnsi="Times New Roman"/>
          <w:sz w:val="18"/>
          <w:szCs w:val="18"/>
          <w:u w:val="single" w:color="auto"/>
          <w:color w:val="auto"/>
        </w:rPr>
        <w:t>$</w:t>
        <w:tab/>
        <w:t>51,593</w:t>
        <w:tab/>
        <w:t>$</w:t>
        <w:tab/>
        <w:t>52,280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1061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480" w:space="720"/>
            <w:col w:w="1819"/>
          </w:cols>
          <w:pgMar w:left="1440" w:top="513" w:right="1440" w:bottom="1440" w:gutter="0" w:footer="0" w:header="0"/>
          <w:type w:val="continuous"/>
        </w:sectPr>
      </w:pPr>
    </w:p>
    <w:p>
      <w:pPr>
        <w:spacing w:after="0" w:line="5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Rent expense was approximately $53.2 million, $54.7 million, and $49.7 million in 2025, 2024, and 2023, respectively.</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amounts paid for operating leases, included in the measurement of lease liabilities, were $34.4 million in the year ended December 27, 2025 and $35.2 million in the year ended December 28, 2024. In addition, right-of-use assets obtained in exchange for new operating lease liabilities were approximately $36.8 million and $45.6 million, respectively, for the years ended December 27, 2025 and December 28,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Future minimum payments under non-cancelable operating leases on December 27, 2025 are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40" w:type="dxa"/>
            <w:vAlign w:val="bottom"/>
          </w:tcPr>
          <w:p>
            <w:pPr>
              <w:ind w:left="77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0"/>
        </w:trPr>
        <w:tc>
          <w:tcPr>
            <w:tcW w:w="7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33,158</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24,742</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w:t>
            </w:r>
          </w:p>
        </w:tc>
      </w:tr>
      <w:tr>
        <w:trPr>
          <w:trHeight w:val="223"/>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56,356</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159,280</w:t>
            </w:r>
          </w:p>
        </w:tc>
      </w:tr>
      <w:tr>
        <w:trPr>
          <w:trHeight w:val="216"/>
        </w:trPr>
        <w:tc>
          <w:tcPr>
            <w:tcW w:w="7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(32,198)</w:t>
            </w:r>
          </w:p>
        </w:tc>
      </w:tr>
      <w:tr>
        <w:trPr>
          <w:trHeight w:val="209"/>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127,082</w:t>
            </w:r>
          </w:p>
        </w:tc>
      </w:tr>
      <w:tr>
        <w:trPr>
          <w:trHeight w:val="20"/>
        </w:trPr>
        <w:tc>
          <w:tcPr>
            <w:tcW w:w="7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27, 2025 and December 28, 2024, the weighted average lease term for operating leases was 7.66 years and 6.91 years, respectively. Similarly, the weighted average discount rate for operating leases was 5.38% and 4.86%, respectively.</w:t>
      </w:r>
    </w:p>
    <w:p>
      <w:pPr>
        <w:spacing w:after="0" w:line="172"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DEFERRED COMPENSATION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 program whereby certain executives irrevocably elected to defer receipt of certain compensation in 1985 through 1988. Deferred compensation payments to these executives commenced upon their retirement.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The investment in life insurance contracts as of December 27, 2025 and December 28, 2024, was $13.5 million and $12.8 million, respectively, and is recorded in Other assets on the Consolidated Balance Sheet.</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For Plan participants who defer compensation into our stock, our Executive Stock Match Program provides that the Company will issue additional shares of our common stock to those participants at a rate of 35% of the amount deferred by the participant into our stock. The additional shares issued pursuant to the Executive Stock Match Program are subject to five year vesting. Assets held by the Plan totaled approximately $0.1 million on December 27, 2025 and December 28, 2024, respectively, and are included in Other assets. Related liabilities totaled $70.8 million and $67.0 million on December 27, 2025 and December 28, 2024, respectively, and are included in Other liabilities and Shareholders’ equity. Assets associated with the Plan are recorded at fair market value. The related liabilities are also recorded at fair market value, with the exception of obligations associated with investments in our stock which are recorded at the market value on the date of deferral.</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see the description of our Director Compensation Plan in Note H “Common Stock” below.</w:t>
      </w:r>
    </w:p>
    <w:p>
      <w:pPr>
        <w:spacing w:after="0" w:line="221"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COMMON STOCK</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maintain and administer our shareholder approved Employee Stock Purchase Plan. The Employee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maintain and administer our shareholder approved Director Compensation Plan. The Director Compensation Plan allows eligible members of the Board of Directors to defer the cash portion of their retainer and committee fees, credited in the form of stock units,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units is increased by the amount of dividends paid on our common stock. The units are immediately vested as of the grant date, since they are considered payment for services rendered quarterly. We recognized expense for this plan of $1.7 million in 2025, $2.0 million in 2024, and $1.9 million in 2023. This plan also allows directors to defer payment of the annual retainer paid in the form of our common stock. The number of shares to be received for their portion of the retainer that is deferred is equal to the amount of shares plus the number of shares attributable to cash dividends payable on those deferred shares.</w:t>
      </w:r>
    </w:p>
    <w:p>
      <w:pPr>
        <w:spacing w:after="0" w:line="19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also maintain and administer our shareholder approved Long Term Stock Incentive Plan (the "LTSIP”). The LTSIP provides for the grant of stock options, stock appreciation rights, restricted stock, performance shares, sales incentive awards, and other stock-based awards.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Pursuant to our Executive Stock Match Program, awards are granted in the year following the requisite service period, which begins at the beginning of each fiscal year, and fully vest on the fifth anniversary of the grant date. Refer to Notes to Consolidated Financial Statements, Note G "Deferred Compensation" for additional information.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Below is a summary of common stock issuances for 2025 and 2024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0" w:type="dxa"/>
            <w:vAlign w:val="bottom"/>
            <w:gridSpan w:val="2"/>
          </w:tcPr>
          <w:p>
            <w:pPr>
              <w:ind w:left="5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2"/>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400" w:type="dxa"/>
            <w:vAlign w:val="bottom"/>
            <w:gridSpan w:val="2"/>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program</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0" w:type="dxa"/>
            <w:vAlign w:val="bottom"/>
            <w:gridSpan w:val="2"/>
          </w:tcPr>
          <w:p>
            <w:pPr>
              <w:ind w:left="5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2"/>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400" w:type="dxa"/>
            <w:vAlign w:val="bottom"/>
            <w:gridSpan w:val="2"/>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4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program</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7160" w:type="dxa"/>
            <w:vAlign w:val="bottom"/>
            <w:gridSpan w:val="3"/>
          </w:tcPr>
          <w:p>
            <w:pPr>
              <w:ind w:left="438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nonvested restricted stock awards granted under the LTSIP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200" w:type="dxa"/>
            <w:vAlign w:val="bottom"/>
            <w:gridSpan w:val="2"/>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3"/>
                <w:szCs w:val="13"/>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88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Period to</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6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rPr>
              <w:t>Recognize</w:t>
            </w:r>
          </w:p>
        </w:tc>
        <w:tc>
          <w:tcPr>
            <w:tcW w:w="0" w:type="dxa"/>
            <w:vAlign w:val="bottom"/>
          </w:tcPr>
          <w:p>
            <w:pPr>
              <w:spacing w:after="0"/>
              <w:rPr>
                <w:sz w:val="1"/>
                <w:szCs w:val="1"/>
                <w:color w:val="auto"/>
              </w:rPr>
            </w:pPr>
          </w:p>
        </w:tc>
      </w:tr>
      <w:tr>
        <w:trPr>
          <w:trHeight w:val="180"/>
        </w:trPr>
        <w:tc>
          <w:tcPr>
            <w:tcW w:w="3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22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2,138,255</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51.4</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3.74 years</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830,346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2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(233,763)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6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30, 2023</w:t>
            </w:r>
          </w:p>
        </w:tc>
        <w:tc>
          <w:tcPr>
            <w:tcW w:w="1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2,720,837</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2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76.9</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3.68 years</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370,830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(740,505)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26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28, 2024</w:t>
            </w:r>
          </w:p>
        </w:tc>
        <w:tc>
          <w:tcPr>
            <w:tcW w:w="1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2,311,385</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2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75.4</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3.26 years</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239,371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(350,273)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(59,106)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26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27, 2025</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2,141,377</w:t>
            </w:r>
          </w:p>
        </w:tc>
        <w:tc>
          <w:tcPr>
            <w:tcW w:w="2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58.3</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 years</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Under the Employee Stock Purchase Plan and LTSIP, we recognized share-based compensation expense of $37.8 million, $38.2 million, and $34.9 million and the related total income tax benefits of $9.3 million, $8.5 million, and $8.2 million in 2025, 2024 and 2023, respectively.</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the year-ended December 27, 2025, an estimated $11.5 million of share-based bonus awards will be awarded under the LTSIP in 2026 to qualified employees based on the Company’s 2025 performance. Awards granted generally vest after a period of five years from the grant date. In addition to the share-based bonus awards, we also issue performance units that entitle certain employees to receive shares of our common stock to the extent the metrics in those performance units are achieved over a three year period. An estimated $0.5 million of performance units will be awarded in 2026. The number of shares and performance units awarded will be determined using the share price as of the grant date on February 19, 2026. As of December 27, 2025 and December 28, 2024, we recognized approximately $2.0 million and $2.9 million, respectively, of compensation expense related to share-based bonus awards and performance units for each of those respective performance years.‬</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a Sales Incentive Plan for certain eligible employees. Under this plan, sales incentives are determined and calculated using a formula-based approach and estimated monthly based on specific performance metrics. This Plan places a cap on cash payments with the remaining earned incentive being settled in share-based awards. These awards generally vest after a period of five years from the grant date. For the year-ended December 27, 2025, there were no shares issued in 2026 for the 2025 performance year. As of December 28, 2024, we recognized approximately $0.3 million of compensation expense related to share-based sales incentive awards for that performance year.‬</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2025, 2024 and 2023, cash received from share issuances under our plans was $2.5 million, $2.8 million and $2.7 million, respectively.</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During 2025, we repurchased 4,498,835 shares of our common stock at an average share price of $98.39. During 2024, we repurchased approximately 1,409,266 shares of our common stock at an average share price of $113.53. On July 24, 2024, and announced July 30, 2024, our board authorized the repurchase of up $200 million of outstanding stock through July 31, 2025. This share repurchase authorization was subsequently increased by the board on April 23, 2025, from $200 million to $300 million worth of outstanding stock. Effective July 23, 2025, our board authorized the repurchase of up to $300 million worth of shares of outstanding stock through July 31, 2026. This share authorization supersedes and replaces our prior share repurchase authorizations. As of December 27, 2025, we had remaining authorization to repurchase up to $126 million worth of shares through July 31,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RETIREMENT PLANS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 profit sharing and 401(k) plan for the benefit of substantially all of our employees, excluding the employees of certain wholly-owned subsidiaries. Amounts contributed to the plan are made at the discretion of the Board of Directors. We matched 25% of employee contributions in 2025, 2024, and 2023, on a discretionary basis, totaling $7.0 million, $7.7 million, and $8.8 million respectively. Included within the total employee matched contribution was an additional matched contribution for hourly employees of $1.8 million for 2023 based on meeting certain performance goals during those years. There was no additional matched contribution for hourly employees in 2025 and 2024. The basis for matching contributions may not exceed the lesser of 6% of the employee’s annual compensation or the IRS limitation.</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an Executive Retirement Plan for certain officers of the Company (who have at least 20 years of service with the Company and at least 10 years of service as an officer) whereby we will pay, upon retirement, certain benefits including health care benefits, for a specified period of time if certain eligibility requirements are met. Approximately $17.0 million and $16.9 million are accrued in Other liabilities for this plan on December 27, 2025 and December 28, 2024, respectively.</w:t>
      </w:r>
    </w:p>
    <w:p>
      <w:pPr>
        <w:spacing w:after="0" w:line="179"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Income tax provisions for the years ended December 27, 2025, December 28, 2024, and December 30, 2023 are summarized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Currently Payable:</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$ 27,236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$ 101,832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$ 123,257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136,460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income tax expense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$ 96,249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$ 121,422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$ 156,784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earnings before income taxes consist of the following:</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140" w:type="dxa"/>
            <w:vAlign w:val="bottom"/>
          </w:tcPr>
          <w:p>
            <w:pPr>
              <w:spacing w:after="0"/>
              <w:rPr>
                <w:sz w:val="24"/>
                <w:szCs w:val="24"/>
                <w:color w:val="auto"/>
              </w:rPr>
            </w:pPr>
          </w:p>
        </w:tc>
        <w:tc>
          <w:tcPr>
            <w:tcW w:w="3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$ 366,193</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$ 496,245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$ 633,816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$ 392,241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$ 540,155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$ 671,241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effective income tax rates are different from the statutory federal income tax rates for the following reasons: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800" w:type="dxa"/>
            <w:vAlign w:val="bottom"/>
          </w:tcPr>
          <w:p>
            <w:pPr>
              <w:spacing w:after="0"/>
              <w:rPr>
                <w:sz w:val="15"/>
                <w:szCs w:val="15"/>
                <w:color w:val="auto"/>
              </w:rPr>
            </w:pP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5"/>
        </w:trPr>
        <w:tc>
          <w:tcPr>
            <w:tcW w:w="48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 Percent</w:t>
            </w: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  Percent</w:t>
            </w:r>
          </w:p>
        </w:tc>
        <w:tc>
          <w:tcPr>
            <w:tcW w:w="16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8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$ 82,370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$ 113,433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$ 140,961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incomes taxes, net of federal income tax effects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6"/>
              </w:rPr>
              <w:t>13,845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20,032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1,692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1,361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162(m) - nondeductible officer compensation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7,009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4,140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572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1,560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733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468</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40" w:type="dxa"/>
            <w:vAlign w:val="bottom"/>
            <w:tcBorders>
              <w:bottom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$ 96,249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24.5</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$ 121,422</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$ 156,784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20" w:firstLine="648"/>
        <w:spacing w:after="0" w:line="266" w:lineRule="auto"/>
        <w:rPr>
          <w:sz w:val="20"/>
          <w:szCs w:val="20"/>
          <w:color w:val="auto"/>
        </w:rPr>
      </w:pPr>
      <w:r>
        <w:rPr>
          <w:rFonts w:ascii="Times New Roman" w:cs="Times New Roman" w:eastAsia="Times New Roman" w:hAnsi="Times New Roman"/>
          <w:sz w:val="18"/>
          <w:szCs w:val="18"/>
          <w:color w:val="auto"/>
        </w:rPr>
        <w:t>We assessed foreign tax effects on an individual jurisdiction basis, as required by ASU 2023-09. No foreign jurisdiction, either individually or in aggregate, exceeded the threshold for separate disclosure. As a result, foreign tax effects are presented as a single aggregated reconciling item in the effective tax rate reconciliation.</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states make up the majority of our state and local income tax expense: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000" w:type="dxa"/>
            <w:vAlign w:val="bottom"/>
            <w:tcBorders>
              <w:bottom w:val="single" w:sz="8" w:color="CCEEFF"/>
            </w:tcBorders>
          </w:tcPr>
          <w:p>
            <w:pPr>
              <w:ind w:left="7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State and local incomes taxes, net of federal income tax effects</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80"/>
          </w:cols>
          <w:pgMar w:left="1440" w:top="513" w:right="1179"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Temporary differences which give rise to deferred income tax assets and (liabilities) on December 27,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28, 2024 are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080" w:type="dxa"/>
            <w:vAlign w:val="bottom"/>
          </w:tcPr>
          <w:p>
            <w:pPr>
              <w:spacing w:after="0"/>
              <w:rPr>
                <w:sz w:val="15"/>
                <w:szCs w:val="15"/>
                <w:color w:val="auto"/>
              </w:rPr>
            </w:pP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49,666</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31,100</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subsidiary capital loss carryforward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tax credits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on receivables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35,548</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132,126</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128,698</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(84,924)</w:t>
            </w: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(39,525)</w:t>
            </w: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r>
      <w:tr>
        <w:trPr>
          <w:trHeight w:val="23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0"/>
        </w:trPr>
        <w:tc>
          <w:tcPr>
            <w:tcW w:w="50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income tax liabilities</w:t>
            </w:r>
          </w:p>
        </w:tc>
        <w:tc>
          <w:tcPr>
            <w:tcW w:w="19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(174,994)</w:t>
            </w:r>
          </w:p>
        </w:tc>
        <w:tc>
          <w:tcPr>
            <w:tcW w:w="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(154,679)</w:t>
            </w:r>
          </w:p>
        </w:tc>
      </w:tr>
      <w:tr>
        <w:trPr>
          <w:trHeight w:val="216"/>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(75,180)</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w:t>
            </w:r>
          </w:p>
        </w:tc>
      </w:tr>
      <w:tr>
        <w:trPr>
          <w:trHeight w:val="20"/>
        </w:trPr>
        <w:tc>
          <w:tcPr>
            <w:tcW w:w="5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Income taxes paid (net of refunds received) during the year ended December 27, 2025 and December 28, 2024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32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w:t>
            </w:r>
          </w:p>
        </w:tc>
      </w:tr>
      <w:tr>
        <w:trPr>
          <w:trHeight w:val="23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w:t>
            </w:r>
          </w:p>
        </w:tc>
      </w:tr>
      <w:tr>
        <w:trPr>
          <w:trHeight w:val="203"/>
        </w:trPr>
        <w:tc>
          <w:tcPr>
            <w:tcW w:w="4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0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67,766</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135,251</w:t>
            </w:r>
          </w:p>
        </w:tc>
      </w:tr>
      <w:tr>
        <w:trPr>
          <w:trHeight w:val="20"/>
        </w:trPr>
        <w:tc>
          <w:tcPr>
            <w:tcW w:w="40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state, local, and foreign jurisdictions individually represented less than 5% of total income taxes paid, net of refunds, and are included in the aggregated amounts above.</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December 27, 2025, we had federal, state and foreign net operating loss (NOL) carryforwards of $9.9 million. The NOL carryforwards expire as follows: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6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Net Operating Losses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394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State</w:t>
            </w:r>
          </w:p>
        </w:tc>
        <w:tc>
          <w:tcPr>
            <w:tcW w:w="280" w:type="dxa"/>
            <w:vAlign w:val="bottom"/>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2026 - 2030</w:t>
            </w:r>
          </w:p>
        </w:tc>
        <w:tc>
          <w:tcPr>
            <w:tcW w:w="3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2031 - 2035</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2036 - 2040</w:t>
            </w:r>
          </w:p>
        </w:tc>
        <w:tc>
          <w:tcPr>
            <w:tcW w:w="3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2041 - 2045</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7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780" w:type="dxa"/>
            <w:vAlign w:val="bottom"/>
            <w:vMerge w:val="restart"/>
          </w:tcPr>
          <w:p>
            <w:pPr>
              <w:jc w:val="right"/>
              <w:ind w:right="1759"/>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6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6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27, 2025, we believe that it is more likely than not that the benefit from certain state and foreign NOL carryforwards will not be realized. In recognition of this risk, we have provided a valuation allowance of $3.6 million against the various NOLs. Furthermore, there is a valuation allowance of $0.5 million against a capital loss carryforward 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Organization of Economic Cooperation and Development (“OECD”) reached an agreement among various countries to implement a minimum 15% tax rate on certain multinational enterprises, commonly referred to as Pillar Two. We continue to analyze the impacts of these legislative changes to our effective tax rate, consolidated financial statements, and related disclosures. As of December 27, 2025, we do not expect the impact of Pillar Two legislation to have a material impact on our tax expense.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continuing to evaluate the impact of OBBBA beyond 2025; however, any effects are expected to relate primarily to deferred tax items and are not anticipated to materially impact our effective tax rate.</w:t>
      </w:r>
    </w:p>
    <w:p>
      <w:pPr>
        <w:spacing w:after="0" w:line="183"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FOR UNCERTAINTY IN INCOME TAXES</w:t>
      </w:r>
    </w:p>
    <w:p>
      <w:pPr>
        <w:spacing w:after="0" w:line="22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980" w:type="dxa"/>
            <w:vAlign w:val="bottom"/>
          </w:tcPr>
          <w:p>
            <w:pPr>
              <w:spacing w:after="0"/>
              <w:rPr>
                <w:sz w:val="15"/>
                <w:szCs w:val="15"/>
                <w:color w:val="auto"/>
              </w:rPr>
            </w:pPr>
          </w:p>
        </w:tc>
        <w:tc>
          <w:tcPr>
            <w:tcW w:w="15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unrecognized tax benefits beginning of year</w:t>
            </w:r>
          </w:p>
        </w:tc>
        <w:tc>
          <w:tcPr>
            <w:tcW w:w="1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tax positions for prior years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positions for current year</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3"/>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14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unrecognized tax benefits end of year</w:t>
            </w:r>
          </w:p>
        </w:tc>
        <w:tc>
          <w:tcPr>
            <w:tcW w:w="1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0"/>
        </w:trPr>
        <w:tc>
          <w:tcPr>
            <w:tcW w:w="4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 would have been affected by the unrecognized tax benefits had this amount been recognized as a reduction to income tax expense.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recognized interest and penalties for unrecognized tax benefits in our provision for income taxes. The liability for unrecognized tax benefits included accrued interest and penalties of $0.5 million for the year December 27, 2025, $0.6 million for the year December 28, 2024, and $0.4 million for the year December 30, 2023.</w:t>
      </w:r>
    </w:p>
    <w:p>
      <w:pPr>
        <w:spacing w:after="0" w:line="172" w:lineRule="exact"/>
        <w:rPr>
          <w:sz w:val="20"/>
          <w:szCs w:val="20"/>
          <w:color w:val="auto"/>
        </w:rPr>
      </w:pPr>
    </w:p>
    <w:p>
      <w:pPr>
        <w:ind w:left="700" w:hanging="650"/>
        <w:spacing w:after="0"/>
        <w:tabs>
          <w:tab w:leader="none" w:pos="7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CONTINGENCIES, AND GUARANTEES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27, 2025,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2025, we had outstanding purchase commitments on commenced capital projects of approximately $135.4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December 27, 2025, we had approximately $23.7 million in outstanding payment and performance bonds for open projects. We had approximately $6.0 million in payment and performance bonds outstanding for completed projects which are still under warranty.</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2025, we had outstanding letters of credit totaling $40.4 million, primarily related to certain insurance contracts, industrial development revenue bonds, and other debt agreements described further below.</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December 27, 2025, we have irrevocable letters of credit outstanding totaling approximately $37.1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2025 which would require us to recognize a liability on our balance sheet.</w:t>
      </w:r>
    </w:p>
    <w:p>
      <w:pPr>
        <w:spacing w:after="0" w:line="158" w:lineRule="exact"/>
        <w:rPr>
          <w:sz w:val="20"/>
          <w:szCs w:val="20"/>
          <w:color w:val="auto"/>
        </w:rPr>
      </w:pPr>
    </w:p>
    <w:p>
      <w:pPr>
        <w:ind w:left="700" w:hanging="650"/>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(“CODM”) in deciding how to allocate resources and in assessing performance. Our CODM is the chief executive officer, as he has the ultimate decision-making authority related to assessing the Company’s performance and allocating resources. The CODM assesses performance for our segments and decides how to allocate resources based on net sales, cost of goods sold, earnings from operations and net earnings. These metrics are also reported on the Consolidated Statement of Earnings and Comprehensive Income. The measure of segment assets is reported on the Consolidated Balance Sheet as total consolidated assets. The CODM uses earnings from operations and net earnings to evaluate income generated from segment assets (return on investment) in determining wage increase allocations and bonus pools, and in deciding whether to reinvest profits into the business, such as for acquisitions or to pay dividends.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focused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 Two customers, The Home Depot and Lowes, accounted for approximately 17% and 11%, respectively, of our total net sales in fiscal 2025, 17% and 11%, respectively, of our total net sales in fiscal 2024 and 17% and 12%, respectively, in 2023.</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over (under) allocated costs and net sales to external customers initiated by UFP Purchasing, which manages supplier relationships and purchases lumber and other materials, UFP Transportation, which owns, leases and operates transportation equipment, and UFP Real Estate, which owns and leases real estate. Inter-company lease and service charges are assessed to our operating segments for the use of these assets and services at fair market value rates. Total assets in the Corporate column include unallocated cash and cash equivalents, certain prepaid assets, and certain property, equipment and other assets pertaining to the centralized activities of Corporate, UFP Real Estate, Inc., UFP Transportation, Inc., and UFP Purchasing, Inc. Real estate activities are conducted by the real estate company on behalf of the segments, and capital expenditures associated with real estate are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are presented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Construction</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$ 2,433,556</w:t>
            </w: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$ 1,603,723</w:t>
            </w: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$ 2,003,785</w:t>
            </w: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$ 271,550</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$ 6,320,343</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334,152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(782,595)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2,087,657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1,338,247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1,645,998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212,499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5,260,193</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1,060,150</w:t>
            </w: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237,949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691,008</w:t>
            </w:r>
          </w:p>
        </w:tc>
        <w:tc>
          <w:tcPr>
            <w:tcW w:w="0" w:type="dxa"/>
            <w:vAlign w:val="bottom"/>
          </w:tcPr>
          <w:p>
            <w:pPr>
              <w:spacing w:after="0"/>
              <w:rPr>
                <w:sz w:val="1"/>
                <w:szCs w:val="1"/>
                <w:color w:val="auto"/>
              </w:rPr>
            </w:pPr>
          </w:p>
        </w:tc>
      </w:tr>
      <w:tr>
        <w:trPr>
          <w:trHeight w:val="198"/>
        </w:trPr>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0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363,901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(38,548)</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392,241</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96,249</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66,414</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295,992</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330,938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1,435,794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4,022,893</w:t>
            </w:r>
          </w:p>
        </w:tc>
        <w:tc>
          <w:tcPr>
            <w:tcW w:w="0" w:type="dxa"/>
            <w:vAlign w:val="bottom"/>
          </w:tcPr>
          <w:p>
            <w:pPr>
              <w:spacing w:after="0"/>
              <w:rPr>
                <w:sz w:val="1"/>
                <w:szCs w:val="1"/>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269,377</w:t>
            </w: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Construction</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$ 2,597,994</w:t>
            </w: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$ 1,636,563</w:t>
            </w: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$ 2,113,844</w:t>
            </w:r>
          </w:p>
        </w:tc>
        <w:tc>
          <w:tcPr>
            <w:tcW w:w="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$ 298,190</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$ 6,652,309</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297,512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2,209,195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1,335,304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1,675,346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240,518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5,425,567</w:t>
            </w:r>
          </w:p>
        </w:tc>
        <w:tc>
          <w:tcPr>
            <w:tcW w:w="0" w:type="dxa"/>
            <w:vAlign w:val="bottom"/>
          </w:tcPr>
          <w:p>
            <w:pPr>
              <w:spacing w:after="0"/>
              <w:rPr>
                <w:sz w:val="1"/>
                <w:szCs w:val="1"/>
                <w:color w:val="auto"/>
              </w:rPr>
            </w:pPr>
          </w:p>
        </w:tc>
      </w:tr>
      <w:tr>
        <w:trPr>
          <w:trHeight w:val="20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1,226,742</w:t>
            </w:r>
          </w:p>
        </w:tc>
        <w:tc>
          <w:tcPr>
            <w:tcW w:w="0" w:type="dxa"/>
            <w:vAlign w:val="bottom"/>
          </w:tcPr>
          <w:p>
            <w:pPr>
              <w:spacing w:after="0"/>
              <w:rPr>
                <w:sz w:val="1"/>
                <w:szCs w:val="1"/>
                <w:color w:val="auto"/>
              </w:rPr>
            </w:pPr>
          </w:p>
        </w:tc>
      </w:tr>
      <w:tr>
        <w:trPr>
          <w:trHeight w:val="198"/>
        </w:trPr>
        <w:tc>
          <w:tcPr>
            <w:tcW w:w="2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209,592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191,757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262,517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735,046</w:t>
            </w:r>
          </w:p>
        </w:tc>
        <w:tc>
          <w:tcPr>
            <w:tcW w:w="0" w:type="dxa"/>
            <w:vAlign w:val="bottom"/>
          </w:tcPr>
          <w:p>
            <w:pPr>
              <w:spacing w:after="0"/>
              <w:rPr>
                <w:sz w:val="1"/>
                <w:szCs w:val="1"/>
                <w:color w:val="auto"/>
              </w:rPr>
            </w:pPr>
          </w:p>
        </w:tc>
      </w:tr>
      <w:tr>
        <w:trPr>
          <w:trHeight w:val="198"/>
        </w:trPr>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492,242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(47,913)</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540,155</w:t>
            </w:r>
          </w:p>
        </w:tc>
        <w:tc>
          <w:tcPr>
            <w:tcW w:w="0" w:type="dxa"/>
            <w:vAlign w:val="bottom"/>
          </w:tcPr>
          <w:p>
            <w:pPr>
              <w:spacing w:after="0"/>
              <w:rPr>
                <w:sz w:val="1"/>
                <w:szCs w:val="1"/>
                <w:color w:val="auto"/>
              </w:rPr>
            </w:pPr>
          </w:p>
        </w:tc>
      </w:tr>
      <w:tr>
        <w:trPr>
          <w:trHeight w:val="216"/>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39,488</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121,422</w:t>
            </w:r>
          </w:p>
        </w:tc>
        <w:tc>
          <w:tcPr>
            <w:tcW w:w="0" w:type="dxa"/>
            <w:vAlign w:val="bottom"/>
          </w:tcPr>
          <w:p>
            <w:pPr>
              <w:spacing w:after="0"/>
              <w:rPr>
                <w:sz w:val="1"/>
                <w:szCs w:val="1"/>
                <w:color w:val="auto"/>
              </w:rPr>
            </w:pPr>
          </w:p>
        </w:tc>
      </w:tr>
      <w:tr>
        <w:trPr>
          <w:trHeight w:val="20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418,733</w:t>
            </w:r>
          </w:p>
        </w:tc>
        <w:tc>
          <w:tcPr>
            <w:tcW w:w="0" w:type="dxa"/>
            <w:vAlign w:val="bottom"/>
          </w:tcPr>
          <w:p>
            <w:pPr>
              <w:spacing w:after="0"/>
              <w:rPr>
                <w:sz w:val="1"/>
                <w:szCs w:val="1"/>
                <w:color w:val="auto"/>
              </w:rPr>
            </w:pPr>
          </w:p>
        </w:tc>
      </w:tr>
      <w:tr>
        <w:trPr>
          <w:trHeight w:val="20"/>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0" w:type="dxa"/>
            <w:vAlign w:val="bottom"/>
          </w:tcPr>
          <w:p>
            <w:pPr>
              <w:spacing w:after="0"/>
              <w:rPr>
                <w:sz w:val="1"/>
                <w:szCs w:val="1"/>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342,529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1,571,472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4,150,938</w:t>
            </w:r>
          </w:p>
        </w:tc>
        <w:tc>
          <w:tcPr>
            <w:tcW w:w="0" w:type="dxa"/>
            <w:vAlign w:val="bottom"/>
          </w:tcPr>
          <w:p>
            <w:pPr>
              <w:spacing w:after="0"/>
              <w:rPr>
                <w:sz w:val="1"/>
                <w:szCs w:val="1"/>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Construction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2,956,007</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1,838,200</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2,161,059</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259,392</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7,218,384</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(1,013,813)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5,799,446</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1,418,938</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administrative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219,323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766,633</w:t>
            </w:r>
          </w:p>
        </w:tc>
        <w:tc>
          <w:tcPr>
            <w:tcW w:w="0" w:type="dxa"/>
            <w:vAlign w:val="bottom"/>
          </w:tcPr>
          <w:p>
            <w:pPr>
              <w:spacing w:after="0"/>
              <w:rPr>
                <w:sz w:val="1"/>
                <w:szCs w:val="1"/>
                <w:color w:val="auto"/>
              </w:rPr>
            </w:pPr>
          </w:p>
        </w:tc>
      </w:tr>
      <w:tr>
        <w:trPr>
          <w:trHeight w:val="198"/>
        </w:trPr>
        <w:tc>
          <w:tcPr>
            <w:tcW w:w="2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(gain) on disposition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646,534</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(39,916)</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investee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(24,707)</w:t>
            </w: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671,241</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156,784</w:t>
            </w:r>
          </w:p>
        </w:tc>
        <w:tc>
          <w:tcPr>
            <w:tcW w:w="0" w:type="dxa"/>
            <w:vAlign w:val="bottom"/>
          </w:tcPr>
          <w:p>
            <w:pPr>
              <w:spacing w:after="0"/>
              <w:rPr>
                <w:sz w:val="1"/>
                <w:szCs w:val="1"/>
                <w:color w:val="auto"/>
              </w:rPr>
            </w:pPr>
          </w:p>
        </w:tc>
      </w:tr>
      <w:tr>
        <w:trPr>
          <w:trHeight w:val="21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131,920</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514,457</w:t>
            </w:r>
          </w:p>
        </w:tc>
        <w:tc>
          <w:tcPr>
            <w:tcW w:w="0" w:type="dxa"/>
            <w:vAlign w:val="bottom"/>
          </w:tcPr>
          <w:p>
            <w:pPr>
              <w:spacing w:after="0"/>
              <w:rPr>
                <w:sz w:val="1"/>
                <w:szCs w:val="1"/>
                <w:color w:val="auto"/>
              </w:rPr>
            </w:pPr>
          </w:p>
        </w:tc>
      </w:tr>
      <w:tr>
        <w:trPr>
          <w:trHeight w:val="20"/>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significant items: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110,563</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4,017,797</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regarding principal geographic areas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290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5"/>
                <w:szCs w:val="15"/>
                <w:color w:val="auto"/>
              </w:rPr>
            </w:pPr>
          </w:p>
        </w:tc>
        <w:tc>
          <w:tcPr>
            <w:tcW w:w="204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9"/>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19"/>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8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2"/>
                <w:szCs w:val="12"/>
                <w:color w:val="auto"/>
              </w:rPr>
            </w:pPr>
          </w:p>
        </w:tc>
        <w:tc>
          <w:tcPr>
            <w:tcW w:w="92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10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Tangible</w:t>
            </w:r>
          </w:p>
        </w:tc>
        <w:tc>
          <w:tcPr>
            <w:tcW w:w="10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Tangible</w:t>
            </w:r>
          </w:p>
        </w:tc>
        <w:tc>
          <w:tcPr>
            <w:tcW w:w="0" w:type="dxa"/>
            <w:vAlign w:val="bottom"/>
          </w:tcPr>
          <w:p>
            <w:pPr>
              <w:spacing w:after="0"/>
              <w:rPr>
                <w:sz w:val="1"/>
                <w:szCs w:val="1"/>
                <w:color w:val="auto"/>
              </w:rPr>
            </w:pPr>
          </w:p>
        </w:tc>
      </w:tr>
      <w:tr>
        <w:trPr>
          <w:trHeight w:val="180"/>
        </w:trPr>
        <w:tc>
          <w:tcPr>
            <w:tcW w:w="18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Assets</w:t>
            </w:r>
          </w:p>
        </w:tc>
        <w:tc>
          <w:tcPr>
            <w:tcW w:w="1080" w:type="dxa"/>
            <w:vAlign w:val="bottom"/>
            <w:gridSpan w:val="2"/>
            <w:vMerge w:val="continue"/>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80" w:type="dxa"/>
            <w:vAlign w:val="bottom"/>
            <w:gridSpan w:val="2"/>
            <w:vMerge w:val="continue"/>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$ 6,037,902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$ 1,004,281</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$ 6,359,540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906,549</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$ 6,935,431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$ 779,748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282,441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292,769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282,953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$ 6,320,343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$ 1,210,804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$ 6,652,309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$ 7,218,384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$ 967,790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disaggregated net sales (in thousands) by business unit for each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2,028,949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2,154,398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2,495,493</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309,419</w:t>
            </w:r>
          </w:p>
        </w:tc>
      </w:tr>
      <w:tr>
        <w:trPr>
          <w:trHeight w:val="223"/>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104,676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151,095</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2,433,556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2,597,994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2,956,007</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1,045,149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1,225,204</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530,642</w:t>
            </w:r>
          </w:p>
        </w:tc>
      </w:tr>
      <w:tr>
        <w:trPr>
          <w:trHeight w:val="223"/>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82,354</w:t>
            </w: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1,603,723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1,636,563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1,838,200</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718,773</w:t>
            </w:r>
          </w:p>
        </w:tc>
      </w:tr>
      <w:tr>
        <w:trPr>
          <w:trHeight w:val="216"/>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Site-Built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977,129</w:t>
            </w:r>
          </w:p>
        </w:tc>
      </w:tr>
      <w:tr>
        <w:trPr>
          <w:trHeight w:val="216"/>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265,079</w:t>
            </w:r>
          </w:p>
        </w:tc>
      </w:tr>
      <w:tr>
        <w:trPr>
          <w:trHeight w:val="236"/>
        </w:trPr>
        <w:tc>
          <w:tcPr>
            <w:tcW w:w="5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200,078</w:t>
            </w:r>
          </w:p>
        </w:tc>
      </w:tr>
      <w:tr>
        <w:trPr>
          <w:trHeight w:val="203"/>
        </w:trPr>
        <w:tc>
          <w:tcPr>
            <w:tcW w:w="58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2,003,785</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2,113,844</w:t>
            </w:r>
          </w:p>
        </w:tc>
        <w:tc>
          <w:tcPr>
            <w:tcW w:w="1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2,161,059</w:t>
            </w:r>
          </w:p>
        </w:tc>
      </w:tr>
      <w:tr>
        <w:trPr>
          <w:trHeight w:val="216"/>
        </w:trPr>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259,392</w:t>
            </w:r>
          </w:p>
        </w:tc>
      </w:tr>
      <w:tr>
        <w:trPr>
          <w:trHeight w:val="216"/>
        </w:trPr>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r>
      <w:tr>
        <w:trPr>
          <w:trHeight w:val="236"/>
        </w:trPr>
        <w:tc>
          <w:tcPr>
            <w:tcW w:w="5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r>
      <w:tr>
        <w:trPr>
          <w:trHeight w:val="203"/>
        </w:trPr>
        <w:tc>
          <w:tcPr>
            <w:tcW w:w="58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6,320,343</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6,652,309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7,218,384</w:t>
            </w: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122555</wp:posOffset>
            </wp:positionV>
            <wp:extent cx="17659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2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2023</w:t>
            </w:r>
          </w:p>
        </w:tc>
      </w:tr>
      <w:tr>
        <w:trPr>
          <w:trHeight w:val="230"/>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Value-Added</w:t>
            </w: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29"/>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52.8%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75.5%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76.9%</w:t>
            </w:r>
          </w:p>
        </w:tc>
      </w:tr>
      <w:tr>
        <w:trPr>
          <w:trHeight w:val="230"/>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80.5%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76.6%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61.6%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68.1%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6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Commodity-Based</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47.2%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Packaging</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24.5%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23.4%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38.4%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r>
    </w:tbl>
    <w:p>
      <w:pPr>
        <w:spacing w:after="0" w:line="11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QUARTERLY FINANCIAL INFORMATION (UNAUDITED)</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financial information for all of the quarters, consisting of 52 weeks during the years ended December 27, 2025 and December 28, 2024 (in thousands, except per share data):</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First</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Third</w:t>
            </w:r>
          </w:p>
        </w:tc>
        <w:tc>
          <w:tcPr>
            <w:tcW w:w="160" w:type="dxa"/>
            <w:vAlign w:val="bottom"/>
          </w:tcPr>
          <w:p>
            <w:pPr>
              <w:spacing w:after="0"/>
              <w:rPr>
                <w:sz w:val="19"/>
                <w:szCs w:val="19"/>
                <w:color w:val="auto"/>
              </w:rPr>
            </w:pPr>
          </w:p>
        </w:tc>
        <w:tc>
          <w:tcPr>
            <w:tcW w:w="188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09"/>
        </w:trPr>
        <w:tc>
          <w:tcPr>
            <w:tcW w:w="920" w:type="dxa"/>
            <w:vAlign w:val="bottom"/>
          </w:tcPr>
          <w:p>
            <w:pPr>
              <w:spacing w:after="0"/>
              <w:rPr>
                <w:sz w:val="18"/>
                <w:szCs w:val="18"/>
                <w:color w:val="auto"/>
              </w:rPr>
            </w:pP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2025</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2024</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2025</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2024</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2025</w:t>
            </w:r>
          </w:p>
        </w:tc>
        <w:tc>
          <w:tcPr>
            <w:tcW w:w="10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2024</w:t>
            </w:r>
          </w:p>
        </w:tc>
        <w:tc>
          <w:tcPr>
            <w:tcW w:w="10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2025</w:t>
            </w: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3"/>
        </w:trPr>
        <w:tc>
          <w:tcPr>
            <w:tcW w:w="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$ 1,595,519</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$ 1,638,966</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$ 1,835,374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$ 1,901,959</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$ 1,559,627</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$ 1,649,383</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$ 1,329,823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1,462,001</w:t>
            </w: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268,196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326,078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312,734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362,743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262,681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298,412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216,539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239,509</w:t>
            </w:r>
          </w:p>
        </w:tc>
      </w:tr>
      <w:tr>
        <w:trPr>
          <w:trHeight w:val="20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121,099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69,783</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attributable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to controlling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120,791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100,734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125,930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75,346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99,800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68,039</w:t>
            </w:r>
          </w:p>
        </w:tc>
      </w:tr>
      <w:tr>
        <w:trPr>
          <w:trHeight w:val="195"/>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3"/>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earnings per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bl>
    <w:p>
      <w:pPr>
        <w:spacing w:after="0" w:line="200" w:lineRule="exact"/>
        <w:rPr>
          <w:sz w:val="20"/>
          <w:szCs w:val="20"/>
          <w:color w:val="auto"/>
        </w:rPr>
      </w:pPr>
    </w:p>
    <w:p>
      <w:pPr>
        <w:spacing w:after="0" w:line="229"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subsequent events were identified as of February 25, 2026.</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With the participation of management, our Chief Executive Officer and Chief Financial Officer, after evaluating the effectiveness of our disclosure controls and procedures (as defined in SEC Rules 13a–15(e) and 15d–15(e)) in the manner required by SEC Rule 13a-15(b) and 15d-15(b), have concluded that our disclosure controls and procedures were effective as of the end of the period covered by this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and based upon the criteria established in Internal Control — 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U.S. GAAP. Our management assessed the effectiveness of our internal control over financial reporting as of December 27, 2025. Based on this assessment, our internal control over financial reporting was effective as of December 27, 2025.</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Deloitte &amp; Touche LLP, our independent registered public accounting firm, has audited the effectiveness of our internal control over financial reporting as of December 27, 2025. Deloitte &amp; Touche LLP's opinion, as stated in their report which appears on page 38 of this Form 10-K, is consistent with management's report on internal control over financial reporting as set forth above.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27, 2025, that materially affected, or are reasonably likely to materially affect, our internal control over financial reporting.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27, 2025, no director or officer adopted or terminated a “Rule 10b5-1 trading arrangement” or a “non-Rule 10b5-1 trading arrangement,” as each term is defined in Item 408(a) of Regulation S-K.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Information relating to our directors, compliance with Section 16(a) of the Securities Exchange Act of 1934 and various corporate governance matters is incorporated by reference from our definitive Proxy Statement for the year ended December 27, 2025 for the 2026 Annual Meeting of Shareholders, to be filed with the SEC (“2026 Proxy Statement”), under the captions “Election of Directors,” “Corporate Governance and Board Matters,” and “Delinquent Section 16(a) Reports.”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200" w:type="dxa"/>
            <w:vAlign w:val="bottom"/>
            <w:gridSpan w:val="4"/>
          </w:tcPr>
          <w:p>
            <w:pPr>
              <w:ind w:left="26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r>
      <w:tr>
        <w:trPr>
          <w:trHeight w:val="20"/>
        </w:trPr>
        <w:tc>
          <w:tcPr>
            <w:tcW w:w="2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220" w:type="dxa"/>
            <w:vAlign w:val="bottom"/>
          </w:tcPr>
          <w:p>
            <w:pPr>
              <w:spacing w:after="0"/>
              <w:rPr>
                <w:sz w:val="24"/>
                <w:szCs w:val="24"/>
                <w:color w:val="auto"/>
              </w:rPr>
            </w:pP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SECTION 16 OFFICERS</w:t>
            </w:r>
          </w:p>
        </w:tc>
      </w:tr>
      <w:tr>
        <w:trPr>
          <w:trHeight w:val="4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Missad</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w:t>
            </w:r>
          </w:p>
        </w:tc>
        <w:tc>
          <w:tcPr>
            <w:tcW w:w="2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D. Schwartz, Jr.</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Matthew J. Missad</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w:t>
            </w:r>
          </w:p>
        </w:tc>
        <w:tc>
          <w:tcPr>
            <w:tcW w:w="2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Rhodes</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Chief Financial Officer, Treasurer and</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TWR Enterprises, Inc.</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President of Corporate Services</w:t>
            </w:r>
          </w:p>
        </w:tc>
      </w:tr>
      <w:tr>
        <w:trPr>
          <w:trHeight w:val="4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Tuuk Kuras</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Patrick M. Benton</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UFP Construction, LLC</w:t>
            </w:r>
          </w:p>
        </w:tc>
      </w:tr>
      <w:tr>
        <w:trPr>
          <w:trHeight w:val="4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 Walker</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Scott A. Worthington</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Partner-Strategic Leadership</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Huron Capital</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UFP Packaging, LLC</w:t>
            </w:r>
          </w:p>
        </w:tc>
      </w:tr>
      <w:tr>
        <w:trPr>
          <w:trHeight w:val="4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 Wooldridge</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Landon C. Tarvin</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Counsel and Former Partner</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Varnum, LLP</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UFP Retail Solutions, LLC</w:t>
            </w:r>
          </w:p>
        </w:tc>
      </w:tr>
      <w:tr>
        <w:trPr>
          <w:trHeight w:val="41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Joan A. Budden</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 Paul Guerre</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President and Chief Executive Officer</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Corporate Secretary and Director</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Priority Health</w:t>
            </w:r>
          </w:p>
        </w:tc>
        <w:tc>
          <w:tcPr>
            <w:tcW w:w="3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of Corporate Compliance</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Benjamin J. McLean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Ruan Transportation Management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Information relating to director and executive compensation is incorporated by reference from the 2026 Proxy Statement under the caption “Executive Compensation.” The “Personnel and Compensation Committee Report” included in the 2026 Proxy Statement is incorporated by reference for the purpose of being furnished herein and is not and shall not be deemed to be filed under the Securities Exchange Act of 1934, as amended.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Shareholder Matters.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security ownership of certain beneficial owners and management is incorporated by reference from our 2026 Proxy Statement under the captions “Voting Securities and Record Date” and “Securities Ownership of Management and Directors.”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Information relating to securities authorized for issuance under equity compensation plans as of December 27, 2025, is as follows: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reflected in</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4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column (a)] </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4"/>
                <w:szCs w:val="14"/>
                <w:b w:val="1"/>
                <w:bCs w:val="1"/>
                <w:color w:val="auto"/>
                <w:w w:val="90"/>
              </w:rPr>
              <w:t xml:space="preserve">(a) </w:t>
            </w:r>
            <w:r>
              <w:rPr>
                <w:rFonts w:ascii="Times New Roman" w:cs="Times New Roman" w:eastAsia="Times New Roman" w:hAnsi="Times New Roman"/>
                <w:sz w:val="20"/>
                <w:szCs w:val="20"/>
                <w:b w:val="1"/>
                <w:bCs w:val="1"/>
                <w:color w:val="auto"/>
                <w:w w:val="90"/>
                <w:vertAlign w:val="superscript"/>
              </w:rPr>
              <w:t>(1)</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ind w:left="760"/>
              <w:spacing w:after="0" w:line="177"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213,248</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1,521,041</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8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jc w:val="both"/>
        <w:ind w:left="380" w:right="79" w:hanging="330"/>
        <w:spacing w:after="0" w:line="220" w:lineRule="auto"/>
        <w:tabs>
          <w:tab w:leader="none" w:pos="38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to be issued upon exercise of outstanding options, warrants, or similar rights, as of December 27, 2025, is as follows: 43,382 performance units under our Long Term Stock Incentive Plan and 169,866 stock units under our Director Compensation Plan.</w:t>
      </w:r>
    </w:p>
    <w:p>
      <w:pPr>
        <w:spacing w:after="0" w:line="91" w:lineRule="exact"/>
        <w:rPr>
          <w:rFonts w:ascii="Times New Roman" w:cs="Times New Roman" w:eastAsia="Times New Roman" w:hAnsi="Times New Roman"/>
          <w:sz w:val="27"/>
          <w:szCs w:val="27"/>
          <w:color w:val="auto"/>
          <w:vertAlign w:val="superscript"/>
        </w:rPr>
      </w:pPr>
    </w:p>
    <w:p>
      <w:pPr>
        <w:jc w:val="both"/>
        <w:ind w:left="380" w:right="79" w:hanging="330"/>
        <w:spacing w:after="0" w:line="227" w:lineRule="auto"/>
        <w:tabs>
          <w:tab w:leader="none" w:pos="38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remaining available for future issuance under equity compensation plans, excluding outstanding options, warrants, or similar rights, as of December 27, 2025, is as follows: 71,174 shares for our Employee Stock Purchase Plan, 148,200 shares for our Director Compensation Plan, 1,301,667 shares under our Long-Term Stock Incentive Plan, and 6,620 shares for our Employee Stock Gift Program.</w:t>
      </w:r>
    </w:p>
    <w:p>
      <w:pPr>
        <w:spacing w:after="0" w:line="91" w:lineRule="exact"/>
        <w:rPr>
          <w:sz w:val="20"/>
          <w:szCs w:val="20"/>
          <w:color w:val="auto"/>
        </w:rPr>
      </w:pPr>
    </w:p>
    <w:p>
      <w:pPr>
        <w:ind w:left="700" w:right="79"/>
        <w:spacing w:after="0" w:line="282" w:lineRule="auto"/>
        <w:rPr>
          <w:sz w:val="20"/>
          <w:szCs w:val="20"/>
          <w:color w:val="auto"/>
        </w:rPr>
      </w:pPr>
      <w:r>
        <w:rPr>
          <w:rFonts w:ascii="Times New Roman" w:cs="Times New Roman" w:eastAsia="Times New Roman" w:hAnsi="Times New Roman"/>
          <w:sz w:val="18"/>
          <w:szCs w:val="18"/>
          <w:color w:val="auto"/>
        </w:rPr>
        <w:t>See Note H “Common Stock” to our consolidated financial statements for the fiscal year ended December 27, 2025 in Item 8 above for information regarding these plans.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certain relationships and related transactions, and director independence is incorporated by reference from the 2026 Proxy Statement under the captions “Election of Directors”, “Affirmative Determination Regarding Director Independence and Other Matters” and “Related Party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Information relating to the types of services rendered by our Independent Registered Public Accounting Firm and the fees paid for these services is incorporated by reference from our 2026 Proxy Statement under the caption “Independent Registered Public Accounting Firm — Disclosure of Fees.”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Financial Statement Schedules.</w:t>
      </w:r>
    </w:p>
    <w:p>
      <w:pPr>
        <w:spacing w:after="0" w:line="229"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  Financial Statements</w:t>
      </w:r>
      <w:r>
        <w:rPr>
          <w:rFonts w:ascii="Times New Roman" w:cs="Times New Roman" w:eastAsia="Times New Roman" w:hAnsi="Times New Roman"/>
          <w:sz w:val="18"/>
          <w:szCs w:val="18"/>
          <w:color w:val="auto"/>
        </w:rPr>
        <w:t>. The following are included within Item 8 of this Annual Report on Form 10-K:</w:t>
      </w:r>
    </w:p>
    <w:p>
      <w:pPr>
        <w:spacing w:after="0" w:line="225" w:lineRule="exact"/>
        <w:rPr>
          <w:rFonts w:ascii="Times New Roman" w:cs="Times New Roman" w:eastAsia="Times New Roman" w:hAnsi="Times New Roman"/>
          <w:sz w:val="18"/>
          <w:szCs w:val="18"/>
          <w:color w:val="auto"/>
        </w:rPr>
      </w:pPr>
    </w:p>
    <w:p>
      <w:pPr>
        <w:ind w:left="700" w:right="8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 Internal Control Over Financial Reporting Report of Independent Registered Public Accounting Firm – Financial Statements</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9" w:lineRule="exact"/>
        <w:rPr>
          <w:rFonts w:ascii="Times New Roman" w:cs="Times New Roman" w:eastAsia="Times New Roman" w:hAnsi="Times New Roman"/>
          <w:sz w:val="18"/>
          <w:szCs w:val="18"/>
          <w:color w:val="auto"/>
        </w:rPr>
      </w:pPr>
    </w:p>
    <w:p>
      <w:pPr>
        <w:ind w:left="700" w:right="35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Earnings and Comprehensive Income Consolidated Statements of Shareholders’ Equity Consolidated Statements of Cash Flows</w:t>
      </w:r>
    </w:p>
    <w:p>
      <w:pPr>
        <w:spacing w:after="0" w:line="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6" w:lineRule="exact"/>
        <w:rPr>
          <w:rFonts w:ascii="Times New Roman" w:cs="Times New Roman" w:eastAsia="Times New Roman" w:hAnsi="Times New Roman"/>
          <w:sz w:val="18"/>
          <w:szCs w:val="18"/>
          <w:color w:val="auto"/>
        </w:rPr>
      </w:pPr>
    </w:p>
    <w:p>
      <w:pPr>
        <w:ind w:left="700" w:right="199" w:hanging="2"/>
        <w:spacing w:after="0" w:line="266" w:lineRule="auto"/>
        <w:tabs>
          <w:tab w:leader="none" w:pos="1015" w:val="left"/>
        </w:tabs>
        <w:numPr>
          <w:ilvl w:val="1"/>
          <w:numId w:val="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75" w:lineRule="exact"/>
        <w:rPr>
          <w:rFonts w:ascii="Times New Roman" w:cs="Times New Roman" w:eastAsia="Times New Roman" w:hAnsi="Times New Roman"/>
          <w:sz w:val="18"/>
          <w:szCs w:val="18"/>
          <w:u w:val="single" w:color="auto"/>
          <w:color w:val="auto"/>
        </w:rPr>
      </w:pPr>
    </w:p>
    <w:p>
      <w:pPr>
        <w:ind w:left="1020" w:hanging="322"/>
        <w:spacing w:after="0"/>
        <w:tabs>
          <w:tab w:leader="none" w:pos="1020" w:val="left"/>
        </w:tabs>
        <w:numPr>
          <w:ilvl w:val="1"/>
          <w:numId w:val="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Reference is made to the Exhibit Index which is included in this Form 10-K Report.</w:t>
      </w:r>
    </w:p>
    <w:p>
      <w:pPr>
        <w:spacing w:after="0" w:line="225" w:lineRule="exact"/>
        <w:rPr>
          <w:rFonts w:ascii="Times New Roman" w:cs="Times New Roman" w:eastAsia="Times New Roman" w:hAnsi="Times New Roman"/>
          <w:sz w:val="18"/>
          <w:szCs w:val="18"/>
          <w:u w:val="single" w:color="auto"/>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Exhibit Index which is included in this Form 10-K Report.</w:t>
      </w:r>
    </w:p>
    <w:p>
      <w:pPr>
        <w:spacing w:after="0" w:line="22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ind w:left="60"/>
        <w:spacing w:after="0"/>
        <w:tabs>
          <w:tab w:leader="none" w:pos="860" w:val="left"/>
        </w:tabs>
        <w:rPr>
          <w:sz w:val="20"/>
          <w:szCs w:val="20"/>
          <w:color w:val="auto"/>
        </w:rPr>
      </w:pPr>
      <w:r>
        <w:rPr>
          <w:rFonts w:ascii="Times New Roman" w:cs="Times New Roman" w:eastAsia="Times New Roman" w:hAnsi="Times New Roman"/>
          <w:sz w:val="18"/>
          <w:szCs w:val="18"/>
          <w:color w:val="auto"/>
        </w:rPr>
        <w:t>Exhibit #</w:t>
        <w:tab/>
        <w:t>​Description​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73" w:lineRule="exact"/>
        <w:rPr>
          <w:sz w:val="20"/>
          <w:szCs w:val="20"/>
          <w:color w:val="auto"/>
        </w:rPr>
      </w:pPr>
    </w:p>
    <w:p>
      <w:pPr>
        <w:ind w:left="940" w:hanging="884"/>
        <w:spacing w:after="0"/>
        <w:tabs>
          <w:tab w:leader="none" w:pos="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198" w:lineRule="exact"/>
        <w:rPr>
          <w:rFonts w:ascii="Times New Roman" w:cs="Times New Roman" w:eastAsia="Times New Roman" w:hAnsi="Times New Roman"/>
          <w:sz w:val="18"/>
          <w:szCs w:val="18"/>
          <w:color w:val="auto"/>
        </w:rPr>
      </w:pPr>
    </w:p>
    <w:p>
      <w:pPr>
        <w:ind w:left="1680" w:right="119" w:hanging="747"/>
        <w:spacing w:after="0" w:line="266" w:lineRule="auto"/>
        <w:tabs>
          <w:tab w:leader="none" w:pos="1680" w:val="left"/>
        </w:tabs>
        <w:numPr>
          <w:ilvl w:val="1"/>
          <w:numId w:val="50"/>
        </w:numPr>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Restated Articles of Incorporation, as amended through April 24, 2024 (incorporated by reference</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to Exhibit 3(a) of the Registrant's Quarterly Report on Form 10-Q filed on May 8, 2024).</w:t>
        </w:r>
      </w:hyperlink>
    </w:p>
    <w:p>
      <w:pPr>
        <w:spacing w:after="0" w:line="135" w:lineRule="exact"/>
        <w:rPr>
          <w:rFonts w:ascii="Times New Roman" w:cs="Times New Roman" w:eastAsia="Times New Roman" w:hAnsi="Times New Roman"/>
          <w:sz w:val="18"/>
          <w:szCs w:val="18"/>
          <w:u w:val="single" w:color="auto"/>
          <w:color w:val="0000EE"/>
        </w:rPr>
      </w:pPr>
    </w:p>
    <w:p>
      <w:pPr>
        <w:ind w:left="1680" w:right="99" w:hanging="747"/>
        <w:spacing w:after="0" w:line="266" w:lineRule="auto"/>
        <w:tabs>
          <w:tab w:leader="none" w:pos="1680" w:val="left"/>
        </w:tabs>
        <w:numPr>
          <w:ilvl w:val="1"/>
          <w:numId w:val="50"/>
        </w:numPr>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Amended Bylaws (incorporated by reference to Exhibit 3(b) of the Registrant's Annual Report on</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Form 10-K for the year ended December 31, 2016).</w:t>
        </w:r>
      </w:hyperlink>
    </w:p>
    <w:p>
      <w:pPr>
        <w:spacing w:after="0" w:line="135"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198" w:lineRule="exact"/>
        <w:rPr>
          <w:rFonts w:ascii="Times New Roman" w:cs="Times New Roman" w:eastAsia="Times New Roman" w:hAnsi="Times New Roman"/>
          <w:sz w:val="18"/>
          <w:szCs w:val="18"/>
          <w:color w:val="auto"/>
        </w:rPr>
      </w:pPr>
    </w:p>
    <w:p>
      <w:pPr>
        <w:ind w:left="1680" w:hanging="747"/>
        <w:spacing w:after="0"/>
        <w:tabs>
          <w:tab w:leader="none" w:pos="16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Description of Registrant’s Securities.</w:t>
      </w:r>
    </w:p>
    <w:p>
      <w:pPr>
        <w:spacing w:after="0" w:line="198"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98" w:lineRule="exact"/>
        <w:rPr>
          <w:rFonts w:ascii="Times New Roman" w:cs="Times New Roman" w:eastAsia="Times New Roman" w:hAnsi="Times New Roman"/>
          <w:sz w:val="18"/>
          <w:szCs w:val="18"/>
          <w:color w:val="auto"/>
        </w:rPr>
      </w:pPr>
    </w:p>
    <w:p>
      <w:pPr>
        <w:ind w:left="1680" w:right="79" w:hanging="747"/>
        <w:spacing w:after="0" w:line="266" w:lineRule="auto"/>
        <w:tabs>
          <w:tab w:leader="none" w:pos="1680" w:val="left"/>
        </w:tabs>
        <w:numPr>
          <w:ilvl w:val="1"/>
          <w:numId w:val="52"/>
        </w:numPr>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Credit Agreement dated November 1, 2018 (incorporated by reference to Exhibit 10(i)(2) of the</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Registrant's Current Report on Form 8-K filed November 2, 2018).</w:t>
        </w:r>
      </w:hyperlink>
    </w:p>
    <w:p>
      <w:pPr>
        <w:spacing w:after="0" w:line="135" w:lineRule="exact"/>
        <w:rPr>
          <w:rFonts w:ascii="Times New Roman" w:cs="Times New Roman" w:eastAsia="Times New Roman" w:hAnsi="Times New Roman"/>
          <w:sz w:val="18"/>
          <w:szCs w:val="18"/>
          <w:u w:val="single" w:color="auto"/>
          <w:color w:val="0000EE"/>
        </w:rPr>
      </w:pPr>
    </w:p>
    <w:p>
      <w:pPr>
        <w:ind w:left="2140" w:right="79" w:hanging="451"/>
        <w:spacing w:after="0" w:line="266" w:lineRule="auto"/>
        <w:tabs>
          <w:tab w:leader="none" w:pos="2140" w:val="left"/>
        </w:tabs>
        <w:numPr>
          <w:ilvl w:val="2"/>
          <w:numId w:val="52"/>
        </w:numPr>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First Amendment to Credit Agreement dated February 19, 2021 (incorporated by reference to</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Exhibit 10(a) of the Registrant's Quarterly Report on Form 10-Q filed May 5, 2021).</w:t>
        </w:r>
      </w:hyperlink>
    </w:p>
    <w:p>
      <w:pPr>
        <w:spacing w:after="0" w:line="135" w:lineRule="exact"/>
        <w:rPr>
          <w:rFonts w:ascii="Times New Roman" w:cs="Times New Roman" w:eastAsia="Times New Roman" w:hAnsi="Times New Roman"/>
          <w:sz w:val="18"/>
          <w:szCs w:val="18"/>
          <w:u w:val="single" w:color="auto"/>
          <w:color w:val="0000EE"/>
        </w:rPr>
      </w:pPr>
    </w:p>
    <w:p>
      <w:pPr>
        <w:ind w:left="2140" w:right="79" w:hanging="451"/>
        <w:spacing w:after="0" w:line="266" w:lineRule="auto"/>
        <w:tabs>
          <w:tab w:leader="none" w:pos="2140" w:val="left"/>
        </w:tabs>
        <w:numPr>
          <w:ilvl w:val="2"/>
          <w:numId w:val="52"/>
        </w:numPr>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Second Amendment to Credit Agreement dated December 6, 2022 (incorporated by reference</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to Exhibit 10(l) of the Registrant's Current Report on Form 8-K filed December 12, 2022).</w:t>
        </w:r>
      </w:hyperlink>
    </w:p>
    <w:p>
      <w:pPr>
        <w:spacing w:after="0" w:line="135" w:lineRule="exact"/>
        <w:rPr>
          <w:rFonts w:ascii="Times New Roman" w:cs="Times New Roman" w:eastAsia="Times New Roman" w:hAnsi="Times New Roman"/>
          <w:sz w:val="18"/>
          <w:szCs w:val="18"/>
          <w:u w:val="single" w:color="auto"/>
          <w:color w:val="0000EE"/>
        </w:rPr>
      </w:pPr>
    </w:p>
    <w:p>
      <w:pPr>
        <w:ind w:left="2140" w:right="79" w:hanging="451"/>
        <w:spacing w:after="0" w:line="266" w:lineRule="auto"/>
        <w:tabs>
          <w:tab w:leader="none" w:pos="2140" w:val="left"/>
        </w:tabs>
        <w:numPr>
          <w:ilvl w:val="2"/>
          <w:numId w:val="52"/>
        </w:numPr>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Third Amendment to Credit Agreement dated August 11, 2023 (incorporated by reference to</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Exhibit 10(a)(iii) of the Registrant’s Annual Report on Form 10-K filed February 28, 2024).</w:t>
        </w:r>
      </w:hyperlink>
    </w:p>
    <w:p>
      <w:pPr>
        <w:spacing w:after="0" w:line="135" w:lineRule="exact"/>
        <w:rPr>
          <w:rFonts w:ascii="Times New Roman" w:cs="Times New Roman" w:eastAsia="Times New Roman" w:hAnsi="Times New Roman"/>
          <w:sz w:val="18"/>
          <w:szCs w:val="18"/>
          <w:u w:val="single" w:color="auto"/>
          <w:color w:val="0000EE"/>
        </w:rPr>
      </w:pPr>
    </w:p>
    <w:p>
      <w:pPr>
        <w:jc w:val="both"/>
        <w:ind w:left="1680" w:right="119" w:hanging="747"/>
        <w:spacing w:after="0" w:line="250" w:lineRule="auto"/>
        <w:tabs>
          <w:tab w:leader="none" w:pos="1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Indemnity Agreement entered into between the Registrant and each of its directors (incorporated by reference to Exhibit 10(b) of a Registration Statement on Form S-1 filed by the Registrant on September 28, 1993).</w:t>
      </w:r>
    </w:p>
    <w:p>
      <w:pPr>
        <w:spacing w:after="0" w:line="150" w:lineRule="exact"/>
        <w:rPr>
          <w:rFonts w:ascii="Times New Roman" w:cs="Times New Roman" w:eastAsia="Times New Roman" w:hAnsi="Times New Roman"/>
          <w:sz w:val="18"/>
          <w:szCs w:val="18"/>
          <w:color w:val="auto"/>
        </w:rPr>
      </w:pPr>
    </w:p>
    <w:tbl>
      <w:tblPr>
        <w:tblLayout w:type="fixed"/>
        <w:tblInd w:w="40" w:type="dxa"/>
        <w:tblCellMar>
          <w:top w:w="0" w:type="dxa"/>
          <w:left w:w="0" w:type="dxa"/>
          <w:bottom w:w="0" w:type="dxa"/>
          <w:right w:w="0" w:type="dxa"/>
        </w:tblCellMar>
      </w:tblPr>
      <w:tr>
        <w:trPr>
          <w:trHeight w:val="207"/>
        </w:trPr>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w:t>
            </w:r>
          </w:p>
        </w:tc>
        <w:tc>
          <w:tcPr>
            <w:tcW w:w="6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UFP Industries, Inc. Deferred Compensation Plan, as amended and restated effective January 1,</w:t>
            </w:r>
          </w:p>
        </w:tc>
        <w:tc>
          <w:tcPr>
            <w:tcW w:w="400" w:type="dxa"/>
            <w:vAlign w:val="bottom"/>
            <w:gridSpan w:val="9"/>
          </w:tcPr>
          <w:p>
            <w:pPr>
              <w:spacing w:after="0"/>
              <w:rPr>
                <w:sz w:val="18"/>
                <w:szCs w:val="18"/>
                <w:color w:val="auto"/>
              </w:rPr>
            </w:pPr>
          </w:p>
        </w:tc>
      </w:tr>
      <w:tr>
        <w:trPr>
          <w:trHeight w:val="196"/>
        </w:trPr>
        <w:tc>
          <w:tcPr>
            <w:tcW w:w="164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2025 (as amended as of October 23, 2025).</w:t>
            </w:r>
          </w:p>
        </w:tc>
        <w:tc>
          <w:tcPr>
            <w:tcW w:w="4180" w:type="dxa"/>
            <w:vAlign w:val="bottom"/>
            <w:gridSpan w:val="12"/>
          </w:tcPr>
          <w:p>
            <w:pPr>
              <w:spacing w:after="0"/>
              <w:rPr>
                <w:sz w:val="17"/>
                <w:szCs w:val="17"/>
                <w:color w:val="auto"/>
              </w:rPr>
            </w:pPr>
          </w:p>
        </w:tc>
      </w:tr>
      <w:tr>
        <w:trPr>
          <w:trHeight w:val="385"/>
        </w:trPr>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w:t>
            </w:r>
          </w:p>
        </w:tc>
        <w:tc>
          <w:tcPr>
            <w:tcW w:w="73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UFP Industries, Inc. Executive Stock Match Program – Second Amended and Restated, Effective</w:t>
            </w:r>
          </w:p>
        </w:tc>
      </w:tr>
      <w:tr>
        <w:trPr>
          <w:trHeight w:val="183"/>
        </w:trPr>
        <w:tc>
          <w:tcPr>
            <w:tcW w:w="1640" w:type="dxa"/>
            <w:vAlign w:val="bottom"/>
          </w:tcPr>
          <w:p>
            <w:pPr>
              <w:spacing w:after="0"/>
              <w:rPr>
                <w:sz w:val="15"/>
                <w:szCs w:val="15"/>
                <w:color w:val="auto"/>
              </w:rPr>
            </w:pPr>
          </w:p>
        </w:tc>
        <w:tc>
          <w:tcPr>
            <w:tcW w:w="7240" w:type="dxa"/>
            <w:vAlign w:val="bottom"/>
            <w:tcBorders>
              <w:top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rPr>
              <w:t>January 1, 2023 (as amended as of December 6, 2024, as of January 1, 2025, and as of October 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64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8"/>
              </w:rPr>
              <w:t>2025).</w:t>
            </w:r>
          </w:p>
        </w:tc>
        <w:tc>
          <w:tcPr>
            <w:tcW w:w="9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w:t>
            </w:r>
          </w:p>
        </w:tc>
        <w:tc>
          <w:tcPr>
            <w:tcW w:w="7300" w:type="dxa"/>
            <w:vAlign w:val="bottom"/>
            <w:gridSpan w:val="1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Second Restatement of the UFP Industries, Inc. Director Compensation Plan, effective January 1,</w:t>
              </w:r>
            </w:hyperlink>
          </w:p>
        </w:tc>
      </w:tr>
      <w:tr>
        <w:trPr>
          <w:trHeight w:val="20"/>
        </w:trPr>
        <w:tc>
          <w:tcPr>
            <w:tcW w:w="16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70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2022 (incorporated by reference to Exhibit 10(e) of the Registrant’s Annual Report on Form 10-K</w:t>
              </w:r>
            </w:hyperlink>
          </w:p>
        </w:tc>
        <w:tc>
          <w:tcPr>
            <w:tcW w:w="240" w:type="dxa"/>
            <w:vAlign w:val="bottom"/>
            <w:gridSpan w:val="5"/>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filed February 28, 2024).</w:t>
              </w:r>
            </w:hyperlink>
          </w:p>
        </w:tc>
        <w:tc>
          <w:tcPr>
            <w:tcW w:w="5480" w:type="dxa"/>
            <w:vAlign w:val="bottom"/>
            <w:gridSpan w:val="13"/>
          </w:tcPr>
          <w:p>
            <w:pPr>
              <w:spacing w:after="0"/>
              <w:rPr>
                <w:sz w:val="17"/>
                <w:szCs w:val="17"/>
                <w:color w:val="auto"/>
              </w:rPr>
            </w:pPr>
          </w:p>
        </w:tc>
      </w:tr>
      <w:tr>
        <w:trPr>
          <w:trHeight w:val="385"/>
        </w:trPr>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w:t>
            </w:r>
          </w:p>
        </w:tc>
        <w:tc>
          <w:tcPr>
            <w:tcW w:w="7300" w:type="dxa"/>
            <w:vAlign w:val="bottom"/>
            <w:gridSpan w:val="1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UFP Industries, Inc. Long-Term Stock Incentive Plan, as conformed through the 2023 Amendment</w:t>
              </w:r>
            </w:hyperlink>
          </w:p>
        </w:tc>
      </w:tr>
      <w:tr>
        <w:trPr>
          <w:trHeight w:val="183"/>
        </w:trPr>
        <w:tc>
          <w:tcPr>
            <w:tcW w:w="1640" w:type="dxa"/>
            <w:vAlign w:val="bottom"/>
          </w:tcPr>
          <w:p>
            <w:pPr>
              <w:spacing w:after="0"/>
              <w:rPr>
                <w:sz w:val="15"/>
                <w:szCs w:val="15"/>
                <w:color w:val="auto"/>
              </w:rPr>
            </w:pPr>
          </w:p>
        </w:tc>
        <w:tc>
          <w:tcPr>
            <w:tcW w:w="728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effective October 24, 2023 (incorporated by reference to Exhibit 10(f) of the Registrant’s Annual</w:t>
              </w:r>
            </w:hyperlink>
          </w:p>
        </w:tc>
        <w:tc>
          <w:tcPr>
            <w:tcW w:w="20" w:type="dxa"/>
            <w:vAlign w:val="bottom"/>
          </w:tcPr>
          <w:p>
            <w:pPr>
              <w:spacing w:after="0"/>
              <w:rPr>
                <w:sz w:val="15"/>
                <w:szCs w:val="15"/>
                <w:color w:val="auto"/>
              </w:rPr>
            </w:pPr>
          </w:p>
        </w:tc>
      </w:tr>
      <w:tr>
        <w:trPr>
          <w:trHeight w:val="183"/>
        </w:trPr>
        <w:tc>
          <w:tcPr>
            <w:tcW w:w="1640" w:type="dxa"/>
            <w:vAlign w:val="bottom"/>
          </w:tcPr>
          <w:p>
            <w:pPr>
              <w:spacing w:after="0"/>
              <w:rPr>
                <w:sz w:val="15"/>
                <w:szCs w:val="15"/>
                <w:color w:val="auto"/>
              </w:rPr>
            </w:pPr>
          </w:p>
        </w:tc>
        <w:tc>
          <w:tcPr>
            <w:tcW w:w="726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Report on Form 10-K filed February 28, 2024).</w:t>
              </w:r>
            </w:hyperlink>
          </w:p>
        </w:tc>
        <w:tc>
          <w:tcPr>
            <w:tcW w:w="40" w:type="dxa"/>
            <w:vAlign w:val="bottom"/>
            <w:gridSpan w:val="2"/>
          </w:tcPr>
          <w:p>
            <w:pPr>
              <w:spacing w:after="0"/>
              <w:rPr>
                <w:sz w:val="15"/>
                <w:szCs w:val="15"/>
                <w:color w:val="auto"/>
              </w:rPr>
            </w:pPr>
          </w:p>
        </w:tc>
      </w:tr>
      <w:tr>
        <w:trPr>
          <w:trHeight w:val="20"/>
        </w:trPr>
        <w:tc>
          <w:tcPr>
            <w:tcW w:w="16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72"/>
        </w:trPr>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w:t>
            </w:r>
          </w:p>
        </w:tc>
        <w:tc>
          <w:tcPr>
            <w:tcW w:w="6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Restricted Stock Grant Agreement issued pursuant to the Long-Term Incentive Plan.</w:t>
            </w:r>
          </w:p>
        </w:tc>
        <w:tc>
          <w:tcPr>
            <w:tcW w:w="580" w:type="dxa"/>
            <w:vAlign w:val="bottom"/>
            <w:gridSpan w:val="10"/>
          </w:tcPr>
          <w:p>
            <w:pPr>
              <w:spacing w:after="0"/>
              <w:rPr>
                <w:sz w:val="24"/>
                <w:szCs w:val="24"/>
                <w:color w:val="auto"/>
              </w:rPr>
            </w:pPr>
          </w:p>
        </w:tc>
      </w:tr>
      <w:tr>
        <w:trPr>
          <w:trHeight w:val="398"/>
        </w:trPr>
        <w:tc>
          <w:tcPr>
            <w:tcW w:w="1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*(h)</w:t>
            </w:r>
          </w:p>
        </w:tc>
        <w:tc>
          <w:tcPr>
            <w:tcW w:w="7300" w:type="dxa"/>
            <w:vAlign w:val="bottom"/>
            <w:gridSpan w:val="1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Performance Share Award Agreement issued pursuant to the Long-Term Incentive Plan</w:t>
              </w:r>
            </w:hyperlink>
          </w:p>
        </w:tc>
      </w:tr>
      <w:tr>
        <w:trPr>
          <w:trHeight w:val="20"/>
        </w:trPr>
        <w:tc>
          <w:tcPr>
            <w:tcW w:w="16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480" w:type="dxa"/>
            <w:vAlign w:val="bottom"/>
            <w:gridSpan w:val="6"/>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196"/>
        </w:trPr>
        <w:tc>
          <w:tcPr>
            <w:tcW w:w="1640" w:type="dxa"/>
            <w:vAlign w:val="bottom"/>
          </w:tcPr>
          <w:p>
            <w:pPr>
              <w:spacing w:after="0"/>
              <w:rPr>
                <w:sz w:val="17"/>
                <w:szCs w:val="17"/>
                <w:color w:val="auto"/>
              </w:rPr>
            </w:pPr>
          </w:p>
        </w:tc>
        <w:tc>
          <w:tcPr>
            <w:tcW w:w="7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(incorporated by reference to Exhibit 10(h) of the Registrant’s Annual Report on Form 10-K filed</w:t>
              </w:r>
            </w:hyperlink>
          </w:p>
        </w:tc>
        <w:tc>
          <w:tcPr>
            <w:tcW w:w="260" w:type="dxa"/>
            <w:vAlign w:val="bottom"/>
            <w:gridSpan w:val="6"/>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February 28, 2024).</w:t>
              </w:r>
            </w:hyperlink>
          </w:p>
        </w:tc>
        <w:tc>
          <w:tcPr>
            <w:tcW w:w="5860" w:type="dxa"/>
            <w:vAlign w:val="bottom"/>
            <w:gridSpan w:val="14"/>
          </w:tcPr>
          <w:p>
            <w:pPr>
              <w:spacing w:after="0"/>
              <w:rPr>
                <w:sz w:val="17"/>
                <w:szCs w:val="17"/>
                <w:color w:val="auto"/>
              </w:rPr>
            </w:pPr>
          </w:p>
        </w:tc>
      </w:tr>
      <w:tr>
        <w:trPr>
          <w:trHeight w:val="871"/>
        </w:trPr>
        <w:tc>
          <w:tcPr>
            <w:tcW w:w="1640" w:type="dxa"/>
            <w:vAlign w:val="bottom"/>
          </w:tcPr>
          <w:p>
            <w:pPr>
              <w:spacing w:after="0"/>
              <w:rPr>
                <w:sz w:val="24"/>
                <w:szCs w:val="24"/>
                <w:color w:val="auto"/>
              </w:rPr>
            </w:pPr>
          </w:p>
        </w:tc>
        <w:tc>
          <w:tcPr>
            <w:tcW w:w="3120" w:type="dxa"/>
            <w:vAlign w:val="bottom"/>
            <w:gridSpan w:val="4"/>
          </w:tcPr>
          <w:p>
            <w:pPr>
              <w:ind w:left="274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280" w:type="dxa"/>
            <w:vAlign w:val="bottom"/>
            <w:gridSpan w:val="3"/>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UFP Industries, Inc. Executive Retirement Plan - 2024 Restatement (incorporated by reference to</w:t>
              </w:r>
            </w:hyperlink>
          </w:p>
        </w:tc>
      </w:tr>
      <w:tr>
        <w:trPr>
          <w:trHeight w:val="183"/>
        </w:trPr>
        <w:tc>
          <w:tcPr>
            <w:tcW w:w="760" w:type="dxa"/>
            <w:vAlign w:val="bottom"/>
          </w:tcPr>
          <w:p>
            <w:pPr>
              <w:spacing w:after="0"/>
              <w:rPr>
                <w:sz w:val="15"/>
                <w:szCs w:val="15"/>
                <w:color w:val="auto"/>
              </w:rPr>
            </w:pPr>
          </w:p>
        </w:tc>
        <w:tc>
          <w:tcPr>
            <w:tcW w:w="7260" w:type="dxa"/>
            <w:vAlign w:val="bottom"/>
            <w:tcBorders>
              <w:top w:val="single" w:sz="8" w:color="0000EE"/>
            </w:tcBorders>
            <w:gridSpan w:val="2"/>
          </w:tcPr>
          <w:p>
            <w:pPr>
              <w:spacing w:after="0" w:line="182"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Exhibit 10(i) of the Registrant’s Annual Report on Form 10-K filed February 26,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62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940" w:right="119" w:hanging="884"/>
        <w:spacing w:after="0" w:line="266" w:lineRule="auto"/>
        <w:tabs>
          <w:tab w:leader="none" w:pos="940" w:val="left"/>
        </w:tabs>
        <w:numPr>
          <w:ilvl w:val="0"/>
          <w:numId w:val="53"/>
        </w:numPr>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UFP Industries, Inc. Stock Trading Policy (incorporated by reference to Exhibit 19 of the Registrant’s Annual</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Report on Form 10-K filed February 26, 2025).</w:t>
        </w:r>
      </w:hyperlink>
    </w:p>
    <w:p>
      <w:pPr>
        <w:spacing w:after="0" w:line="135"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p>
      <w:pPr>
        <w:spacing w:after="0" w:line="198"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Deloitte &amp; Touche LLP.</w:t>
      </w:r>
    </w:p>
    <w:p>
      <w:pPr>
        <w:spacing w:after="0" w:line="198"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(included on page 81).</w:t>
      </w:r>
    </w:p>
    <w:p>
      <w:pPr>
        <w:spacing w:after="0" w:line="198"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198"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35"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35" w:lineRule="exact"/>
        <w:rPr>
          <w:rFonts w:ascii="Times New Roman" w:cs="Times New Roman" w:eastAsia="Times New Roman" w:hAnsi="Times New Roman"/>
          <w:sz w:val="18"/>
          <w:szCs w:val="18"/>
          <w:color w:val="auto"/>
        </w:rPr>
      </w:pPr>
    </w:p>
    <w:p>
      <w:pPr>
        <w:ind w:left="940" w:hanging="884"/>
        <w:spacing w:after="0"/>
        <w:tabs>
          <w:tab w:leader="none" w:pos="9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198"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35" w:lineRule="exact"/>
        <w:rPr>
          <w:rFonts w:ascii="Times New Roman" w:cs="Times New Roman" w:eastAsia="Times New Roman" w:hAnsi="Times New Roman"/>
          <w:sz w:val="18"/>
          <w:szCs w:val="18"/>
          <w:color w:val="auto"/>
        </w:rPr>
      </w:pPr>
    </w:p>
    <w:p>
      <w:pPr>
        <w:ind w:left="1700" w:right="119" w:hanging="753"/>
        <w:spacing w:after="0" w:line="266" w:lineRule="auto"/>
        <w:tabs>
          <w:tab w:leader="none" w:pos="17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35" w:lineRule="exact"/>
        <w:rPr>
          <w:rFonts w:ascii="Times New Roman" w:cs="Times New Roman" w:eastAsia="Times New Roman" w:hAnsi="Times New Roman"/>
          <w:sz w:val="18"/>
          <w:szCs w:val="18"/>
          <w:color w:val="auto"/>
        </w:rPr>
      </w:pPr>
    </w:p>
    <w:p>
      <w:pPr>
        <w:ind w:left="940" w:right="79" w:hanging="884"/>
        <w:spacing w:after="0" w:line="266" w:lineRule="auto"/>
        <w:tabs>
          <w:tab w:leader="none" w:pos="940" w:val="left"/>
        </w:tabs>
        <w:numPr>
          <w:ilvl w:val="0"/>
          <w:numId w:val="57"/>
        </w:numPr>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UFP Industries, Inc. Clawback Policy (incorporated by reference to Exhibit 97 of the Registrant’s Annual</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Report on Form 10-K filed February 28, 2024).</w:t>
        </w:r>
      </w:hyperlink>
    </w:p>
    <w:p>
      <w:pPr>
        <w:spacing w:after="0" w:line="135" w:lineRule="exact"/>
        <w:rPr>
          <w:rFonts w:ascii="Times New Roman" w:cs="Times New Roman" w:eastAsia="Times New Roman" w:hAnsi="Times New Roman"/>
          <w:sz w:val="18"/>
          <w:szCs w:val="18"/>
          <w:color w:val="auto"/>
        </w:rPr>
      </w:pPr>
    </w:p>
    <w:p>
      <w:pPr>
        <w:ind w:left="940" w:right="2179" w:hanging="884"/>
        <w:spacing w:after="0" w:line="469" w:lineRule="auto"/>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in iXBRL (Inline eXtensible Business Reporting Language). (INS) XBRL Instance Document.</w:t>
      </w:r>
    </w:p>
    <w:p>
      <w:pPr>
        <w:spacing w:after="0" w:line="1"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XBRL Schema Document.</w:t>
      </w:r>
    </w:p>
    <w:p>
      <w:pPr>
        <w:spacing w:after="0" w:line="198"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Extension Calculation Linkbase Document.</w:t>
      </w:r>
    </w:p>
    <w:p>
      <w:pPr>
        <w:spacing w:after="0" w:line="198" w:lineRule="exact"/>
        <w:rPr>
          <w:rFonts w:ascii="Times New Roman" w:cs="Times New Roman" w:eastAsia="Times New Roman" w:hAnsi="Times New Roman"/>
          <w:sz w:val="18"/>
          <w:szCs w:val="18"/>
          <w:color w:val="auto"/>
        </w:rPr>
      </w:pPr>
    </w:p>
    <w:p>
      <w:pPr>
        <w:ind w:left="940" w:right="3039"/>
        <w:spacing w:after="0" w:line="4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(LAB) XBRL Taxonomy Extension Label Linkbase Document. (PRE) XBRL Taxonomy Extension Presentation Linkbase Document. (DEF) XBRL Taxonomy Extension Definition Linkbase Document.</w:t>
      </w:r>
    </w:p>
    <w:p>
      <w:pPr>
        <w:spacing w:after="0" w:line="1" w:lineRule="exact"/>
        <w:rPr>
          <w:rFonts w:ascii="Times New Roman" w:cs="Times New Roman" w:eastAsia="Times New Roman" w:hAnsi="Times New Roman"/>
          <w:sz w:val="18"/>
          <w:szCs w:val="18"/>
          <w:color w:val="auto"/>
        </w:rPr>
      </w:pPr>
    </w:p>
    <w:p>
      <w:pPr>
        <w:ind w:left="60" w:right="359" w:hanging="4"/>
        <w:spacing w:after="0" w:line="783" w:lineRule="auto"/>
        <w:tabs>
          <w:tab w:leader="none" w:pos="9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 * Indicates a compensatory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-502285</wp:posOffset>
            </wp:positionV>
            <wp:extent cx="1414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5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71" w:lineRule="exact"/>
        <w:rPr>
          <w:sz w:val="20"/>
          <w:szCs w:val="20"/>
          <w:color w:val="auto"/>
        </w:rPr>
      </w:pPr>
    </w:p>
    <w:p>
      <w:pPr>
        <w:ind w:left="60"/>
        <w:spacing w:after="0"/>
        <w:tabs>
          <w:tab w:leader="none" w:pos="4400" w:val="left"/>
        </w:tabs>
        <w:rPr>
          <w:sz w:val="20"/>
          <w:szCs w:val="20"/>
          <w:color w:val="auto"/>
        </w:rPr>
      </w:pPr>
      <w:r>
        <w:rPr>
          <w:rFonts w:ascii="Times New Roman" w:cs="Times New Roman" w:eastAsia="Times New Roman" w:hAnsi="Times New Roman"/>
          <w:sz w:val="18"/>
          <w:szCs w:val="18"/>
          <w:color w:val="auto"/>
        </w:rPr>
        <w:t>Dated: February 25, 2026</w:t>
      </w:r>
      <w:r>
        <w:rPr>
          <w:sz w:val="20"/>
          <w:szCs w:val="20"/>
          <w:color w:val="auto"/>
        </w:rPr>
        <w:tab/>
      </w:r>
      <w:r>
        <w:rPr>
          <w:rFonts w:ascii="Times New Roman" w:cs="Times New Roman" w:eastAsia="Times New Roman" w:hAnsi="Times New Roman"/>
          <w:sz w:val="17"/>
          <w:szCs w:val="17"/>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By: /s/ William D. Schwartz,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26574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William D. Schwartz, Jr.,</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jc w:val="both"/>
        <w:ind w:left="60" w:right="59" w:firstLine="648"/>
        <w:spacing w:after="0" w:line="28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this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2026, by the following persons on behalf of us and in the capacities indicated.</w:t>
      </w:r>
    </w:p>
    <w:p>
      <w:pPr>
        <w:spacing w:after="0" w:line="3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By: /s/ William D. Schwartz,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26574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William D. Schwartz, Jr.,</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26574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Michael R. Cole,</w:t>
      </w:r>
    </w:p>
    <w:p>
      <w:pPr>
        <w:spacing w:after="0" w:line="2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Each Director whose signature appears below hereby appoints William D. Schwartz, Jr. and Michael R. Cole, and each of them individually, as his or her attorney-in-fact to sign in his or her name and on his or her behalf as a Director, and to file with the Commission any and all amendments to this report on Form 10-K to the same extent and with the same effect as if done personally.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Joan A. Budden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Joan A. Budden, Director</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Benjamin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Benjamin J. McLean, Director</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Matthew J. Missad, Executive Chairman and Director</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Mary Tuuk Kuras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7171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Mary Tuuk Kuras, Director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W.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6657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W. Rhodes,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665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Brian C. Walker, Director</w:t>
      </w:r>
    </w:p>
    <w:p>
      <w:pPr>
        <w:spacing w:after="0" w:line="200" w:lineRule="exact"/>
        <w:rPr>
          <w:sz w:val="20"/>
          <w:szCs w:val="20"/>
          <w:color w:val="auto"/>
        </w:rPr>
      </w:pPr>
    </w:p>
    <w:p>
      <w:pPr>
        <w:spacing w:after="0" w:line="236" w:lineRule="exact"/>
        <w:rPr>
          <w:sz w:val="20"/>
          <w:szCs w:val="20"/>
          <w:color w:val="auto"/>
        </w:rPr>
      </w:pPr>
    </w:p>
    <w:p>
      <w:pPr>
        <w:ind w:right="1639"/>
        <w:spacing w:after="0" w:line="329" w:lineRule="auto"/>
        <w:rPr>
          <w:sz w:val="20"/>
          <w:szCs w:val="20"/>
          <w:color w:val="auto"/>
        </w:rPr>
      </w:pPr>
      <w:r>
        <w:rPr>
          <w:rFonts w:ascii="Times New Roman" w:cs="Times New Roman" w:eastAsia="Times New Roman" w:hAnsi="Times New Roman"/>
          <w:sz w:val="17"/>
          <w:szCs w:val="17"/>
          <w:color w:val="auto"/>
        </w:rPr>
        <w:t xml:space="preserve">/s/ William D. Schwartz, Jr. </w:t>
      </w:r>
      <w:r>
        <w:rPr>
          <w:rFonts w:ascii="Times New Roman" w:cs="Times New Roman" w:eastAsia="Times New Roman" w:hAnsi="Times New Roman"/>
          <w:sz w:val="17"/>
          <w:szCs w:val="17"/>
          <w:b w:val="1"/>
          <w:bCs w:val="1"/>
          <w:color w:val="auto"/>
        </w:rPr>
        <w:t>William D. Schwartz,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26657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22" w:lineRule="exact"/>
        <w:rPr>
          <w:sz w:val="20"/>
          <w:szCs w:val="20"/>
          <w:color w:val="auto"/>
        </w:rPr>
      </w:pPr>
    </w:p>
    <w:p>
      <w:pPr>
        <w:ind w:right="1739"/>
        <w:spacing w:after="0" w:line="329" w:lineRule="auto"/>
        <w:rPr>
          <w:sz w:val="20"/>
          <w:szCs w:val="20"/>
          <w:color w:val="auto"/>
        </w:rPr>
      </w:pPr>
      <w:r>
        <w:rPr>
          <w:rFonts w:ascii="Times New Roman" w:cs="Times New Roman" w:eastAsia="Times New Roman" w:hAnsi="Times New Roman"/>
          <w:sz w:val="17"/>
          <w:szCs w:val="17"/>
          <w:color w:val="auto"/>
        </w:rPr>
        <w:t xml:space="preserve">/s/ Michael G. Wooldridge </w:t>
      </w:r>
      <w:r>
        <w:rPr>
          <w:rFonts w:ascii="Times New Roman" w:cs="Times New Roman" w:eastAsia="Times New Roman" w:hAnsi="Times New Roman"/>
          <w:sz w:val="17"/>
          <w:szCs w:val="17"/>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26657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540"/>
            <w:col w:w="425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SHAREHOLDER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2026 Annual Shareholders Meeting of UFP Industries, Inc. will be held at 8:30 a.m. on April 22, 2026, at 3310 Eagle Park Drive NE, Grand Rapids, MI 49525.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SHAREHOLDER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Shares of our stock are traded under the symbol UFPI on the NASDAQ Stock Market. Our 10-K report, filed with the Securities and Exchange Commission, will be provided free of charge to any shareholder upon written request. For more information contact: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2801 East Beltline 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Web: www.ufpi.com</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COUNSEL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Varnum,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 AGENT/SHAREHOLDER INQUIRIES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Equiniti Trust Company, LLC serves as the transfer agent for the Company. Inquiries relating to stock transfers, changes of ownership, lost or stolen stock certificates, changes of address, and dividend payments should be addressed to:</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Equiniti Trust Company, LLC</w:t>
      </w:r>
    </w:p>
    <w:p>
      <w:pPr>
        <w:ind w:left="60"/>
        <w:spacing w:after="0" w:line="196" w:lineRule="auto"/>
        <w:rPr>
          <w:sz w:val="20"/>
          <w:szCs w:val="20"/>
          <w:color w:val="auto"/>
        </w:rPr>
      </w:pPr>
      <w:r>
        <w:rPr>
          <w:rFonts w:ascii="Times New Roman" w:cs="Times New Roman" w:eastAsia="Times New Roman" w:hAnsi="Times New Roman"/>
          <w:sz w:val="18"/>
          <w:szCs w:val="18"/>
          <w:color w:val="auto"/>
        </w:rPr>
        <w:t>28 Liberty Street,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(800) 468-9716</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UFP INDUSTRIES, INC., CORPORATE HEADQUARTERS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2801 East Beltline NE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Facsimile: (616) 364-5558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brief description of the common stock of UFP Industries,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This summary does not purport to be complete in all respects and is subject to and qualified in its entirety by reference to the Company’s Restated and Amended Articles of Incorporation (the "Articles of Incorporation") and Amended Bylaws (the "Bylaws"), each of which are filed as exhibits to the Annual Report on Form 10-K of which this </w:t>
      </w:r>
      <w:r>
        <w:rPr>
          <w:rFonts w:ascii="Times New Roman" w:cs="Times New Roman" w:eastAsia="Times New Roman" w:hAnsi="Times New Roman"/>
          <w:sz w:val="18"/>
          <w:szCs w:val="18"/>
          <w:u w:val="single" w:color="auto"/>
          <w:color w:val="auto"/>
        </w:rPr>
        <w:t>Exhibit 4(a)</w:t>
      </w:r>
      <w:r>
        <w:rPr>
          <w:rFonts w:ascii="Times New Roman" w:cs="Times New Roman" w:eastAsia="Times New Roman" w:hAnsi="Times New Roman"/>
          <w:sz w:val="18"/>
          <w:szCs w:val="18"/>
          <w:color w:val="auto"/>
        </w:rPr>
        <w:t xml:space="preserve">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authorized capital stock consists of 240,000,000 shares of common stock and 1,000,000 shares of preferred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prior rights of the holders of shares of preferred stock that may be issued and outstanding, if any, the holders of common stock are entitled to receive:</w:t>
      </w:r>
    </w:p>
    <w:p>
      <w:pPr>
        <w:spacing w:after="0" w:line="162" w:lineRule="exact"/>
        <w:rPr>
          <w:sz w:val="20"/>
          <w:szCs w:val="20"/>
          <w:color w:val="auto"/>
        </w:rPr>
      </w:pPr>
    </w:p>
    <w:p>
      <w:pPr>
        <w:ind w:left="1000" w:right="20" w:hanging="317"/>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when, as, and if declared by the Company’s Board of Directors out of funds legally available for the payment of dividends;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the Company, to share ratably in all assets remaining after payment of liabilities and satisfaction of the liquidation preferences, if any, of then outstanding shares of preferred stock, as provided in the Articles of Incorporation.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that the Company’s Board of Directors be divided into three classes of nearly equal size, with the classes to hold office for staggered terms of three years each.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election is considered contested if there are more nominees for election than positions on the Board of Directors to be filled by election at that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common stock is currently traded on the Nasdaq Global Select Market under the symbol “ufpi.”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Anti-Takeover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Articles of Incorporation and Bylaws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 The transfer agent for the Company’s common stock is Equiniti Trust Company, LLC, 28 Liberty Street, 53rd Floor, 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UFP INDUSTRIES, INC.</w:t>
      </w:r>
    </w:p>
    <w:p>
      <w:pPr>
        <w:spacing w:after="0" w:line="5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DEFERRED COMPENSATION PLAN</w:t>
      </w:r>
    </w:p>
    <w:p>
      <w:pPr>
        <w:spacing w:after="0" w:line="32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1"/>
          <w:szCs w:val="21"/>
          <w:color w:val="auto"/>
        </w:rPr>
        <w:t>Amended and Restated effective as of January 1, 2025</w:t>
      </w:r>
    </w:p>
    <w:p>
      <w:pPr>
        <w:spacing w:after="0" w:line="15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(As amended as of October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850900</wp:posOffset>
            </wp:positionV>
            <wp:extent cx="54603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120"/>
          </w:cols>
          <w:pgMar w:left="1440" w:top="117" w:right="1339" w:bottom="1440" w:gutter="0" w:footer="0" w:header="0"/>
        </w:sectPr>
      </w:pPr>
    </w:p>
    <w:bookmarkStart w:id="85" w:name="page86"/>
    <w:bookmarkEnd w:id="85"/>
    <w:tbl>
      <w:tblPr>
        <w:tblLayout w:type="fixed"/>
        <w:tblInd w:w="540" w:type="dxa"/>
        <w:tblCellMar>
          <w:top w:w="0" w:type="dxa"/>
          <w:left w:w="0" w:type="dxa"/>
          <w:bottom w:w="0" w:type="dxa"/>
          <w:right w:w="0" w:type="dxa"/>
        </w:tblCellMar>
      </w:tblPr>
      <w:tr>
        <w:trPr>
          <w:trHeight w:val="317"/>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25"/>
                <w:szCs w:val="25"/>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20" w:type="dxa"/>
            <w:vAlign w:val="bottom"/>
            <w:gridSpan w:val="2"/>
            <w:vMerge w:val="continue"/>
          </w:tcPr>
          <w:p>
            <w:pPr>
              <w:spacing w:after="0"/>
              <w:rPr>
                <w:sz w:val="14"/>
                <w:szCs w:val="14"/>
                <w:color w:val="auto"/>
              </w:rPr>
            </w:pPr>
          </w:p>
        </w:tc>
        <w:tc>
          <w:tcPr>
            <w:tcW w:w="2180" w:type="dxa"/>
            <w:vAlign w:val="bottom"/>
            <w:gridSpan w:val="12"/>
            <w:vMerge w:val="restart"/>
          </w:tcPr>
          <w:p>
            <w:pPr>
              <w:ind w:left="20"/>
              <w:spacing w:after="0" w:line="211" w:lineRule="exact"/>
              <w:rPr>
                <w:sz w:val="20"/>
                <w:szCs w:val="20"/>
                <w:color w:val="auto"/>
              </w:rPr>
            </w:pPr>
            <w:r>
              <w:rPr>
                <w:rFonts w:ascii="Times New Roman" w:cs="Times New Roman" w:eastAsia="Times New Roman" w:hAnsi="Times New Roman"/>
                <w:sz w:val="20"/>
                <w:szCs w:val="20"/>
                <w:color w:val="0000EE"/>
                <w:w w:val="98"/>
              </w:rPr>
              <w:t>Establishment and Purpose</w:t>
            </w:r>
          </w:p>
        </w:tc>
        <w:tc>
          <w:tcPr>
            <w:tcW w:w="5500" w:type="dxa"/>
            <w:vAlign w:val="bottom"/>
            <w:gridSpan w:val="9"/>
            <w:vMerge w:val="restart"/>
          </w:tcPr>
          <w:p>
            <w:pPr>
              <w:spacing w:after="0"/>
              <w:rPr>
                <w:sz w:val="14"/>
                <w:szCs w:val="14"/>
                <w:color w:val="auto"/>
              </w:rPr>
            </w:pPr>
          </w:p>
        </w:tc>
        <w:tc>
          <w:tcPr>
            <w:tcW w:w="180" w:type="dxa"/>
            <w:vAlign w:val="bottom"/>
            <w:gridSpan w:val="2"/>
            <w:vMerge w:val="restart"/>
          </w:tcPr>
          <w:p>
            <w:pPr>
              <w:jc w:val="right"/>
              <w:spacing w:after="0" w:line="211" w:lineRule="exact"/>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1</w:t>
            </w:r>
          </w:p>
        </w:tc>
        <w:tc>
          <w:tcPr>
            <w:tcW w:w="2180" w:type="dxa"/>
            <w:vAlign w:val="bottom"/>
            <w:gridSpan w:val="12"/>
            <w:vMerge w:val="continue"/>
          </w:tcPr>
          <w:p>
            <w:pPr>
              <w:spacing w:after="0"/>
              <w:rPr>
                <w:sz w:val="3"/>
                <w:szCs w:val="3"/>
                <w:color w:val="auto"/>
              </w:rPr>
            </w:pPr>
          </w:p>
        </w:tc>
        <w:tc>
          <w:tcPr>
            <w:tcW w:w="5500" w:type="dxa"/>
            <w:vAlign w:val="bottom"/>
            <w:gridSpan w:val="9"/>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.1   History of the Plan</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4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This Document</w:t>
            </w:r>
          </w:p>
        </w:tc>
        <w:tc>
          <w:tcPr>
            <w:tcW w:w="5800" w:type="dxa"/>
            <w:vAlign w:val="bottom"/>
            <w:gridSpan w:val="12"/>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440" w:type="dxa"/>
            <w:vAlign w:val="bottom"/>
            <w:gridSpan w:val="6"/>
            <w:vMerge w:val="continue"/>
          </w:tcPr>
          <w:p>
            <w:pPr>
              <w:spacing w:after="0"/>
              <w:rPr>
                <w:sz w:val="3"/>
                <w:szCs w:val="3"/>
                <w:color w:val="auto"/>
              </w:rPr>
            </w:pPr>
          </w:p>
        </w:tc>
        <w:tc>
          <w:tcPr>
            <w:tcW w:w="5800" w:type="dxa"/>
            <w:vAlign w:val="bottom"/>
            <w:gridSpan w:val="1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86"/>
              </w:rPr>
              <w:t>Purpose</w:t>
            </w:r>
          </w:p>
        </w:tc>
        <w:tc>
          <w:tcPr>
            <w:tcW w:w="620" w:type="dxa"/>
            <w:vAlign w:val="bottom"/>
            <w:gridSpan w:val="2"/>
            <w:vMerge w:val="restart"/>
          </w:tcPr>
          <w:p>
            <w:pPr>
              <w:spacing w:after="0"/>
              <w:rPr>
                <w:sz w:val="24"/>
                <w:szCs w:val="24"/>
                <w:color w:val="auto"/>
              </w:rPr>
            </w:pPr>
          </w:p>
        </w:tc>
        <w:tc>
          <w:tcPr>
            <w:tcW w:w="6020" w:type="dxa"/>
            <w:vAlign w:val="bottom"/>
            <w:gridSpan w:val="14"/>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.3</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20" w:type="dxa"/>
            <w:vAlign w:val="bottom"/>
            <w:gridSpan w:val="14"/>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.4   Status of Plan Under ERISA</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1</w:t>
            </w:r>
            <w:r>
              <w:rPr>
                <w:rFonts w:ascii="Times New Roman" w:cs="Times New Roman" w:eastAsia="Times New Roman" w:hAnsi="Times New Roman"/>
                <w:sz w:val="4"/>
                <w:szCs w:val="4"/>
                <w:color w:val="0000EE"/>
                <w:highlight w:val="white"/>
              </w:rPr>
              <w:t>.5   Compliance with Section 409A</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20"/>
                <w:szCs w:val="20"/>
                <w:color w:val="0000EE"/>
                <w:w w:val="97"/>
              </w:rPr>
              <w:t>Definitions</w:t>
            </w:r>
          </w:p>
        </w:tc>
        <w:tc>
          <w:tcPr>
            <w:tcW w:w="6760" w:type="dxa"/>
            <w:vAlign w:val="bottom"/>
            <w:gridSpan w:val="17"/>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2</w:t>
            </w:r>
          </w:p>
        </w:tc>
        <w:tc>
          <w:tcPr>
            <w:tcW w:w="920" w:type="dxa"/>
            <w:vAlign w:val="bottom"/>
            <w:gridSpan w:val="4"/>
            <w:vMerge w:val="continue"/>
          </w:tcPr>
          <w:p>
            <w:pPr>
              <w:spacing w:after="0"/>
              <w:rPr>
                <w:sz w:val="3"/>
                <w:szCs w:val="3"/>
                <w:color w:val="auto"/>
              </w:rPr>
            </w:pPr>
          </w:p>
        </w:tc>
        <w:tc>
          <w:tcPr>
            <w:tcW w:w="6760" w:type="dxa"/>
            <w:vAlign w:val="bottom"/>
            <w:gridSpan w:val="17"/>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20"/>
                <w:szCs w:val="20"/>
                <w:color w:val="0000EE"/>
                <w:w w:val="95"/>
              </w:rPr>
              <w:t>Participation</w:t>
            </w:r>
          </w:p>
        </w:tc>
        <w:tc>
          <w:tcPr>
            <w:tcW w:w="6640" w:type="dxa"/>
            <w:vAlign w:val="bottom"/>
            <w:gridSpan w:val="16"/>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20" w:type="dxa"/>
            <w:vAlign w:val="bottom"/>
            <w:gridSpan w:val="2"/>
          </w:tcPr>
          <w:p>
            <w:pPr>
              <w:spacing w:after="0" w:line="54" w:lineRule="exact"/>
              <w:rPr>
                <w:sz w:val="20"/>
                <w:szCs w:val="20"/>
                <w:color w:val="auto"/>
              </w:rPr>
            </w:pPr>
            <w:r>
              <w:rPr>
                <w:rFonts w:ascii="Times New Roman" w:cs="Times New Roman" w:eastAsia="Times New Roman" w:hAnsi="Times New Roman"/>
                <w:sz w:val="5"/>
                <w:szCs w:val="5"/>
                <w:color w:val="0000EE"/>
              </w:rPr>
              <w:t>Article 3</w:t>
            </w:r>
          </w:p>
        </w:tc>
        <w:tc>
          <w:tcPr>
            <w:tcW w:w="1040" w:type="dxa"/>
            <w:vAlign w:val="bottom"/>
            <w:gridSpan w:val="5"/>
            <w:vMerge w:val="continue"/>
          </w:tcPr>
          <w:p>
            <w:pPr>
              <w:spacing w:after="0"/>
              <w:rPr>
                <w:sz w:val="4"/>
                <w:szCs w:val="4"/>
                <w:color w:val="auto"/>
              </w:rPr>
            </w:pPr>
          </w:p>
        </w:tc>
        <w:tc>
          <w:tcPr>
            <w:tcW w:w="6640" w:type="dxa"/>
            <w:vAlign w:val="bottom"/>
            <w:gridSpan w:val="16"/>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Eligibility for Participation</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3</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3</w:t>
            </w:r>
            <w:r>
              <w:rPr>
                <w:rFonts w:ascii="Times New Roman" w:cs="Times New Roman" w:eastAsia="Times New Roman" w:hAnsi="Times New Roman"/>
                <w:sz w:val="4"/>
                <w:szCs w:val="4"/>
                <w:color w:val="0000EE"/>
                <w:highlight w:val="white"/>
              </w:rPr>
              <w:t>.2   Termination of Active Participation</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680" w:type="dxa"/>
            <w:vAlign w:val="bottom"/>
            <w:gridSpan w:val="21"/>
            <w:vMerge w:val="restart"/>
          </w:tcPr>
          <w:p>
            <w:pPr>
              <w:ind w:left="20"/>
              <w:spacing w:after="0"/>
              <w:rPr>
                <w:sz w:val="20"/>
                <w:szCs w:val="20"/>
                <w:color w:val="auto"/>
              </w:rPr>
            </w:pPr>
            <w:r>
              <w:rPr>
                <w:rFonts w:ascii="Times New Roman" w:cs="Times New Roman" w:eastAsia="Times New Roman" w:hAnsi="Times New Roman"/>
                <w:sz w:val="20"/>
                <w:szCs w:val="20"/>
                <w:color w:val="0000EE"/>
              </w:rPr>
              <w:t>Amounts Credited to Accounts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4</w:t>
            </w:r>
          </w:p>
        </w:tc>
        <w:tc>
          <w:tcPr>
            <w:tcW w:w="7680" w:type="dxa"/>
            <w:vAlign w:val="bottom"/>
            <w:gridSpan w:val="21"/>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66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6"/>
              </w:rPr>
              <w:t>Participant Accounts</w:t>
            </w:r>
          </w:p>
        </w:tc>
        <w:tc>
          <w:tcPr>
            <w:tcW w:w="380" w:type="dxa"/>
            <w:vAlign w:val="bottom"/>
            <w:gridSpan w:val="3"/>
            <w:vMerge w:val="restart"/>
          </w:tcPr>
          <w:p>
            <w:pPr>
              <w:spacing w:after="0"/>
              <w:rPr>
                <w:sz w:val="24"/>
                <w:szCs w:val="24"/>
                <w:color w:val="auto"/>
              </w:rPr>
            </w:pPr>
          </w:p>
        </w:tc>
        <w:tc>
          <w:tcPr>
            <w:tcW w:w="5200" w:type="dxa"/>
            <w:vAlign w:val="bottom"/>
            <w:gridSpan w:val="7"/>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660" w:type="dxa"/>
            <w:vAlign w:val="bottom"/>
            <w:gridSpan w:val="8"/>
            <w:vMerge w:val="continue"/>
          </w:tcPr>
          <w:p>
            <w:pPr>
              <w:spacing w:after="0"/>
              <w:rPr>
                <w:sz w:val="3"/>
                <w:szCs w:val="3"/>
                <w:color w:val="auto"/>
              </w:rPr>
            </w:pPr>
          </w:p>
        </w:tc>
        <w:tc>
          <w:tcPr>
            <w:tcW w:w="380" w:type="dxa"/>
            <w:vAlign w:val="bottom"/>
            <w:gridSpan w:val="3"/>
            <w:vMerge w:val="continue"/>
          </w:tcPr>
          <w:p>
            <w:pPr>
              <w:spacing w:after="0"/>
              <w:rPr>
                <w:sz w:val="3"/>
                <w:szCs w:val="3"/>
                <w:color w:val="auto"/>
              </w:rPr>
            </w:pPr>
          </w:p>
        </w:tc>
        <w:tc>
          <w:tcPr>
            <w:tcW w:w="5200" w:type="dxa"/>
            <w:vAlign w:val="bottom"/>
            <w:gridSpan w:val="7"/>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4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6"/>
              </w:rPr>
              <w:t>Elective Deferrals</w:t>
            </w:r>
          </w:p>
        </w:tc>
        <w:tc>
          <w:tcPr>
            <w:tcW w:w="220" w:type="dxa"/>
            <w:vAlign w:val="bottom"/>
            <w:gridSpan w:val="2"/>
            <w:vMerge w:val="restart"/>
          </w:tcPr>
          <w:p>
            <w:pPr>
              <w:spacing w:after="0"/>
              <w:rPr>
                <w:sz w:val="24"/>
                <w:szCs w:val="24"/>
                <w:color w:val="auto"/>
              </w:rPr>
            </w:pPr>
          </w:p>
        </w:tc>
        <w:tc>
          <w:tcPr>
            <w:tcW w:w="5580" w:type="dxa"/>
            <w:vAlign w:val="bottom"/>
            <w:gridSpan w:val="10"/>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440" w:type="dxa"/>
            <w:vAlign w:val="bottom"/>
            <w:gridSpan w:val="6"/>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5580" w:type="dxa"/>
            <w:vAlign w:val="bottom"/>
            <w:gridSpan w:val="10"/>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Hypothetical Investments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gridSpan w:val="4"/>
          </w:tcPr>
          <w:p>
            <w:pPr>
              <w:ind w:left="640"/>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.3</w:t>
            </w: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.4   Required Investments in UFP Stock</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89"/>
              </w:rPr>
              <w:t>Vesting</w:t>
            </w:r>
          </w:p>
        </w:tc>
        <w:tc>
          <w:tcPr>
            <w:tcW w:w="2240" w:type="dxa"/>
            <w:vAlign w:val="bottom"/>
            <w:tcBorders>
              <w:top w:val="single" w:sz="8" w:color="0000EE"/>
            </w:tcBorders>
            <w:gridSpan w:val="14"/>
            <w:vMerge w:val="restart"/>
          </w:tcPr>
          <w:p>
            <w:pPr>
              <w:spacing w:after="0"/>
              <w:rPr>
                <w:sz w:val="24"/>
                <w:szCs w:val="24"/>
                <w:color w:val="auto"/>
              </w:rPr>
            </w:pPr>
          </w:p>
        </w:tc>
        <w:tc>
          <w:tcPr>
            <w:tcW w:w="4400" w:type="dxa"/>
            <w:vAlign w:val="bottom"/>
            <w:gridSpan w:val="2"/>
            <w:vMerge w:val="restart"/>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tcBorders>
              <w:bottom w:val="single" w:sz="8" w:color="0000EE"/>
            </w:tcBorders>
            <w:gridSpan w:val="2"/>
          </w:tcPr>
          <w:p>
            <w:pPr>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.5</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00" w:type="dxa"/>
            <w:vAlign w:val="bottom"/>
            <w:tcBorders>
              <w:bottom w:val="single" w:sz="8" w:color="0000EE"/>
            </w:tcBorders>
            <w:gridSpan w:val="2"/>
            <w:vMerge w:val="continue"/>
          </w:tcPr>
          <w:p>
            <w:pPr>
              <w:spacing w:after="0"/>
              <w:rPr>
                <w:sz w:val="3"/>
                <w:szCs w:val="3"/>
                <w:color w:val="auto"/>
              </w:rPr>
            </w:pPr>
          </w:p>
        </w:tc>
        <w:tc>
          <w:tcPr>
            <w:tcW w:w="2240" w:type="dxa"/>
            <w:vAlign w:val="bottom"/>
            <w:gridSpan w:val="14"/>
            <w:vMerge w:val="continue"/>
          </w:tcPr>
          <w:p>
            <w:pPr>
              <w:spacing w:after="0"/>
              <w:rPr>
                <w:sz w:val="3"/>
                <w:szCs w:val="3"/>
                <w:color w:val="auto"/>
              </w:rPr>
            </w:pPr>
          </w:p>
        </w:tc>
        <w:tc>
          <w:tcPr>
            <w:tcW w:w="4400" w:type="dxa"/>
            <w:vAlign w:val="bottom"/>
            <w:gridSpan w:val="2"/>
            <w:vMerge w:val="continue"/>
          </w:tcPr>
          <w:p>
            <w:pPr>
              <w:spacing w:after="0"/>
              <w:rPr>
                <w:sz w:val="3"/>
                <w:szCs w:val="3"/>
                <w:color w:val="auto"/>
              </w:rPr>
            </w:pPr>
          </w:p>
        </w:tc>
        <w:tc>
          <w:tcPr>
            <w:tcW w:w="180" w:type="dxa"/>
            <w:vAlign w:val="bottom"/>
            <w:tcBorders>
              <w:bottom w:val="single" w:sz="8" w:color="0000EE"/>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gridSpan w:val="19"/>
            <w:vMerge w:val="restart"/>
          </w:tcPr>
          <w:p>
            <w:pPr>
              <w:ind w:left="140"/>
              <w:spacing w:after="0"/>
              <w:rPr>
                <w:sz w:val="20"/>
                <w:szCs w:val="20"/>
                <w:color w:val="auto"/>
              </w:rPr>
            </w:pPr>
            <w:r>
              <w:rPr>
                <w:rFonts w:ascii="Times New Roman" w:cs="Times New Roman" w:eastAsia="Times New Roman" w:hAnsi="Times New Roman"/>
                <w:sz w:val="20"/>
                <w:szCs w:val="20"/>
                <w:color w:val="0000EE"/>
                <w:highlight w:val="white"/>
              </w:rPr>
              <w:t>Forfeiture</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20" w:type="dxa"/>
            <w:vAlign w:val="bottom"/>
            <w:gridSpan w:val="4"/>
          </w:tcPr>
          <w:p>
            <w:pPr>
              <w:ind w:left="640"/>
              <w:spacing w:after="0" w:line="41" w:lineRule="exact"/>
              <w:rPr>
                <w:sz w:val="20"/>
                <w:szCs w:val="20"/>
                <w:color w:val="auto"/>
              </w:rPr>
            </w:pPr>
            <w:r>
              <w:rPr>
                <w:rFonts w:ascii="Times New Roman" w:cs="Times New Roman" w:eastAsia="Times New Roman" w:hAnsi="Times New Roman"/>
                <w:sz w:val="4"/>
                <w:szCs w:val="4"/>
                <w:color w:val="0000EE"/>
              </w:rPr>
              <w:t>4</w:t>
            </w:r>
            <w:r>
              <w:rPr>
                <w:rFonts w:ascii="Times New Roman" w:cs="Times New Roman" w:eastAsia="Times New Roman" w:hAnsi="Times New Roman"/>
                <w:sz w:val="4"/>
                <w:szCs w:val="4"/>
                <w:color w:val="0000EE"/>
                <w:highlight w:val="white"/>
              </w:rPr>
              <w:t>.6</w:t>
            </w:r>
          </w:p>
        </w:tc>
        <w:tc>
          <w:tcPr>
            <w:tcW w:w="7380" w:type="dxa"/>
            <w:vAlign w:val="bottom"/>
            <w:gridSpan w:val="19"/>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7680" w:type="dxa"/>
            <w:vAlign w:val="bottom"/>
            <w:gridSpan w:val="21"/>
            <w:vMerge w:val="restart"/>
          </w:tcPr>
          <w:p>
            <w:pPr>
              <w:ind w:left="20"/>
              <w:spacing w:after="0"/>
              <w:rPr>
                <w:sz w:val="20"/>
                <w:szCs w:val="20"/>
                <w:color w:val="auto"/>
              </w:rPr>
            </w:pPr>
            <w:r>
              <w:rPr>
                <w:rFonts w:ascii="Times New Roman" w:cs="Times New Roman" w:eastAsia="Times New Roman" w:hAnsi="Times New Roman"/>
                <w:sz w:val="20"/>
                <w:szCs w:val="20"/>
                <w:color w:val="0000EE"/>
              </w:rPr>
              <w:t>Distribution of Benefits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5</w:t>
            </w:r>
          </w:p>
        </w:tc>
        <w:tc>
          <w:tcPr>
            <w:tcW w:w="7680" w:type="dxa"/>
            <w:vAlign w:val="bottom"/>
            <w:gridSpan w:val="21"/>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Distributable Events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580" w:type="dxa"/>
            <w:vAlign w:val="bottom"/>
            <w:tcBorders>
              <w:top w:val="single" w:sz="8" w:color="0000EE"/>
            </w:tcBorders>
            <w:gridSpan w:val="7"/>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8"/>
              </w:rPr>
              <w:t>Amount of Benefits</w:t>
            </w:r>
          </w:p>
        </w:tc>
        <w:tc>
          <w:tcPr>
            <w:tcW w:w="80" w:type="dxa"/>
            <w:vAlign w:val="bottom"/>
            <w:tcBorders>
              <w:top w:val="single" w:sz="8" w:color="0000EE"/>
            </w:tcBorders>
            <w:vMerge w:val="restart"/>
          </w:tcPr>
          <w:p>
            <w:pPr>
              <w:spacing w:after="0"/>
              <w:rPr>
                <w:sz w:val="24"/>
                <w:szCs w:val="24"/>
                <w:color w:val="auto"/>
              </w:rPr>
            </w:pPr>
          </w:p>
        </w:tc>
        <w:tc>
          <w:tcPr>
            <w:tcW w:w="5580" w:type="dxa"/>
            <w:vAlign w:val="bottom"/>
            <w:gridSpan w:val="10"/>
            <w:vMerge w:val="restart"/>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tcBorders>
              <w:bottom w:val="single" w:sz="8" w:color="0000EE"/>
            </w:tcBorders>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580" w:type="dxa"/>
            <w:vAlign w:val="bottom"/>
            <w:tcBorders>
              <w:bottom w:val="single" w:sz="8" w:color="0000EE"/>
            </w:tcBorders>
            <w:gridSpan w:val="7"/>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580" w:type="dxa"/>
            <w:vAlign w:val="bottom"/>
            <w:gridSpan w:val="10"/>
            <w:vMerge w:val="continue"/>
          </w:tcPr>
          <w:p>
            <w:pPr>
              <w:spacing w:after="0"/>
              <w:rPr>
                <w:sz w:val="3"/>
                <w:szCs w:val="3"/>
                <w:color w:val="auto"/>
              </w:rPr>
            </w:pPr>
          </w:p>
        </w:tc>
        <w:tc>
          <w:tcPr>
            <w:tcW w:w="180" w:type="dxa"/>
            <w:vAlign w:val="bottom"/>
            <w:tcBorders>
              <w:bottom w:val="single" w:sz="8" w:color="0000EE"/>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Time of Payment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.3</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Form of Payment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.4</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Beneficiary Designations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24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.5</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8"/>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8"/>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Unforeseeable Emergency</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60" w:type="dxa"/>
            <w:vAlign w:val="bottom"/>
          </w:tcPr>
          <w:p>
            <w:pPr>
              <w:spacing w:after="0"/>
              <w:rPr>
                <w:sz w:val="4"/>
                <w:szCs w:val="4"/>
                <w:color w:val="auto"/>
              </w:rPr>
            </w:pPr>
          </w:p>
        </w:tc>
        <w:tc>
          <w:tcPr>
            <w:tcW w:w="240" w:type="dxa"/>
            <w:vAlign w:val="bottom"/>
            <w:gridSpan w:val="2"/>
          </w:tcPr>
          <w:p>
            <w:pPr>
              <w:spacing w:after="0" w:line="54" w:lineRule="exact"/>
              <w:rPr>
                <w:sz w:val="20"/>
                <w:szCs w:val="20"/>
                <w:color w:val="auto"/>
              </w:rPr>
            </w:pPr>
            <w:r>
              <w:rPr>
                <w:rFonts w:ascii="Times New Roman" w:cs="Times New Roman" w:eastAsia="Times New Roman" w:hAnsi="Times New Roman"/>
                <w:sz w:val="5"/>
                <w:szCs w:val="5"/>
                <w:color w:val="0000EE"/>
              </w:rPr>
              <w:t>5</w:t>
            </w:r>
            <w:r>
              <w:rPr>
                <w:rFonts w:ascii="Times New Roman" w:cs="Times New Roman" w:eastAsia="Times New Roman" w:hAnsi="Times New Roman"/>
                <w:sz w:val="5"/>
                <w:szCs w:val="5"/>
                <w:color w:val="0000EE"/>
                <w:highlight w:val="white"/>
              </w:rPr>
              <w:t>.6</w:t>
            </w: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240" w:type="dxa"/>
            <w:vAlign w:val="bottom"/>
            <w:gridSpan w:val="18"/>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2140" w:type="dxa"/>
            <w:vAlign w:val="bottom"/>
            <w:tcBorders>
              <w:top w:val="single" w:sz="8" w:color="0000EE"/>
            </w:tcBorders>
            <w:gridSpan w:val="12"/>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Tax Withholding</w:t>
            </w:r>
          </w:p>
        </w:tc>
        <w:tc>
          <w:tcPr>
            <w:tcW w:w="5100" w:type="dxa"/>
            <w:vAlign w:val="bottom"/>
            <w:gridSpan w:val="6"/>
            <w:vMerge w:val="restart"/>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gridSpan w:val="4"/>
          </w:tcPr>
          <w:p>
            <w:pPr>
              <w:ind w:left="640"/>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.7</w:t>
            </w:r>
          </w:p>
        </w:tc>
        <w:tc>
          <w:tcPr>
            <w:tcW w:w="140" w:type="dxa"/>
            <w:vAlign w:val="bottom"/>
            <w:vMerge w:val="continue"/>
          </w:tcPr>
          <w:p>
            <w:pPr>
              <w:spacing w:after="0"/>
              <w:rPr>
                <w:sz w:val="3"/>
                <w:szCs w:val="3"/>
                <w:color w:val="auto"/>
              </w:rPr>
            </w:pPr>
          </w:p>
        </w:tc>
        <w:tc>
          <w:tcPr>
            <w:tcW w:w="2140" w:type="dxa"/>
            <w:vAlign w:val="bottom"/>
            <w:gridSpan w:val="12"/>
            <w:vMerge w:val="continue"/>
          </w:tcPr>
          <w:p>
            <w:pPr>
              <w:spacing w:after="0"/>
              <w:rPr>
                <w:sz w:val="3"/>
                <w:szCs w:val="3"/>
                <w:color w:val="auto"/>
              </w:rPr>
            </w:pPr>
          </w:p>
        </w:tc>
        <w:tc>
          <w:tcPr>
            <w:tcW w:w="5100" w:type="dxa"/>
            <w:vAlign w:val="bottom"/>
            <w:gridSpan w:val="6"/>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60" w:type="dxa"/>
            <w:vAlign w:val="bottom"/>
          </w:tcPr>
          <w:p>
            <w:pPr>
              <w:spacing w:after="0"/>
              <w:rPr>
                <w:sz w:val="24"/>
                <w:szCs w:val="24"/>
                <w:color w:val="auto"/>
              </w:rPr>
            </w:pPr>
          </w:p>
        </w:tc>
        <w:tc>
          <w:tcPr>
            <w:tcW w:w="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Borders>
              <w:top w:val="single" w:sz="8" w:color="0000EE"/>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7740" w:type="dxa"/>
            <w:vAlign w:val="bottom"/>
            <w:gridSpan w:val="22"/>
          </w:tcPr>
          <w:p>
            <w:pPr>
              <w:spacing w:after="0" w:line="41" w:lineRule="exact"/>
              <w:rPr>
                <w:sz w:val="20"/>
                <w:szCs w:val="20"/>
                <w:color w:val="auto"/>
              </w:rPr>
            </w:pPr>
            <w:r>
              <w:rPr>
                <w:rFonts w:ascii="Times New Roman" w:cs="Times New Roman" w:eastAsia="Times New Roman" w:hAnsi="Times New Roman"/>
                <w:sz w:val="4"/>
                <w:szCs w:val="4"/>
                <w:color w:val="0000EE"/>
              </w:rPr>
              <w:t>5</w:t>
            </w:r>
            <w:r>
              <w:rPr>
                <w:rFonts w:ascii="Times New Roman" w:cs="Times New Roman" w:eastAsia="Times New Roman" w:hAnsi="Times New Roman"/>
                <w:sz w:val="4"/>
                <w:szCs w:val="4"/>
                <w:color w:val="0000EE"/>
                <w:highlight w:val="white"/>
              </w:rPr>
              <w:t>.8   Prohibition on Assignment and Alienation</w:t>
            </w:r>
          </w:p>
        </w:tc>
        <w:tc>
          <w:tcPr>
            <w:tcW w:w="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0"/>
        </w:trPr>
        <w:tc>
          <w:tcPr>
            <w:tcW w:w="66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-7971790</wp:posOffset>
            </wp:positionV>
            <wp:extent cx="6714490" cy="9789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714490" cy="9789160"/>
                    </a:xfrm>
                    <a:prstGeom prst="rect">
                      <a:avLst/>
                    </a:prstGeom>
                    <a:noFill/>
                  </pic:spPr>
                </pic:pic>
              </a:graphicData>
            </a:graphic>
          </wp:anchor>
        </w:drawing>
      </w:r>
    </w:p>
    <w:p>
      <w:pPr>
        <w:sectPr>
          <w:pgSz w:w="11900" w:h="16838" w:orient="portrait"/>
          <w:cols w:equalWidth="0" w:num="1">
            <w:col w:w="9140"/>
          </w:cols>
          <w:pgMar w:left="1440" w:top="1083" w:right="1319" w:bottom="1440" w:gutter="0" w:footer="0" w:header="0"/>
        </w:sectPr>
      </w:pPr>
    </w:p>
    <w:bookmarkStart w:id="86" w:name="page87"/>
    <w:bookmarkEnd w:id="86"/>
    <w:tbl>
      <w:tblPr>
        <w:tblLayout w:type="fixed"/>
        <w:tblInd w:w="540" w:type="dxa"/>
        <w:tblCellMar>
          <w:top w:w="0" w:type="dxa"/>
          <w:left w:w="0" w:type="dxa"/>
          <w:bottom w:w="0" w:type="dxa"/>
          <w:right w:w="0" w:type="dxa"/>
        </w:tblCellMar>
      </w:tblPr>
      <w:tr>
        <w:trPr>
          <w:trHeight w:val="23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7680" w:type="dxa"/>
            <w:vAlign w:val="bottom"/>
            <w:gridSpan w:val="18"/>
            <w:vMerge w:val="restart"/>
          </w:tcPr>
          <w:p>
            <w:pPr>
              <w:ind w:left="20"/>
              <w:spacing w:after="0"/>
              <w:rPr>
                <w:sz w:val="20"/>
                <w:szCs w:val="20"/>
                <w:color w:val="auto"/>
              </w:rPr>
            </w:pPr>
            <w:r>
              <w:rPr>
                <w:rFonts w:ascii="Times New Roman" w:cs="Times New Roman" w:eastAsia="Times New Roman" w:hAnsi="Times New Roman"/>
                <w:sz w:val="20"/>
                <w:szCs w:val="20"/>
                <w:color w:val="0000EE"/>
              </w:rPr>
              <w:t>Funding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6</w:t>
            </w:r>
          </w:p>
        </w:tc>
        <w:tc>
          <w:tcPr>
            <w:tcW w:w="7680" w:type="dxa"/>
            <w:vAlign w:val="bottom"/>
            <w:gridSpan w:val="18"/>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7760" w:type="dxa"/>
            <w:vAlign w:val="bottom"/>
            <w:gridSpan w:val="19"/>
          </w:tcPr>
          <w:p>
            <w:pPr>
              <w:spacing w:after="0" w:line="41" w:lineRule="exact"/>
              <w:rPr>
                <w:sz w:val="20"/>
                <w:szCs w:val="20"/>
                <w:color w:val="auto"/>
              </w:rPr>
            </w:pPr>
            <w:r>
              <w:rPr>
                <w:rFonts w:ascii="Times New Roman" w:cs="Times New Roman" w:eastAsia="Times New Roman" w:hAnsi="Times New Roman"/>
                <w:sz w:val="4"/>
                <w:szCs w:val="4"/>
                <w:color w:val="0000EE"/>
              </w:rPr>
              <w:t>6</w:t>
            </w:r>
            <w:r>
              <w:rPr>
                <w:rFonts w:ascii="Times New Roman" w:cs="Times New Roman" w:eastAsia="Times New Roman" w:hAnsi="Times New Roman"/>
                <w:sz w:val="4"/>
                <w:szCs w:val="4"/>
                <w:color w:val="0000EE"/>
                <w:highlight w:val="white"/>
              </w:rPr>
              <w:t>.1   No Trust or Other Fiduciary Relationship</w:t>
            </w: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7760" w:type="dxa"/>
            <w:vAlign w:val="bottom"/>
            <w:gridSpan w:val="19"/>
          </w:tcPr>
          <w:p>
            <w:pPr>
              <w:spacing w:after="0" w:line="41" w:lineRule="exact"/>
              <w:rPr>
                <w:sz w:val="20"/>
                <w:szCs w:val="20"/>
                <w:color w:val="auto"/>
              </w:rPr>
            </w:pPr>
            <w:r>
              <w:rPr>
                <w:rFonts w:ascii="Times New Roman" w:cs="Times New Roman" w:eastAsia="Times New Roman" w:hAnsi="Times New Roman"/>
                <w:sz w:val="4"/>
                <w:szCs w:val="4"/>
                <w:color w:val="0000EE"/>
              </w:rPr>
              <w:t>6</w:t>
            </w:r>
            <w:r>
              <w:rPr>
                <w:rFonts w:ascii="Times New Roman" w:cs="Times New Roman" w:eastAsia="Times New Roman" w:hAnsi="Times New Roman"/>
                <w:sz w:val="4"/>
                <w:szCs w:val="4"/>
                <w:color w:val="0000EE"/>
                <w:highlight w:val="white"/>
              </w:rPr>
              <w:t>.2   Establishment of Trust Fund</w:t>
            </w: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7680" w:type="dxa"/>
            <w:vAlign w:val="bottom"/>
            <w:gridSpan w:val="18"/>
            <w:vMerge w:val="restart"/>
          </w:tcPr>
          <w:p>
            <w:pPr>
              <w:ind w:left="20"/>
              <w:spacing w:after="0"/>
              <w:rPr>
                <w:sz w:val="20"/>
                <w:szCs w:val="20"/>
                <w:color w:val="auto"/>
              </w:rPr>
            </w:pPr>
            <w:r>
              <w:rPr>
                <w:rFonts w:ascii="Times New Roman" w:cs="Times New Roman" w:eastAsia="Times New Roman" w:hAnsi="Times New Roman"/>
                <w:sz w:val="20"/>
                <w:szCs w:val="20"/>
                <w:color w:val="0000EE"/>
              </w:rPr>
              <w:t>Administration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7</w:t>
            </w:r>
          </w:p>
        </w:tc>
        <w:tc>
          <w:tcPr>
            <w:tcW w:w="7680" w:type="dxa"/>
            <w:vAlign w:val="bottom"/>
            <w:gridSpan w:val="18"/>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gridSpan w:val="15"/>
            <w:vMerge w:val="restart"/>
          </w:tcPr>
          <w:p>
            <w:pPr>
              <w:ind w:left="140"/>
              <w:spacing w:after="0"/>
              <w:rPr>
                <w:sz w:val="20"/>
                <w:szCs w:val="20"/>
                <w:color w:val="auto"/>
              </w:rPr>
            </w:pPr>
            <w:r>
              <w:rPr>
                <w:rFonts w:ascii="Times New Roman" w:cs="Times New Roman" w:eastAsia="Times New Roman" w:hAnsi="Times New Roman"/>
                <w:sz w:val="20"/>
                <w:szCs w:val="20"/>
                <w:color w:val="0000EE"/>
                <w:highlight w:val="white"/>
              </w:rPr>
              <w:t>Plan Administrator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gridSpan w:val="5"/>
          </w:tcPr>
          <w:p>
            <w:pPr>
              <w:ind w:left="640"/>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.1</w:t>
            </w:r>
          </w:p>
        </w:tc>
        <w:tc>
          <w:tcPr>
            <w:tcW w:w="7380" w:type="dxa"/>
            <w:vAlign w:val="bottom"/>
            <w:gridSpan w:val="15"/>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7760" w:type="dxa"/>
            <w:vAlign w:val="bottom"/>
            <w:gridSpan w:val="19"/>
          </w:tcPr>
          <w:p>
            <w:pPr>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.2   Powers of Plan Administrator</w:t>
            </w: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940" w:type="dxa"/>
            <w:vAlign w:val="bottom"/>
            <w:tcBorders>
              <w:top w:val="single" w:sz="8" w:color="0000EE"/>
            </w:tcBorders>
            <w:gridSpan w:val="9"/>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8"/>
              </w:rPr>
              <w:t>Maintenance of Records</w:t>
            </w:r>
          </w:p>
        </w:tc>
        <w:tc>
          <w:tcPr>
            <w:tcW w:w="420" w:type="dxa"/>
            <w:vAlign w:val="bottom"/>
            <w:tcBorders>
              <w:top w:val="single" w:sz="8" w:color="0000EE"/>
            </w:tcBorders>
            <w:gridSpan w:val="2"/>
            <w:vMerge w:val="restart"/>
          </w:tcPr>
          <w:p>
            <w:pPr>
              <w:spacing w:after="0"/>
              <w:rPr>
                <w:sz w:val="24"/>
                <w:szCs w:val="24"/>
                <w:color w:val="auto"/>
              </w:rPr>
            </w:pPr>
          </w:p>
        </w:tc>
        <w:tc>
          <w:tcPr>
            <w:tcW w:w="4880" w:type="dxa"/>
            <w:vAlign w:val="bottom"/>
            <w:gridSpan w:val="3"/>
            <w:vMerge w:val="restart"/>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260" w:type="dxa"/>
            <w:vAlign w:val="bottom"/>
            <w:tcBorders>
              <w:bottom w:val="single" w:sz="8" w:color="0000EE"/>
            </w:tcBorders>
            <w:gridSpan w:val="3"/>
          </w:tcPr>
          <w:p>
            <w:pPr>
              <w:spacing w:after="0" w:line="54" w:lineRule="exact"/>
              <w:rPr>
                <w:sz w:val="20"/>
                <w:szCs w:val="20"/>
                <w:color w:val="auto"/>
              </w:rPr>
            </w:pPr>
            <w:r>
              <w:rPr>
                <w:rFonts w:ascii="Times New Roman" w:cs="Times New Roman" w:eastAsia="Times New Roman" w:hAnsi="Times New Roman"/>
                <w:sz w:val="5"/>
                <w:szCs w:val="5"/>
                <w:color w:val="0000EE"/>
              </w:rPr>
              <w:t>7</w:t>
            </w:r>
            <w:r>
              <w:rPr>
                <w:rFonts w:ascii="Times New Roman" w:cs="Times New Roman" w:eastAsia="Times New Roman" w:hAnsi="Times New Roman"/>
                <w:sz w:val="5"/>
                <w:szCs w:val="5"/>
                <w:color w:val="0000EE"/>
                <w:highlight w:val="white"/>
              </w:rPr>
              <w:t>.3</w:t>
            </w: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940" w:type="dxa"/>
            <w:vAlign w:val="bottom"/>
            <w:tcBorders>
              <w:bottom w:val="single" w:sz="8" w:color="0000EE"/>
            </w:tcBorders>
            <w:gridSpan w:val="9"/>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4880" w:type="dxa"/>
            <w:vAlign w:val="bottom"/>
            <w:gridSpan w:val="3"/>
            <w:vMerge w:val="continue"/>
          </w:tcPr>
          <w:p>
            <w:pPr>
              <w:spacing w:after="0"/>
              <w:rPr>
                <w:sz w:val="4"/>
                <w:szCs w:val="4"/>
                <w:color w:val="auto"/>
              </w:rPr>
            </w:pPr>
          </w:p>
        </w:tc>
        <w:tc>
          <w:tcPr>
            <w:tcW w:w="180" w:type="dxa"/>
            <w:vAlign w:val="bottom"/>
            <w:tcBorders>
              <w:bottom w:val="single" w:sz="8" w:color="0000EE"/>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gridSpan w:val="15"/>
            <w:vMerge w:val="restart"/>
          </w:tcPr>
          <w:p>
            <w:pPr>
              <w:ind w:left="140"/>
              <w:spacing w:after="0"/>
              <w:rPr>
                <w:sz w:val="20"/>
                <w:szCs w:val="20"/>
                <w:color w:val="auto"/>
              </w:rPr>
            </w:pPr>
            <w:r>
              <w:rPr>
                <w:rFonts w:ascii="Times New Roman" w:cs="Times New Roman" w:eastAsia="Times New Roman" w:hAnsi="Times New Roman"/>
                <w:sz w:val="20"/>
                <w:szCs w:val="20"/>
                <w:color w:val="0000EE"/>
                <w:highlight w:val="white"/>
              </w:rPr>
              <w:t>Appeal Procedure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gridSpan w:val="5"/>
          </w:tcPr>
          <w:p>
            <w:pPr>
              <w:ind w:left="640"/>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.4</w:t>
            </w:r>
          </w:p>
        </w:tc>
        <w:tc>
          <w:tcPr>
            <w:tcW w:w="7380" w:type="dxa"/>
            <w:vAlign w:val="bottom"/>
            <w:gridSpan w:val="15"/>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7760" w:type="dxa"/>
            <w:vAlign w:val="bottom"/>
            <w:gridSpan w:val="19"/>
          </w:tcPr>
          <w:p>
            <w:pPr>
              <w:spacing w:after="0" w:line="41" w:lineRule="exact"/>
              <w:rPr>
                <w:sz w:val="20"/>
                <w:szCs w:val="20"/>
                <w:color w:val="auto"/>
              </w:rPr>
            </w:pPr>
            <w:r>
              <w:rPr>
                <w:rFonts w:ascii="Times New Roman" w:cs="Times New Roman" w:eastAsia="Times New Roman" w:hAnsi="Times New Roman"/>
                <w:sz w:val="4"/>
                <w:szCs w:val="4"/>
                <w:color w:val="0000EE"/>
              </w:rPr>
              <w:t>7</w:t>
            </w:r>
            <w:r>
              <w:rPr>
                <w:rFonts w:ascii="Times New Roman" w:cs="Times New Roman" w:eastAsia="Times New Roman" w:hAnsi="Times New Roman"/>
                <w:sz w:val="4"/>
                <w:szCs w:val="4"/>
                <w:color w:val="0000EE"/>
                <w:highlight w:val="white"/>
              </w:rPr>
              <w:t>.5   Indemnification of Administrative Committee</w:t>
            </w: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7680" w:type="dxa"/>
            <w:vAlign w:val="bottom"/>
            <w:gridSpan w:val="18"/>
            <w:vMerge w:val="restart"/>
          </w:tcPr>
          <w:p>
            <w:pPr>
              <w:ind w:left="20"/>
              <w:spacing w:after="0"/>
              <w:rPr>
                <w:sz w:val="20"/>
                <w:szCs w:val="20"/>
                <w:color w:val="auto"/>
              </w:rPr>
            </w:pPr>
            <w:r>
              <w:rPr>
                <w:rFonts w:ascii="Times New Roman" w:cs="Times New Roman" w:eastAsia="Times New Roman" w:hAnsi="Times New Roman"/>
                <w:sz w:val="20"/>
                <w:szCs w:val="20"/>
                <w:color w:val="0000EE"/>
              </w:rPr>
              <w:t>Miscellaneous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7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0000EE"/>
              </w:rPr>
              <w:t>Article 8</w:t>
            </w:r>
          </w:p>
        </w:tc>
        <w:tc>
          <w:tcPr>
            <w:tcW w:w="7680" w:type="dxa"/>
            <w:vAlign w:val="bottom"/>
            <w:gridSpan w:val="18"/>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No Employment Rights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26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.1</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1020" w:type="dxa"/>
            <w:vAlign w:val="bottom"/>
            <w:tcBorders>
              <w:top w:val="single" w:sz="8" w:color="0000EE"/>
            </w:tcBorders>
            <w:gridSpan w:val="4"/>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9"/>
              </w:rPr>
              <w:t>Amendment</w:t>
            </w:r>
          </w:p>
        </w:tc>
        <w:tc>
          <w:tcPr>
            <w:tcW w:w="860" w:type="dxa"/>
            <w:vAlign w:val="bottom"/>
            <w:tcBorders>
              <w:top w:val="single" w:sz="8" w:color="0000EE"/>
            </w:tcBorders>
            <w:gridSpan w:val="4"/>
            <w:vMerge w:val="restart"/>
          </w:tcPr>
          <w:p>
            <w:pPr>
              <w:spacing w:after="0"/>
              <w:rPr>
                <w:sz w:val="24"/>
                <w:szCs w:val="24"/>
                <w:color w:val="auto"/>
              </w:rPr>
            </w:pPr>
          </w:p>
        </w:tc>
        <w:tc>
          <w:tcPr>
            <w:tcW w:w="5360" w:type="dxa"/>
            <w:vAlign w:val="bottom"/>
            <w:gridSpan w:val="6"/>
            <w:vMerge w:val="restart"/>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Pr>
          <w:p>
            <w:pPr>
              <w:spacing w:after="0"/>
              <w:rPr>
                <w:sz w:val="3"/>
                <w:szCs w:val="3"/>
                <w:color w:val="auto"/>
              </w:rPr>
            </w:pPr>
          </w:p>
        </w:tc>
        <w:tc>
          <w:tcPr>
            <w:tcW w:w="260" w:type="dxa"/>
            <w:vAlign w:val="bottom"/>
            <w:tcBorders>
              <w:bottom w:val="single" w:sz="8" w:color="0000EE"/>
            </w:tcBorders>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.2</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020" w:type="dxa"/>
            <w:vAlign w:val="bottom"/>
            <w:tcBorders>
              <w:bottom w:val="single" w:sz="8" w:color="0000EE"/>
            </w:tcBorders>
            <w:gridSpan w:val="4"/>
            <w:vMerge w:val="continue"/>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5360" w:type="dxa"/>
            <w:vAlign w:val="bottom"/>
            <w:gridSpan w:val="6"/>
            <w:vMerge w:val="continue"/>
          </w:tcPr>
          <w:p>
            <w:pPr>
              <w:spacing w:after="0"/>
              <w:rPr>
                <w:sz w:val="3"/>
                <w:szCs w:val="3"/>
                <w:color w:val="auto"/>
              </w:rPr>
            </w:pPr>
          </w:p>
        </w:tc>
        <w:tc>
          <w:tcPr>
            <w:tcW w:w="180" w:type="dxa"/>
            <w:vAlign w:val="bottom"/>
            <w:tcBorders>
              <w:bottom w:val="single" w:sz="8" w:color="0000EE"/>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Termination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40" w:type="dxa"/>
            <w:vAlign w:val="bottom"/>
          </w:tcPr>
          <w:p>
            <w:pPr>
              <w:spacing w:after="0"/>
              <w:rPr>
                <w:sz w:val="3"/>
                <w:szCs w:val="3"/>
                <w:color w:val="auto"/>
              </w:rPr>
            </w:pPr>
          </w:p>
        </w:tc>
        <w:tc>
          <w:tcPr>
            <w:tcW w:w="26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.3</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9"/>
        </w:trPr>
        <w:tc>
          <w:tcPr>
            <w:tcW w:w="64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960" w:type="dxa"/>
            <w:vAlign w:val="bottom"/>
            <w:tcBorders>
              <w:top w:val="single" w:sz="8" w:color="0000EE"/>
            </w:tcBorders>
            <w:gridSpan w:val="3"/>
            <w:vMerge w:val="restart"/>
          </w:tcPr>
          <w:p>
            <w:pPr>
              <w:spacing w:after="0"/>
              <w:rPr>
                <w:sz w:val="20"/>
                <w:szCs w:val="20"/>
                <w:color w:val="auto"/>
              </w:rPr>
            </w:pPr>
            <w:r>
              <w:rPr>
                <w:rFonts w:ascii="Times New Roman" w:cs="Times New Roman" w:eastAsia="Times New Roman" w:hAnsi="Times New Roman"/>
                <w:sz w:val="20"/>
                <w:szCs w:val="20"/>
                <w:color w:val="0000EE"/>
                <w:highlight w:val="white"/>
                <w:w w:val="97"/>
              </w:rPr>
              <w:t>Severability</w:t>
            </w:r>
          </w:p>
        </w:tc>
        <w:tc>
          <w:tcPr>
            <w:tcW w:w="6280" w:type="dxa"/>
            <w:vAlign w:val="bottom"/>
            <w:gridSpan w:val="11"/>
            <w:vMerge w:val="restart"/>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40" w:type="dxa"/>
            <w:vAlign w:val="bottom"/>
          </w:tcPr>
          <w:p>
            <w:pPr>
              <w:spacing w:after="0"/>
              <w:rPr>
                <w:sz w:val="3"/>
                <w:szCs w:val="3"/>
                <w:color w:val="auto"/>
              </w:rPr>
            </w:pPr>
          </w:p>
        </w:tc>
        <w:tc>
          <w:tcPr>
            <w:tcW w:w="260" w:type="dxa"/>
            <w:vAlign w:val="bottom"/>
            <w:tcBorders>
              <w:bottom w:val="single" w:sz="8" w:color="0000EE"/>
            </w:tcBorders>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.4</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tcBorders>
              <w:bottom w:val="single" w:sz="8" w:color="0000EE"/>
            </w:tcBorders>
            <w:gridSpan w:val="3"/>
            <w:vMerge w:val="continue"/>
          </w:tcPr>
          <w:p>
            <w:pPr>
              <w:spacing w:after="0"/>
              <w:rPr>
                <w:sz w:val="3"/>
                <w:szCs w:val="3"/>
                <w:color w:val="auto"/>
              </w:rPr>
            </w:pPr>
          </w:p>
        </w:tc>
        <w:tc>
          <w:tcPr>
            <w:tcW w:w="6280" w:type="dxa"/>
            <w:vAlign w:val="bottom"/>
            <w:gridSpan w:val="11"/>
            <w:vMerge w:val="continue"/>
          </w:tcPr>
          <w:p>
            <w:pPr>
              <w:spacing w:after="0"/>
              <w:rPr>
                <w:sz w:val="3"/>
                <w:szCs w:val="3"/>
                <w:color w:val="auto"/>
              </w:rPr>
            </w:pPr>
          </w:p>
        </w:tc>
        <w:tc>
          <w:tcPr>
            <w:tcW w:w="180" w:type="dxa"/>
            <w:vAlign w:val="bottom"/>
            <w:tcBorders>
              <w:bottom w:val="single" w:sz="8" w:color="0000EE"/>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Construction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40" w:type="dxa"/>
            <w:vAlign w:val="bottom"/>
          </w:tcPr>
          <w:p>
            <w:pPr>
              <w:spacing w:after="0"/>
              <w:rPr>
                <w:sz w:val="3"/>
                <w:szCs w:val="3"/>
                <w:color w:val="auto"/>
              </w:rPr>
            </w:pPr>
          </w:p>
        </w:tc>
        <w:tc>
          <w:tcPr>
            <w:tcW w:w="26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.5</w:t>
            </w:r>
          </w:p>
        </w:tc>
        <w:tc>
          <w:tcPr>
            <w:tcW w:w="1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7240" w:type="dxa"/>
            <w:vAlign w:val="bottom"/>
            <w:gridSpan w:val="14"/>
            <w:vMerge w:val="restart"/>
          </w:tcPr>
          <w:p>
            <w:pPr>
              <w:spacing w:after="0"/>
              <w:rPr>
                <w:sz w:val="20"/>
                <w:szCs w:val="20"/>
                <w:color w:val="auto"/>
              </w:rPr>
            </w:pPr>
            <w:r>
              <w:rPr>
                <w:rFonts w:ascii="Times New Roman" w:cs="Times New Roman" w:eastAsia="Times New Roman" w:hAnsi="Times New Roman"/>
                <w:sz w:val="20"/>
                <w:szCs w:val="20"/>
                <w:color w:val="0000EE"/>
                <w:highlight w:val="white"/>
              </w:rPr>
              <w:t>Governing Law</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20" w:type="dxa"/>
            <w:vAlign w:val="bottom"/>
            <w:gridSpan w:val="5"/>
          </w:tcPr>
          <w:p>
            <w:pPr>
              <w:ind w:left="640"/>
              <w:spacing w:after="0" w:line="41" w:lineRule="exact"/>
              <w:rPr>
                <w:sz w:val="20"/>
                <w:szCs w:val="20"/>
                <w:color w:val="auto"/>
              </w:rPr>
            </w:pPr>
            <w:r>
              <w:rPr>
                <w:rFonts w:ascii="Times New Roman" w:cs="Times New Roman" w:eastAsia="Times New Roman" w:hAnsi="Times New Roman"/>
                <w:sz w:val="4"/>
                <w:szCs w:val="4"/>
                <w:color w:val="0000EE"/>
              </w:rPr>
              <w:t>8</w:t>
            </w:r>
            <w:r>
              <w:rPr>
                <w:rFonts w:ascii="Times New Roman" w:cs="Times New Roman" w:eastAsia="Times New Roman" w:hAnsi="Times New Roman"/>
                <w:sz w:val="4"/>
                <w:szCs w:val="4"/>
                <w:color w:val="0000EE"/>
                <w:highlight w:val="white"/>
              </w:rPr>
              <w:t>.6</w:t>
            </w:r>
          </w:p>
        </w:tc>
        <w:tc>
          <w:tcPr>
            <w:tcW w:w="140" w:type="dxa"/>
            <w:vAlign w:val="bottom"/>
            <w:vMerge w:val="continue"/>
          </w:tcPr>
          <w:p>
            <w:pPr>
              <w:spacing w:after="0"/>
              <w:rPr>
                <w:sz w:val="3"/>
                <w:szCs w:val="3"/>
                <w:color w:val="auto"/>
              </w:rPr>
            </w:pPr>
          </w:p>
        </w:tc>
        <w:tc>
          <w:tcPr>
            <w:tcW w:w="7240" w:type="dxa"/>
            <w:vAlign w:val="bottom"/>
            <w:gridSpan w:val="14"/>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8"/>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Borders>
              <w:top w:val="single" w:sz="8" w:color="0000EE"/>
            </w:tcBorders>
            <w:vMerge w:val="restart"/>
          </w:tcPr>
          <w:p>
            <w:pPr>
              <w:jc w:val="right"/>
              <w:spacing w:after="0"/>
              <w:rPr>
                <w:sz w:val="20"/>
                <w:szCs w:val="20"/>
                <w:color w:val="auto"/>
              </w:rPr>
            </w:pPr>
            <w:r>
              <w:rPr>
                <w:rFonts w:ascii="Times New Roman" w:cs="Times New Roman" w:eastAsia="Times New Roman" w:hAnsi="Times New Roman"/>
                <w:sz w:val="20"/>
                <w:szCs w:val="20"/>
                <w:color w:val="0000EE"/>
                <w:w w:val="7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20" w:type="dxa"/>
            <w:vAlign w:val="bottom"/>
            <w:gridSpan w:val="5"/>
          </w:tcPr>
          <w:p>
            <w:pPr>
              <w:spacing w:after="0" w:line="41" w:lineRule="exact"/>
              <w:rPr>
                <w:sz w:val="20"/>
                <w:szCs w:val="20"/>
                <w:color w:val="auto"/>
              </w:rPr>
            </w:pPr>
            <w:r>
              <w:rPr>
                <w:rFonts w:ascii="Times New Roman" w:cs="Times New Roman" w:eastAsia="Times New Roman" w:hAnsi="Times New Roman"/>
                <w:sz w:val="4"/>
                <w:szCs w:val="4"/>
                <w:b w:val="1"/>
                <w:bCs w:val="1"/>
                <w:color w:val="0000EE"/>
                <w:highlight w:val="white"/>
              </w:rPr>
              <w:t>Signature</w:t>
            </w: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3"/>
        </w:trPr>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-5571490</wp:posOffset>
            </wp:positionV>
            <wp:extent cx="6714490" cy="100031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714490" cy="10003155"/>
                    </a:xfrm>
                    <a:prstGeom prst="rect">
                      <a:avLst/>
                    </a:prstGeom>
                    <a:noFill/>
                  </pic:spPr>
                </pic:pic>
              </a:graphicData>
            </a:graphic>
          </wp:anchor>
        </w:drawing>
      </w:r>
    </w:p>
    <w:p>
      <w:pPr>
        <w:sectPr>
          <w:pgSz w:w="11900" w:h="16838" w:orient="portrait"/>
          <w:cols w:equalWidth="0" w:num="1">
            <w:col w:w="9140"/>
          </w:cols>
          <w:pgMar w:left="1440" w:top="1003" w:right="1319" w:bottom="1440" w:gutter="0" w:footer="0" w:header="0"/>
        </w:sectPr>
      </w:pPr>
    </w:p>
    <w:bookmarkStart w:id="87" w:name="page88"/>
    <w:bookmarkEnd w:id="87"/>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UFP INDUSTRIES, INC.</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341630</wp:posOffset>
            </wp:positionV>
            <wp:extent cx="37020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3702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1</w:t>
      </w:r>
    </w:p>
    <w:p>
      <w:pPr>
        <w:spacing w:after="0" w:line="6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Establishment and Purpose</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History of the Plan</w:t>
      </w:r>
    </w:p>
    <w:p>
      <w:pPr>
        <w:spacing w:after="0" w:line="152"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2"/>
          <w:szCs w:val="22"/>
          <w:color w:val="auto"/>
        </w:rPr>
        <w:t>UFP Industries, Inc.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established the UFP Industries, Inc. Deferred Compensation Plan (the “</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as of December 27, 1995. Prior to April 22, 2020, the Company was known as Universal Forest Products, Inc., and the Plan was named the Universal Forest Products, Inc. Deferred Compensation Plan. The Plan has periodically been amended, and was most recently amended and restated effective as of January 1, 2025.</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This Document</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By this document, the Company is amending the Plan effective as of October 23, 2025.</w:t>
      </w:r>
    </w:p>
    <w:p>
      <w:pPr>
        <w:spacing w:after="0" w:line="25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Purpose</w:t>
      </w:r>
    </w:p>
    <w:p>
      <w:pPr>
        <w:spacing w:after="0" w:line="156"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The Company desires to retain the services of a select group of executives who contribute to the profitability and success of the Company. The Company maintains the Plan to provide the executives who participate in the Plan with the opportunity to defer a portion of their Compensation and have additional retirement income.</w:t>
      </w:r>
    </w:p>
    <w:p>
      <w:pPr>
        <w:spacing w:after="0" w:line="1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u w:val="single" w:color="auto"/>
          <w:color w:val="auto"/>
        </w:rPr>
        <w:t>Status of Plan Under ERISA</w:t>
      </w:r>
    </w:p>
    <w:p>
      <w:pPr>
        <w:spacing w:after="0" w:line="156" w:lineRule="exact"/>
        <w:rPr>
          <w:sz w:val="20"/>
          <w:szCs w:val="20"/>
          <w:color w:val="auto"/>
        </w:rPr>
      </w:pPr>
    </w:p>
    <w:p>
      <w:pPr>
        <w:jc w:val="both"/>
        <w:ind w:left="200" w:right="219" w:firstLine="648"/>
        <w:spacing w:after="0" w:line="288" w:lineRule="auto"/>
        <w:rPr>
          <w:sz w:val="20"/>
          <w:szCs w:val="20"/>
          <w:color w:val="auto"/>
        </w:rPr>
      </w:pPr>
      <w:r>
        <w:rPr>
          <w:rFonts w:ascii="Times New Roman" w:cs="Times New Roman" w:eastAsia="Times New Roman" w:hAnsi="Times New Roman"/>
          <w:sz w:val="22"/>
          <w:szCs w:val="22"/>
          <w:color w:val="auto"/>
        </w:rPr>
        <w:t>The Plan is intended to be unfunded and maintained primarily for the purpose of providing deferred compensation for a select group of management or highly compensated employees for purposes of ERISA. Accordingly, the Plan is not intended to be covered by Parts 2 through 4 of Subtitle B of Title I of ERISA. The existence of any Trust Fund is not intended to change this characterization of the Plan.</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u w:val="single" w:color="auto"/>
          <w:color w:val="auto"/>
        </w:rPr>
        <w:t>Compliance with Section 409A</w:t>
      </w:r>
    </w:p>
    <w:p>
      <w:pPr>
        <w:spacing w:after="0" w:line="15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To the extent the Plan provides deferred compensation under Section 409A of the Code, the Plan is intended to comply with Section 409A. The Plan is intended to be interpreted consistent with the requirements of Section 409A of the Code.</w:t>
      </w:r>
    </w:p>
    <w:p>
      <w:pPr>
        <w:spacing w:after="0" w:line="35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color w:val="auto"/>
        </w:rPr>
        <w:t>Page 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31"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2</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15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The following terms shall have the meanings described in this Article unless the context clearly indicates another meaning is intended. All references in the Plan to specific articles or sections shall refer to Articles or Sections of the Plan unless otherwise stated.</w:t>
      </w:r>
    </w:p>
    <w:p>
      <w:pPr>
        <w:spacing w:after="0" w:line="62" w:lineRule="exact"/>
        <w:rPr>
          <w:sz w:val="20"/>
          <w:szCs w:val="20"/>
          <w:color w:val="auto"/>
        </w:rPr>
      </w:pPr>
    </w:p>
    <w:p>
      <w:pPr>
        <w:ind w:left="860" w:right="239" w:firstLine="645"/>
        <w:spacing w:after="0" w:line="313"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w:t>
      </w:r>
      <w:r>
        <w:rPr>
          <w:rFonts w:ascii="Times New Roman" w:cs="Times New Roman" w:eastAsia="Times New Roman" w:hAnsi="Times New Roman"/>
          <w:sz w:val="22"/>
          <w:szCs w:val="22"/>
          <w:color w:val="auto"/>
        </w:rPr>
        <w:t>” means the bookkeeping record of the Participant’s benefits under the terms of the Plan.</w:t>
      </w:r>
    </w:p>
    <w:p>
      <w:pPr>
        <w:spacing w:after="0" w:line="136"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Committee</w:t>
      </w:r>
      <w:r>
        <w:rPr>
          <w:rFonts w:ascii="Times New Roman" w:cs="Times New Roman" w:eastAsia="Times New Roman" w:hAnsi="Times New Roman"/>
          <w:sz w:val="22"/>
          <w:szCs w:val="22"/>
          <w:color w:val="auto"/>
        </w:rPr>
        <w:t>” means the administrative committee periodically appointed by the Board of Directors to assist the Plan Administrator with the day-to-day operation of the Plan as provided in Article 7.</w:t>
      </w:r>
    </w:p>
    <w:p>
      <w:pPr>
        <w:spacing w:after="0" w:line="167" w:lineRule="exact"/>
        <w:rPr>
          <w:rFonts w:ascii="Times New Roman" w:cs="Times New Roman" w:eastAsia="Times New Roman" w:hAnsi="Times New Roman"/>
          <w:sz w:val="22"/>
          <w:szCs w:val="22"/>
          <w:color w:val="auto"/>
        </w:rPr>
      </w:pPr>
    </w:p>
    <w:p>
      <w:pPr>
        <w:jc w:val="both"/>
        <w:ind w:left="860" w:right="219" w:firstLine="645"/>
        <w:spacing w:after="0" w:line="292"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means a Participant’s regular wage or salary and commissions from the Company, not including Bonuses or other types of irregular compensation. Base Salary excludes any amounts earned before a Participant’s election to make Elective Deferrals from such wage or salary.</w:t>
      </w:r>
    </w:p>
    <w:p>
      <w:pPr>
        <w:spacing w:after="0" w:line="17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Beneficiary</w:t>
      </w:r>
      <w:r>
        <w:rPr>
          <w:rFonts w:ascii="Times New Roman" w:cs="Times New Roman" w:eastAsia="Times New Roman" w:hAnsi="Times New Roman"/>
          <w:sz w:val="22"/>
          <w:szCs w:val="22"/>
          <w:color w:val="auto"/>
        </w:rPr>
        <w:t>” has the meaning set forth in Section 5.5.</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the governing body of UFP Industries, Inc.</w:t>
      </w:r>
    </w:p>
    <w:p>
      <w:pPr>
        <w:spacing w:after="0" w:line="260" w:lineRule="exact"/>
        <w:rPr>
          <w:rFonts w:ascii="Times New Roman" w:cs="Times New Roman" w:eastAsia="Times New Roman" w:hAnsi="Times New Roman"/>
          <w:sz w:val="22"/>
          <w:szCs w:val="22"/>
          <w:color w:val="auto"/>
        </w:rPr>
      </w:pPr>
    </w:p>
    <w:p>
      <w:pPr>
        <w:jc w:val="both"/>
        <w:ind w:left="860" w:right="219" w:firstLine="645"/>
        <w:spacing w:after="0" w:line="288"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Bonus</w:t>
      </w:r>
      <w:r>
        <w:rPr>
          <w:rFonts w:ascii="Times New Roman" w:cs="Times New Roman" w:eastAsia="Times New Roman" w:hAnsi="Times New Roman"/>
          <w:sz w:val="22"/>
          <w:szCs w:val="22"/>
          <w:color w:val="auto"/>
        </w:rPr>
        <w:t>” means a payment of cash compensation other than Base Salary to a Participant as a reward for exceptional performance during the prior calendar year that qualifies as performance-based compensation within the meaning of Treas. Reg. §1.409A-1(e).</w:t>
      </w:r>
    </w:p>
    <w:p>
      <w:pPr>
        <w:spacing w:after="0" w:line="176"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means that one of the following events has occurred with regard to the Company, but only if such event meets the requirements of Treas. Reg. §1.409A-3(i)(5), or any successor provision:</w:t>
      </w:r>
    </w:p>
    <w:p>
      <w:pPr>
        <w:spacing w:after="0" w:line="171" w:lineRule="exact"/>
        <w:rPr>
          <w:rFonts w:ascii="Times New Roman" w:cs="Times New Roman" w:eastAsia="Times New Roman" w:hAnsi="Times New Roman"/>
          <w:sz w:val="22"/>
          <w:szCs w:val="22"/>
          <w:color w:val="auto"/>
        </w:rPr>
      </w:pPr>
    </w:p>
    <w:p>
      <w:pPr>
        <w:ind w:left="1500" w:right="239" w:firstLine="653"/>
        <w:spacing w:after="0" w:line="309" w:lineRule="auto"/>
        <w:tabs>
          <w:tab w:leader="none" w:pos="27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of 40% or more of the material operating assets of the Company to a person or entity not affiliated with the Company prior to such sale;</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86" w:lineRule="auto"/>
        <w:tabs>
          <w:tab w:leader="none" w:pos="27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more than 30% of the common stock of the Company by a person, entity or group of people or entities acting as a group for voting or control purposes, who are not affiliated with the Company prior to such sale; or</w:t>
      </w:r>
    </w:p>
    <w:p>
      <w:pPr>
        <w:spacing w:after="0" w:line="184"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Replacement of a majority of the members of the Board during a 12-month period by directors whose appointment or election is not endorsed by a majority of the Board before the appointments or elections.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89" w:name="page90"/>
    <w:bookmarkEnd w:id="89"/>
    <w:p>
      <w:pPr>
        <w:ind w:left="860" w:right="459"/>
        <w:spacing w:after="0" w:line="309" w:lineRule="auto"/>
        <w:rPr>
          <w:sz w:val="20"/>
          <w:szCs w:val="20"/>
          <w:color w:val="auto"/>
        </w:rPr>
      </w:pPr>
      <w:r>
        <w:rPr>
          <w:rFonts w:ascii="Times New Roman" w:cs="Times New Roman" w:eastAsia="Times New Roman" w:hAnsi="Times New Roman"/>
          <w:sz w:val="22"/>
          <w:szCs w:val="22"/>
          <w:color w:val="auto"/>
        </w:rPr>
        <w:t>For purposes of the Plan, the Company is “affiliated with” another person or entity if that person or entity has an ownership interest in the Company.</w:t>
      </w:r>
    </w:p>
    <w:p>
      <w:pPr>
        <w:spacing w:after="0" w:line="47" w:lineRule="exact"/>
        <w:rPr>
          <w:sz w:val="20"/>
          <w:szCs w:val="20"/>
          <w:color w:val="auto"/>
        </w:rPr>
      </w:pPr>
    </w:p>
    <w:p>
      <w:pPr>
        <w:ind w:left="2160" w:hanging="655"/>
        <w:spacing w:after="0"/>
        <w:tabs>
          <w:tab w:leader="none" w:pos="2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60" w:lineRule="exact"/>
        <w:rPr>
          <w:rFonts w:ascii="Times New Roman" w:cs="Times New Roman" w:eastAsia="Times New Roman" w:hAnsi="Times New Roman"/>
          <w:sz w:val="22"/>
          <w:szCs w:val="22"/>
          <w:color w:val="auto"/>
        </w:rPr>
      </w:pPr>
    </w:p>
    <w:p>
      <w:pPr>
        <w:jc w:val="both"/>
        <w:ind w:left="860" w:right="219" w:firstLine="645"/>
        <w:spacing w:after="0" w:line="292"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UFP Industries, Inc. and its wholly owned subsidiaries and affiliates, except to the extent that any such subsidiary or affiliate maintains its own plan providing similar benefits or is expressly excluded from participation under the Plan. If a Change in Control occurs,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also includes any successor employer.</w:t>
      </w:r>
    </w:p>
    <w:p>
      <w:pPr>
        <w:spacing w:after="0" w:line="172"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means the sum of the following:</w:t>
      </w:r>
    </w:p>
    <w:p>
      <w:pPr>
        <w:spacing w:after="0" w:line="264" w:lineRule="exact"/>
        <w:rPr>
          <w:rFonts w:ascii="Times New Roman" w:cs="Times New Roman" w:eastAsia="Times New Roman" w:hAnsi="Times New Roman"/>
          <w:sz w:val="22"/>
          <w:szCs w:val="22"/>
          <w:color w:val="auto"/>
        </w:rPr>
      </w:pPr>
    </w:p>
    <w:p>
      <w:pPr>
        <w:jc w:val="both"/>
        <w:ind w:left="1500" w:right="219" w:firstLine="653"/>
        <w:spacing w:after="0" w:line="285"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wages and other payments which are reported on IRS Form W-2. However, this amount shall be determined without regard to any rules that limit the remuneration included in wages based on the nature or location of the employment or the services performed (such as the exception for agricultural labor in Section 3401(a)(2) of the Code).</w:t>
      </w:r>
    </w:p>
    <w:p>
      <w:pPr>
        <w:spacing w:after="0" w:line="185"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Employee’s salary deferral contributions to a Code Section</w:t>
      </w:r>
    </w:p>
    <w:p>
      <w:pPr>
        <w:spacing w:after="0" w:line="4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401(k) plan.</w:t>
      </w:r>
    </w:p>
    <w:p>
      <w:pPr>
        <w:spacing w:after="0" w:line="260"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pay reduction contributions to a cafeteria plan under Section 125 of the Code.</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pay reduction contributions to a qualified transportation fringe benefit plan under Section 132(f) of the Code.</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pay reduction contributions to a simplified employee pension plan under Section 402(h)(1)(B) of the Code.</w:t>
      </w:r>
    </w:p>
    <w:p>
      <w:pPr>
        <w:spacing w:after="0" w:line="14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Determination Period</w:t>
      </w:r>
      <w:r>
        <w:rPr>
          <w:rFonts w:ascii="Times New Roman" w:cs="Times New Roman" w:eastAsia="Times New Roman" w:hAnsi="Times New Roman"/>
          <w:sz w:val="22"/>
          <w:szCs w:val="22"/>
          <w:color w:val="auto"/>
        </w:rPr>
        <w:t>” means—</w:t>
      </w:r>
    </w:p>
    <w:p>
      <w:pPr>
        <w:spacing w:after="0" w:line="264" w:lineRule="exact"/>
        <w:rPr>
          <w:rFonts w:ascii="Times New Roman" w:cs="Times New Roman" w:eastAsia="Times New Roman" w:hAnsi="Times New Roman"/>
          <w:sz w:val="22"/>
          <w:szCs w:val="22"/>
          <w:color w:val="auto"/>
        </w:rPr>
      </w:pPr>
    </w:p>
    <w:p>
      <w:pPr>
        <w:jc w:val="both"/>
        <w:ind w:left="1500" w:right="219" w:firstLine="653"/>
        <w:spacing w:after="0" w:line="315" w:lineRule="auto"/>
        <w:tabs>
          <w:tab w:leader="none" w:pos="2796"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 Employee who has a Separation from Service from the Company between January 1 and March 31, the second calendar year preceding the calendar year during which the Separation from Service occurred; and</w:t>
      </w:r>
    </w:p>
    <w:p>
      <w:pPr>
        <w:spacing w:after="0" w:line="156" w:lineRule="exact"/>
        <w:rPr>
          <w:rFonts w:ascii="Times New Roman" w:cs="Times New Roman" w:eastAsia="Times New Roman" w:hAnsi="Times New Roman"/>
          <w:sz w:val="21"/>
          <w:szCs w:val="21"/>
          <w:color w:val="auto"/>
        </w:rPr>
      </w:pPr>
    </w:p>
    <w:p>
      <w:pPr>
        <w:jc w:val="both"/>
        <w:ind w:left="1500" w:right="219" w:firstLine="653"/>
        <w:spacing w:after="0" w:line="295" w:lineRule="auto"/>
        <w:tabs>
          <w:tab w:leader="none" w:pos="279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Employee who has a Separation from Service from the Company between April 1 and December 31, the calendar year preceding the calendar year during which the Separation from Service occurred.</w:t>
      </w:r>
    </w:p>
    <w:p>
      <w:pPr>
        <w:spacing w:after="0" w:line="170" w:lineRule="exact"/>
        <w:rPr>
          <w:rFonts w:ascii="Times New Roman" w:cs="Times New Roman" w:eastAsia="Times New Roman" w:hAnsi="Times New Roman"/>
          <w:sz w:val="22"/>
          <w:szCs w:val="22"/>
          <w:color w:val="auto"/>
        </w:rPr>
      </w:pPr>
    </w:p>
    <w:p>
      <w:pPr>
        <w:ind w:left="860" w:right="219" w:firstLine="645"/>
        <w:spacing w:after="0" w:line="313"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Distributable Event</w:t>
      </w:r>
      <w:r>
        <w:rPr>
          <w:rFonts w:ascii="Times New Roman" w:cs="Times New Roman" w:eastAsia="Times New Roman" w:hAnsi="Times New Roman"/>
          <w:sz w:val="22"/>
          <w:szCs w:val="22"/>
          <w:color w:val="auto"/>
        </w:rPr>
        <w:t>” means a “triggering” event for a distribution to a Participant. A Participant’s Distributable Events are described in Section 5.1.</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0" w:name="page91"/>
    <w:bookmarkEnd w:id="90"/>
    <w:p>
      <w:pPr>
        <w:ind w:left="860" w:right="239" w:firstLine="645"/>
        <w:spacing w:after="0" w:line="313"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Elective Deferrals</w:t>
      </w:r>
      <w:r>
        <w:rPr>
          <w:rFonts w:ascii="Times New Roman" w:cs="Times New Roman" w:eastAsia="Times New Roman" w:hAnsi="Times New Roman"/>
          <w:sz w:val="22"/>
          <w:szCs w:val="22"/>
          <w:color w:val="auto"/>
        </w:rPr>
        <w:t>” are the amounts that a Participant elects to defer from his or her Base Salary or Bonus to his or her Account pursuant to Section 4.2.</w:t>
      </w:r>
    </w:p>
    <w:p>
      <w:pPr>
        <w:spacing w:after="0" w:line="150"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means a common-law employee of the Company. An individual who is treated by the Company as an independent contractor for tax purposes is not an Employee.</w:t>
      </w:r>
    </w:p>
    <w:p>
      <w:pPr>
        <w:spacing w:after="0" w:line="16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means the Employee Retirement Income Security Act of 1974, as</w:t>
      </w:r>
    </w:p>
    <w:p>
      <w:pPr>
        <w:spacing w:after="0" w:line="48"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w:t>
      </w:r>
    </w:p>
    <w:p>
      <w:pPr>
        <w:spacing w:after="0" w:line="256"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Key Employee</w:t>
      </w:r>
      <w:r>
        <w:rPr>
          <w:rFonts w:ascii="Times New Roman" w:cs="Times New Roman" w:eastAsia="Times New Roman" w:hAnsi="Times New Roman"/>
          <w:sz w:val="22"/>
          <w:szCs w:val="22"/>
          <w:color w:val="auto"/>
        </w:rPr>
        <w:t>” means any Employee who at any time during the Determination Period was a “specified employee” within the meaning of Treas. Reg. §1.409A-1(i), or any successor provision, and may include:</w:t>
      </w:r>
    </w:p>
    <w:p>
      <w:pPr>
        <w:spacing w:after="0" w:line="171" w:lineRule="exact"/>
        <w:rPr>
          <w:rFonts w:ascii="Times New Roman" w:cs="Times New Roman" w:eastAsia="Times New Roman" w:hAnsi="Times New Roman"/>
          <w:sz w:val="22"/>
          <w:szCs w:val="22"/>
          <w:color w:val="auto"/>
        </w:rPr>
      </w:pPr>
    </w:p>
    <w:p>
      <w:pPr>
        <w:jc w:val="both"/>
        <w:ind w:left="1500" w:right="219" w:firstLine="653"/>
        <w:spacing w:after="0" w:line="286" w:lineRule="auto"/>
        <w:tabs>
          <w:tab w:leader="none" w:pos="27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 of the Company or a Related Employer whose annual Compensation from the Company and all Related Employers is more than $145,000 (as adjusted under Section 416(i)(1) of the Code for Plan Years beginning after December 31, 2007);</w:t>
      </w:r>
    </w:p>
    <w:p>
      <w:pPr>
        <w:spacing w:after="0" w:line="184" w:lineRule="exact"/>
        <w:rPr>
          <w:rFonts w:ascii="Times New Roman" w:cs="Times New Roman" w:eastAsia="Times New Roman" w:hAnsi="Times New Roman"/>
          <w:sz w:val="22"/>
          <w:szCs w:val="22"/>
          <w:color w:val="auto"/>
        </w:rPr>
      </w:pPr>
    </w:p>
    <w:p>
      <w:pPr>
        <w:ind w:left="1500" w:right="239" w:firstLine="653"/>
        <w:spacing w:after="0" w:line="309" w:lineRule="auto"/>
        <w:tabs>
          <w:tab w:leader="none" w:pos="27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having more than a 5% ownership interest in the Company or a Related Employer; or</w:t>
      </w:r>
    </w:p>
    <w:p>
      <w:pPr>
        <w:spacing w:after="0" w:line="158" w:lineRule="exact"/>
        <w:rPr>
          <w:rFonts w:ascii="Times New Roman" w:cs="Times New Roman" w:eastAsia="Times New Roman" w:hAnsi="Times New Roman"/>
          <w:sz w:val="22"/>
          <w:szCs w:val="22"/>
          <w:color w:val="auto"/>
        </w:rPr>
      </w:pPr>
    </w:p>
    <w:p>
      <w:pPr>
        <w:jc w:val="both"/>
        <w:ind w:left="1500" w:right="239" w:firstLine="653"/>
        <w:spacing w:after="0" w:line="295" w:lineRule="auto"/>
        <w:tabs>
          <w:tab w:leader="none" w:pos="27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having more than a 1% ownership interest in the Company or a Related Employer and whose annual Compensation from the Company and all Related Employers is more than $150,000.</w:t>
      </w:r>
    </w:p>
    <w:p>
      <w:pPr>
        <w:spacing w:after="0" w:line="174" w:lineRule="exact"/>
        <w:rPr>
          <w:sz w:val="20"/>
          <w:szCs w:val="20"/>
          <w:color w:val="auto"/>
        </w:rPr>
      </w:pPr>
    </w:p>
    <w:p>
      <w:pPr>
        <w:jc w:val="both"/>
        <w:ind w:left="860" w:right="539"/>
        <w:spacing w:after="0" w:line="289" w:lineRule="auto"/>
        <w:rPr>
          <w:sz w:val="20"/>
          <w:szCs w:val="20"/>
          <w:color w:val="auto"/>
        </w:rPr>
      </w:pPr>
      <w:r>
        <w:rPr>
          <w:rFonts w:ascii="Times New Roman" w:cs="Times New Roman" w:eastAsia="Times New Roman" w:hAnsi="Times New Roman"/>
          <w:sz w:val="22"/>
          <w:szCs w:val="22"/>
          <w:color w:val="auto"/>
        </w:rPr>
        <w:t>The Plan Administrator shall determine the Key Employee status of each Participant in accordance with Sections 409A and 416(i)(1) of the Code and the applicable regulations and guidance.</w:t>
      </w:r>
    </w:p>
    <w:p>
      <w:pPr>
        <w:spacing w:after="0" w:line="68" w:lineRule="exact"/>
        <w:rPr>
          <w:sz w:val="20"/>
          <w:szCs w:val="20"/>
          <w:color w:val="auto"/>
        </w:rPr>
      </w:pPr>
    </w:p>
    <w:p>
      <w:pPr>
        <w:jc w:val="both"/>
        <w:ind w:left="860" w:right="219" w:firstLine="645"/>
        <w:spacing w:after="0" w:line="297"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means an Employee or former Employee of the Company who has met the requirements for participation under Article 3, and who is or may become eligible to receive benefits from the Plan.</w:t>
      </w:r>
    </w:p>
    <w:p>
      <w:pPr>
        <w:spacing w:after="0" w:line="16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means the UFP Industries, Inc. Deferred Compensation Plan.</w:t>
      </w:r>
    </w:p>
    <w:p>
      <w:pPr>
        <w:spacing w:after="0" w:line="260" w:lineRule="exact"/>
        <w:rPr>
          <w:rFonts w:ascii="Times New Roman" w:cs="Times New Roman" w:eastAsia="Times New Roman" w:hAnsi="Times New Roman"/>
          <w:sz w:val="22"/>
          <w:szCs w:val="22"/>
          <w:color w:val="auto"/>
        </w:rPr>
      </w:pPr>
    </w:p>
    <w:p>
      <w:pPr>
        <w:jc w:val="both"/>
        <w:ind w:left="860" w:right="219" w:firstLine="645"/>
        <w:spacing w:after="0" w:line="297"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 Administrator</w:t>
      </w:r>
      <w:r>
        <w:rPr>
          <w:rFonts w:ascii="Times New Roman" w:cs="Times New Roman" w:eastAsia="Times New Roman" w:hAnsi="Times New Roman"/>
          <w:sz w:val="22"/>
          <w:szCs w:val="22"/>
          <w:color w:val="auto"/>
        </w:rPr>
        <w:t>” means the fiduciary responsible for the operation and administration of the Plan as provided in Article 7. UFP Industries, Inc. shall be the Plan Administrator.</w:t>
      </w:r>
    </w:p>
    <w:p>
      <w:pPr>
        <w:spacing w:after="0" w:line="167" w:lineRule="exact"/>
        <w:rPr>
          <w:rFonts w:ascii="Times New Roman" w:cs="Times New Roman" w:eastAsia="Times New Roman" w:hAnsi="Times New Roman"/>
          <w:sz w:val="22"/>
          <w:szCs w:val="22"/>
          <w:color w:val="auto"/>
        </w:rPr>
      </w:pPr>
    </w:p>
    <w:p>
      <w:pPr>
        <w:ind w:left="860" w:right="219" w:firstLine="645"/>
        <w:spacing w:after="0" w:line="313" w:lineRule="auto"/>
        <w:tabs>
          <w:tab w:leader="none" w:pos="21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 Year</w:t>
      </w:r>
      <w:r>
        <w:rPr>
          <w:rFonts w:ascii="Times New Roman" w:cs="Times New Roman" w:eastAsia="Times New Roman" w:hAnsi="Times New Roman"/>
          <w:sz w:val="22"/>
          <w:szCs w:val="22"/>
          <w:color w:val="auto"/>
        </w:rPr>
        <w:t>” means the 12-consecutive-month period beginning on January 1 and ending on the following December 31.</w:t>
      </w:r>
    </w:p>
    <w:p>
      <w:pPr>
        <w:spacing w:after="0" w:line="15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Employer</w:t>
      </w:r>
      <w:r>
        <w:rPr>
          <w:rFonts w:ascii="Times New Roman" w:cs="Times New Roman" w:eastAsia="Times New Roman" w:hAnsi="Times New Roman"/>
          <w:sz w:val="22"/>
          <w:szCs w:val="22"/>
          <w:color w:val="auto"/>
        </w:rPr>
        <w:t>” means:</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Page 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91" w:name="page92"/>
    <w:bookmarkEnd w:id="91"/>
    <w:p>
      <w:pPr>
        <w:jc w:val="both"/>
        <w:ind w:left="1500" w:right="219" w:firstLine="653"/>
        <w:spacing w:after="0" w:line="291" w:lineRule="auto"/>
        <w:tabs>
          <w:tab w:leader="none" w:pos="27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member of a controlled group of corporations in which the Company is a member, as defined in Section 414(b) of the Code, but substituting “at least 20%” for “at least 80%” each place it appears in Section 414(b) of the Code and the Treasury regulations issued thereunder; or</w:t>
      </w:r>
    </w:p>
    <w:p>
      <w:pPr>
        <w:spacing w:after="0" w:line="177" w:lineRule="exact"/>
        <w:rPr>
          <w:rFonts w:ascii="Times New Roman" w:cs="Times New Roman" w:eastAsia="Times New Roman" w:hAnsi="Times New Roman"/>
          <w:sz w:val="22"/>
          <w:szCs w:val="22"/>
          <w:color w:val="auto"/>
        </w:rPr>
      </w:pPr>
    </w:p>
    <w:p>
      <w:pPr>
        <w:jc w:val="both"/>
        <w:ind w:left="1500" w:right="219" w:firstLine="653"/>
        <w:spacing w:after="0" w:line="291" w:lineRule="auto"/>
        <w:tabs>
          <w:tab w:leader="none" w:pos="2796"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or business under common control of or with the Company, as defined in Section 414(c) of the Code, but substituting “at least 20%” for “at least 80%” each place it appears in Section 414(b) of the Code and the Treasury regulations issued thereunder.</w:t>
      </w:r>
    </w:p>
    <w:p>
      <w:pPr>
        <w:spacing w:after="0" w:line="173" w:lineRule="exact"/>
        <w:rPr>
          <w:rFonts w:ascii="Times New Roman" w:cs="Times New Roman" w:eastAsia="Times New Roman" w:hAnsi="Times New Roman"/>
          <w:sz w:val="22"/>
          <w:szCs w:val="22"/>
          <w:color w:val="auto"/>
        </w:rPr>
      </w:pPr>
    </w:p>
    <w:p>
      <w:pPr>
        <w:jc w:val="both"/>
        <w:ind w:left="860" w:right="219" w:firstLine="645"/>
        <w:spacing w:after="0" w:line="284" w:lineRule="auto"/>
        <w:tabs>
          <w:tab w:leader="none" w:pos="21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Separation from Service</w:t>
      </w:r>
      <w:r>
        <w:rPr>
          <w:rFonts w:ascii="Times New Roman" w:cs="Times New Roman" w:eastAsia="Times New Roman" w:hAnsi="Times New Roman"/>
          <w:sz w:val="22"/>
          <w:szCs w:val="22"/>
          <w:color w:val="auto"/>
        </w:rPr>
        <w:t>” means a means a termination of employment that qualifies as a separation from service under Reg §1.409A-1(h). Generally, this occurs if the Employee is reasonably anticipated to have a substantial permanent reduction in the bona fide level of services provided to the Company and all Related Employers (whether provided as an employee or an independent contractor). The reduction shall be “substantial” only if the reduced bona fide level of services is less than 50% of the average bona fide level of services provided by the Employee to the Company and all Related Employers during the immediately preceding 36 months (or the Participant’s entire period of service, if less than 36 months).</w:t>
      </w:r>
    </w:p>
    <w:p>
      <w:pPr>
        <w:spacing w:after="0" w:line="181" w:lineRule="exact"/>
        <w:rPr>
          <w:rFonts w:ascii="Times New Roman" w:cs="Times New Roman" w:eastAsia="Times New Roman" w:hAnsi="Times New Roman"/>
          <w:sz w:val="22"/>
          <w:szCs w:val="22"/>
          <w:color w:val="auto"/>
        </w:rPr>
      </w:pPr>
    </w:p>
    <w:p>
      <w:pPr>
        <w:ind w:left="860" w:right="219" w:firstLine="645"/>
        <w:spacing w:after="0" w:line="313" w:lineRule="auto"/>
        <w:tabs>
          <w:tab w:leader="none" w:pos="21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Substantial Cause</w:t>
      </w:r>
      <w:r>
        <w:rPr>
          <w:rFonts w:ascii="Times New Roman" w:cs="Times New Roman" w:eastAsia="Times New Roman" w:hAnsi="Times New Roman"/>
          <w:sz w:val="22"/>
          <w:szCs w:val="22"/>
          <w:color w:val="auto"/>
        </w:rPr>
        <w:t>,” with respect to a Participant, means the Participant’s commission of any one or more of the following:</w:t>
      </w:r>
    </w:p>
    <w:p>
      <w:pPr>
        <w:spacing w:after="0" w:line="154"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misconduct, usurpation of business opportunity or gross negligence related to the Company;</w:t>
      </w:r>
    </w:p>
    <w:p>
      <w:pPr>
        <w:spacing w:after="0" w:line="145"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engagement in dishonesty, illegal conduct, or gross misconduct, which is, in each case, materially injurious to the Company;</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embezzlement, misappropriation, or fraud, whether or not related to the Participant’s employment with the Company; or</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conviction of or plea of guilty or nolo contendere to a crime that constitutes a felony (or state law equivalent), if such felony is work-related or results in material reputational or financial harm to the Company.</w:t>
      </w:r>
    </w:p>
    <w:p>
      <w:pPr>
        <w:spacing w:after="0" w:line="174" w:lineRule="exact"/>
        <w:rPr>
          <w:sz w:val="20"/>
          <w:szCs w:val="20"/>
          <w:color w:val="auto"/>
        </w:rPr>
      </w:pPr>
    </w:p>
    <w:p>
      <w:pPr>
        <w:jc w:val="both"/>
        <w:ind w:left="1500" w:right="219"/>
        <w:spacing w:after="0" w:line="284" w:lineRule="auto"/>
        <w:rPr>
          <w:sz w:val="20"/>
          <w:szCs w:val="20"/>
          <w:color w:val="auto"/>
        </w:rPr>
      </w:pPr>
      <w:r>
        <w:rPr>
          <w:rFonts w:ascii="Times New Roman" w:cs="Times New Roman" w:eastAsia="Times New Roman" w:hAnsi="Times New Roman"/>
          <w:sz w:val="22"/>
          <w:szCs w:val="22"/>
          <w:color w:val="auto"/>
        </w:rPr>
        <w:t>For purposes of determining whether an action constitutes Substantial Cause, no act or failure to act on the part of a Participant shall be considered “willful” unless it is done, or omitted to be done, by the Participant in bad faith or without reasonable belief that the Participant’s action or omission was in the best interests of the Company. Any act, or failure to act, based on authority given pursuant to a resolution duly adopted by the Board or on the advice of counsel for the Company</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2" w:name="page93"/>
    <w:bookmarkEnd w:id="92"/>
    <w:p>
      <w:pPr>
        <w:ind w:left="1500" w:right="219"/>
        <w:spacing w:after="0" w:line="309" w:lineRule="auto"/>
        <w:rPr>
          <w:sz w:val="20"/>
          <w:szCs w:val="20"/>
          <w:color w:val="auto"/>
        </w:rPr>
      </w:pPr>
      <w:r>
        <w:rPr>
          <w:rFonts w:ascii="Times New Roman" w:cs="Times New Roman" w:eastAsia="Times New Roman" w:hAnsi="Times New Roman"/>
          <w:sz w:val="22"/>
          <w:szCs w:val="22"/>
          <w:color w:val="auto"/>
        </w:rPr>
        <w:t>shall be conclusively presumed to be done, or omitted to be done, by the Participant in good faith and in the best interests of the Company.</w:t>
      </w:r>
    </w:p>
    <w:p>
      <w:pPr>
        <w:spacing w:after="0" w:line="155" w:lineRule="exact"/>
        <w:rPr>
          <w:sz w:val="20"/>
          <w:szCs w:val="20"/>
          <w:color w:val="auto"/>
        </w:rPr>
      </w:pPr>
    </w:p>
    <w:p>
      <w:pPr>
        <w:jc w:val="both"/>
        <w:ind w:left="860" w:right="219" w:firstLine="645"/>
        <w:spacing w:after="0" w:line="297" w:lineRule="auto"/>
        <w:tabs>
          <w:tab w:leader="none" w:pos="21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Total Disability</w:t>
      </w:r>
      <w:r>
        <w:rPr>
          <w:rFonts w:ascii="Times New Roman" w:cs="Times New Roman" w:eastAsia="Times New Roman" w:hAnsi="Times New Roman"/>
          <w:sz w:val="22"/>
          <w:szCs w:val="22"/>
          <w:color w:val="auto"/>
        </w:rPr>
        <w:t>” of a Participant means the Participant meets any one of the following requirements, to the extent it qualifies as a disability within the meaning of Treas. Reg. §1.409A-3(i)(4), or any successor:</w:t>
      </w:r>
    </w:p>
    <w:p>
      <w:pPr>
        <w:spacing w:after="0" w:line="171" w:lineRule="exact"/>
        <w:rPr>
          <w:rFonts w:ascii="Times New Roman" w:cs="Times New Roman" w:eastAsia="Times New Roman" w:hAnsi="Times New Roman"/>
          <w:sz w:val="22"/>
          <w:szCs w:val="22"/>
          <w:color w:val="auto"/>
        </w:rPr>
      </w:pPr>
    </w:p>
    <w:p>
      <w:pPr>
        <w:jc w:val="both"/>
        <w:ind w:left="1500" w:right="219" w:firstLine="653"/>
        <w:spacing w:after="0" w:line="291"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unable to engage in any substantial gainful activity by reason of any medically determinable mental or physical impairment which can be expected to result in death or can be expected to last for a continuous period of at least 12 months;</w:t>
      </w:r>
    </w:p>
    <w:p>
      <w:pPr>
        <w:spacing w:after="0" w:line="177" w:lineRule="exact"/>
        <w:rPr>
          <w:rFonts w:ascii="Times New Roman" w:cs="Times New Roman" w:eastAsia="Times New Roman" w:hAnsi="Times New Roman"/>
          <w:sz w:val="22"/>
          <w:szCs w:val="22"/>
          <w:color w:val="auto"/>
        </w:rPr>
      </w:pPr>
    </w:p>
    <w:p>
      <w:pPr>
        <w:jc w:val="both"/>
        <w:ind w:left="1500" w:right="219" w:firstLine="653"/>
        <w:spacing w:after="0" w:line="285"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any medically determinable physical or mental impairment that can be expected to result in death or can be expected to last for a continuous period of not less than 12 months, receiving income replacement benefits for a period of not less than three months under a Company-sponsored disability plan;</w:t>
      </w:r>
    </w:p>
    <w:p>
      <w:pPr>
        <w:spacing w:after="0" w:line="185"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to be totally disabled by the certification of a physician or physicians selected by the Plan Administrator, unless the Plan Administrator determines that an examination is unnecessary; or</w:t>
      </w:r>
    </w:p>
    <w:p>
      <w:pPr>
        <w:spacing w:after="0" w:line="174" w:lineRule="exact"/>
        <w:rPr>
          <w:rFonts w:ascii="Times New Roman" w:cs="Times New Roman" w:eastAsia="Times New Roman" w:hAnsi="Times New Roman"/>
          <w:sz w:val="22"/>
          <w:szCs w:val="22"/>
          <w:color w:val="auto"/>
        </w:rPr>
      </w:pPr>
    </w:p>
    <w:p>
      <w:pPr>
        <w:ind w:left="1500" w:right="239" w:firstLine="653"/>
        <w:spacing w:after="0" w:line="309" w:lineRule="auto"/>
        <w:tabs>
          <w:tab w:leader="none" w:pos="279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to be totally disabled by the Social Security Administration.</w:t>
      </w:r>
    </w:p>
    <w:p>
      <w:pPr>
        <w:spacing w:after="0" w:line="154"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 Fund</w:t>
      </w:r>
      <w:r>
        <w:rPr>
          <w:rFonts w:ascii="Times New Roman" w:cs="Times New Roman" w:eastAsia="Times New Roman" w:hAnsi="Times New Roman"/>
          <w:sz w:val="22"/>
          <w:szCs w:val="22"/>
          <w:color w:val="auto"/>
        </w:rPr>
        <w:t>” means any assets held in trust pursuant to Article 6.</w:t>
      </w:r>
    </w:p>
    <w:p>
      <w:pPr>
        <w:spacing w:after="0" w:line="260" w:lineRule="exact"/>
        <w:rPr>
          <w:rFonts w:ascii="Times New Roman" w:cs="Times New Roman" w:eastAsia="Times New Roman" w:hAnsi="Times New Roman"/>
          <w:sz w:val="22"/>
          <w:szCs w:val="22"/>
          <w:color w:val="auto"/>
        </w:rPr>
      </w:pPr>
    </w:p>
    <w:p>
      <w:pPr>
        <w:ind w:left="860" w:right="239" w:firstLine="645"/>
        <w:spacing w:after="0" w:line="300" w:lineRule="auto"/>
        <w:tabs>
          <w:tab w:leader="none" w:pos="215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means the financial institution designated as trustee by the Company pursuant to Article 6.</w:t>
      </w:r>
    </w:p>
    <w:p>
      <w:pPr>
        <w:spacing w:after="0" w:line="164" w:lineRule="exact"/>
        <w:rPr>
          <w:sz w:val="20"/>
          <w:szCs w:val="20"/>
          <w:color w:val="auto"/>
        </w:rPr>
      </w:pPr>
    </w:p>
    <w:p>
      <w:pPr>
        <w:ind w:left="2160" w:hanging="655"/>
        <w:spacing w:after="0"/>
        <w:tabs>
          <w:tab w:leader="none" w:pos="21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UFP Stock</w:t>
      </w:r>
      <w:r>
        <w:rPr>
          <w:rFonts w:ascii="Times New Roman" w:cs="Times New Roman" w:eastAsia="Times New Roman" w:hAnsi="Times New Roman"/>
          <w:sz w:val="22"/>
          <w:szCs w:val="22"/>
          <w:color w:val="auto"/>
        </w:rPr>
        <w:t>” means shares of UFP Industries, Inc. Common Stock.</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3</w:t>
      </w:r>
    </w:p>
    <w:p>
      <w:pPr>
        <w:spacing w:after="0" w:line="6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Eligibility for Participation</w:t>
      </w:r>
    </w:p>
    <w:p>
      <w:pPr>
        <w:spacing w:after="0" w:line="156"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The Administrative Committee, with the approval of the Board, shall determine the Employees who are eligible to participate in the Plan. If the Administrative Committee selects an Employee to participate, the Employee will become a Participant on the effective date of participation designated by the Administrative Committee, but only if the Employee signs a participation agreement agreeing to the terms of the Plan.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3" w:name="page94"/>
    <w:bookmarkEnd w:id="93"/>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It is intended that participation be limited to Employees who will qualify as members of a “select group of management or other highly compensated employees” under Title I of ERISA. In general, the Employees who are eligible to participate are officers including the executive chairperson, regional directors of operations, directors of operations, operations managers, managing directors, segment and business unit directors, national sales directors, regional sales managers, plant managers, executive account managers, and past and present members of the President’s Club and CEO Club (as such groups are now or hereafter named and constituted) of the Company as well as select corporate directors, purchasing and transportation directors, purchasing managers, transportation operations and HUB managers, segment controllers, segment safety directors, the chief pilot, and senior managers of the Company.</w:t>
      </w:r>
    </w:p>
    <w:p>
      <w:pPr>
        <w:spacing w:after="0" w:line="84"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2"/>
          <w:szCs w:val="22"/>
          <w:color w:val="auto"/>
        </w:rPr>
        <w:t>The Employee shall acknowledge in the participation agreement that he is an unsecured creditor of the Company with regard to any benefits under the Plan and waive any right to a priority claim with regard to the benefits. The Employee may also be required to complete other forms as a condition for participation.</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Termination of Active Participation</w:t>
      </w:r>
    </w:p>
    <w:p>
      <w:pPr>
        <w:spacing w:after="0" w:line="156"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2"/>
          <w:szCs w:val="22"/>
          <w:color w:val="auto"/>
        </w:rPr>
        <w:t>An Employee’s active participation in the Plan shall be terminated (a) immediately upon the determination of the Administrative Committee, or (b) as of the end of the Plan Year immediately following the failure of an Employee to make a deferral election under Section 4.2 of the Plan for two (2) successive Plan Years beginning on or after the Plan Year commencing January 1, 2024. Upon termination of active participation, the Employee shall not have any additional amounts credited to his or her Account under Section 4.2, but amounts shall continue to be credited to a Participant’s Account under Section 4.3 until that Participant’s Account is distributed pursuant to Article 5. Any future, active participation under the Plan shall be determined by the Administrative Committee.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4</w:t>
      </w:r>
    </w:p>
    <w:p>
      <w:pPr>
        <w:spacing w:after="0" w:line="6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u w:val="single" w:color="auto"/>
          <w:color w:val="auto"/>
        </w:rPr>
        <w:t>Amounts Credited to Accounts</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Participant Accounts</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The Plan Administrator shall maintain an Account for each Participant to record the Participant’s benefits under the terms of the Plan. A Participant’s Account is for bookkeeping purposes only. The Company is not required to make contributions to the Trust Fund to fund the amounts credited to a Participant’s Account. A Participant’s Elective Deferrals shall be credited to his Account as soon as administratively feasible after the amounts otherwise would have been paid to the Participant.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4" w:name="page95"/>
    <w:bookmarkEnd w:id="94"/>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Elective Deferrals</w:t>
      </w:r>
    </w:p>
    <w:p>
      <w:pPr>
        <w:spacing w:after="0" w:line="156" w:lineRule="exact"/>
        <w:rPr>
          <w:sz w:val="20"/>
          <w:szCs w:val="20"/>
          <w:color w:val="auto"/>
        </w:rPr>
      </w:pPr>
    </w:p>
    <w:p>
      <w:pPr>
        <w:jc w:val="both"/>
        <w:ind w:left="860" w:right="219" w:firstLine="645"/>
        <w:spacing w:after="0" w:line="287" w:lineRule="auto"/>
        <w:tabs>
          <w:tab w:leader="none" w:pos="21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Election</w:t>
      </w:r>
      <w:r>
        <w:rPr>
          <w:rFonts w:ascii="Times New Roman" w:cs="Times New Roman" w:eastAsia="Times New Roman" w:hAnsi="Times New Roman"/>
          <w:sz w:val="22"/>
          <w:szCs w:val="22"/>
          <w:color w:val="auto"/>
        </w:rPr>
        <w:t>. An active participant may elect to defer compensation as provided in this Section. Deferral elections may be made only in writing, on a form provided or approved by the Administrative Committee. No deferral election will be effective unless received by the Administrative Committee before the end of the applicable election period. For the avoidance of doubt, any allowable election made “in writing” referenced in this Article 4, includes elections made electronically.</w:t>
      </w:r>
    </w:p>
    <w:p>
      <w:pPr>
        <w:spacing w:after="0" w:line="182" w:lineRule="exact"/>
        <w:rPr>
          <w:rFonts w:ascii="Times New Roman" w:cs="Times New Roman" w:eastAsia="Times New Roman" w:hAnsi="Times New Roman"/>
          <w:sz w:val="22"/>
          <w:szCs w:val="22"/>
          <w:color w:val="auto"/>
        </w:rPr>
      </w:pPr>
    </w:p>
    <w:p>
      <w:pPr>
        <w:jc w:val="both"/>
        <w:ind w:left="860" w:right="219" w:firstLine="645"/>
        <w:spacing w:after="0" w:line="283" w:lineRule="auto"/>
        <w:tabs>
          <w:tab w:leader="none" w:pos="21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Before the beginning of each calendar year, a Participant may make a written election to make Elective Deferrals equal to a specified dollar amount of the Participant’s Base Salary earned during that calendar year. If an Employee initially becomes a Participant during a calendar year, the Employee may make an election within 30 days after the Employee becomes a Participant to make Elective Deferrals from any Base Salary earned after the election is made. If a Participant does not make a new election for a calendar year, no amount shall be deferred from the Participant’s Base Salary for that calendar year. All Elective Deferrals of Base Salary shall be deducted in equal amounts from the Participant’s last paycheck of each month until the Participant has deferred the maximum annual amount described in subsection (d) below or the maximum annual amount elected by the Participant. Except as provided in subsection (e) or (f), a Participant’s election to make Elective Deferrals from Base Salary earned during a calendar year is irrevocable effective on the first date of the calendar year.</w:t>
      </w:r>
    </w:p>
    <w:p>
      <w:pPr>
        <w:spacing w:after="0" w:line="185" w:lineRule="exact"/>
        <w:rPr>
          <w:rFonts w:ascii="Times New Roman" w:cs="Times New Roman" w:eastAsia="Times New Roman" w:hAnsi="Times New Roman"/>
          <w:sz w:val="22"/>
          <w:szCs w:val="22"/>
          <w:color w:val="auto"/>
        </w:rPr>
      </w:pPr>
    </w:p>
    <w:p>
      <w:pPr>
        <w:jc w:val="both"/>
        <w:ind w:left="860" w:right="219" w:firstLine="645"/>
        <w:spacing w:after="0" w:line="284" w:lineRule="auto"/>
        <w:tabs>
          <w:tab w:leader="none" w:pos="21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No later than June 30 of each calendar year, a Participant may make a written election to make Elective Deferrals equal to a specified percentage or dollar amount of the Participant’s Bonus earned during that calendar year. If a Participant does not make a new election for a calendar year, no amount shall be deferred out of the Participant’s Bonus for that calendar year. Except as provided in subsection (e) or (f), a Participant’s election to make Elective Deferrals from Bonuses earned during a calendar year is irrevocable after June 30 of the calendar year.</w:t>
      </w:r>
    </w:p>
    <w:p>
      <w:pPr>
        <w:spacing w:after="0" w:line="185" w:lineRule="exact"/>
        <w:rPr>
          <w:rFonts w:ascii="Times New Roman" w:cs="Times New Roman" w:eastAsia="Times New Roman" w:hAnsi="Times New Roman"/>
          <w:sz w:val="22"/>
          <w:szCs w:val="22"/>
          <w:color w:val="auto"/>
        </w:rPr>
      </w:pPr>
    </w:p>
    <w:p>
      <w:pPr>
        <w:ind w:left="860" w:right="219" w:firstLine="645"/>
        <w:spacing w:after="0" w:line="309" w:lineRule="auto"/>
        <w:tabs>
          <w:tab w:leader="none" w:pos="215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Limits on Elective Deferrals</w:t>
      </w:r>
      <w:r>
        <w:rPr>
          <w:rFonts w:ascii="Times New Roman" w:cs="Times New Roman" w:eastAsia="Times New Roman" w:hAnsi="Times New Roman"/>
          <w:sz w:val="22"/>
          <w:szCs w:val="22"/>
          <w:color w:val="auto"/>
        </w:rPr>
        <w:t>. A Participant may defer up to the following amounts otherwise payable to the Participant each calendar year:</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$15,000 of Base Salary; and</w:t>
      </w:r>
    </w:p>
    <w:p>
      <w:pPr>
        <w:spacing w:after="0" w:line="260" w:lineRule="exact"/>
        <w:rPr>
          <w:rFonts w:ascii="Times New Roman" w:cs="Times New Roman" w:eastAsia="Times New Roman" w:hAnsi="Times New Roman"/>
          <w:sz w:val="22"/>
          <w:szCs w:val="22"/>
          <w:color w:val="auto"/>
        </w:rPr>
      </w:pPr>
    </w:p>
    <w:p>
      <w:pPr>
        <w:jc w:val="both"/>
        <w:ind w:left="1500" w:right="219" w:firstLine="653"/>
        <w:spacing w:after="0" w:line="285" w:lineRule="auto"/>
        <w:tabs>
          <w:tab w:leader="none" w:pos="279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Bonuses not to exceed $100,000 for the executive chairperson and other executive officers; $50,000 for other officers; $25,000 for directors of operations, regional directors of operations, operations managers, managing directors, regional sales managers, corporate directors, purchasing directors, transportation directors and operations managers, segment directors,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95" w:name="page96"/>
    <w:bookmarkEnd w:id="95"/>
    <w:p>
      <w:pPr>
        <w:ind w:left="1500" w:right="219"/>
        <w:spacing w:after="0" w:line="309" w:lineRule="auto"/>
        <w:rPr>
          <w:sz w:val="20"/>
          <w:szCs w:val="20"/>
          <w:color w:val="auto"/>
        </w:rPr>
      </w:pPr>
      <w:r>
        <w:rPr>
          <w:rFonts w:ascii="Times New Roman" w:cs="Times New Roman" w:eastAsia="Times New Roman" w:hAnsi="Times New Roman"/>
          <w:sz w:val="22"/>
          <w:szCs w:val="22"/>
          <w:color w:val="auto"/>
        </w:rPr>
        <w:t>business unit directors, national sales directors, segment controllers, and the chief pilot; and $10,000 for all other Participants.</w:t>
      </w:r>
    </w:p>
    <w:p>
      <w:pPr>
        <w:spacing w:after="0" w:line="159" w:lineRule="exact"/>
        <w:rPr>
          <w:sz w:val="20"/>
          <w:szCs w:val="20"/>
          <w:color w:val="auto"/>
        </w:rPr>
      </w:pPr>
    </w:p>
    <w:p>
      <w:pPr>
        <w:ind w:left="860" w:right="219"/>
        <w:spacing w:after="0" w:line="309" w:lineRule="auto"/>
        <w:rPr>
          <w:sz w:val="20"/>
          <w:szCs w:val="20"/>
          <w:color w:val="auto"/>
        </w:rPr>
      </w:pPr>
      <w:r>
        <w:rPr>
          <w:rFonts w:ascii="Times New Roman" w:cs="Times New Roman" w:eastAsia="Times New Roman" w:hAnsi="Times New Roman"/>
          <w:sz w:val="22"/>
          <w:szCs w:val="22"/>
          <w:color w:val="auto"/>
        </w:rPr>
        <w:t>The Plan Administrator may also periodically establish additional rules relating to a Participant’s Elective Deferrals (for example, a minimum amount permitted).</w:t>
      </w:r>
    </w:p>
    <w:p>
      <w:pPr>
        <w:spacing w:after="0" w:line="51" w:lineRule="exact"/>
        <w:rPr>
          <w:sz w:val="20"/>
          <w:szCs w:val="20"/>
          <w:color w:val="auto"/>
        </w:rPr>
      </w:pPr>
    </w:p>
    <w:p>
      <w:pPr>
        <w:jc w:val="both"/>
        <w:ind w:left="860" w:right="219" w:firstLine="645"/>
        <w:spacing w:after="0" w:line="288" w:lineRule="auto"/>
        <w:tabs>
          <w:tab w:leader="none" w:pos="21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After Hardship Withdrawal from Plan.</w:t>
      </w:r>
      <w:r>
        <w:rPr>
          <w:rFonts w:ascii="Times New Roman" w:cs="Times New Roman" w:eastAsia="Times New Roman" w:hAnsi="Times New Roman"/>
          <w:sz w:val="22"/>
          <w:szCs w:val="22"/>
          <w:color w:val="auto"/>
        </w:rPr>
        <w:t xml:space="preserve"> Despite any other provision, if a Participant receives a hardship withdrawal as a result of an unforeseeable emergency pursuant to Section 5.6, any Base Salary or Bonus deferral election previously made by the Participant shall be cancelled, until the Participant makes a new deferral election pursuant to this Section 4.2.</w:t>
      </w:r>
    </w:p>
    <w:p>
      <w:pPr>
        <w:spacing w:after="0" w:line="183" w:lineRule="exact"/>
        <w:rPr>
          <w:rFonts w:ascii="Times New Roman" w:cs="Times New Roman" w:eastAsia="Times New Roman" w:hAnsi="Times New Roman"/>
          <w:sz w:val="22"/>
          <w:szCs w:val="22"/>
          <w:color w:val="auto"/>
        </w:rPr>
      </w:pPr>
    </w:p>
    <w:p>
      <w:pPr>
        <w:jc w:val="both"/>
        <w:ind w:left="860" w:right="219" w:firstLine="645"/>
        <w:spacing w:after="0" w:line="289" w:lineRule="auto"/>
        <w:tabs>
          <w:tab w:leader="none" w:pos="215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In-Service Distributions</w:t>
      </w:r>
      <w:r>
        <w:rPr>
          <w:rFonts w:ascii="Times New Roman" w:cs="Times New Roman" w:eastAsia="Times New Roman" w:hAnsi="Times New Roman"/>
          <w:sz w:val="22"/>
          <w:szCs w:val="22"/>
          <w:color w:val="auto"/>
        </w:rPr>
        <w:t>. A Participant may irrevocably elect to receive an in-service distribution of the portion of any Bonus the Participant deferred during a calendar year (but not Base Salary deferrals or investment earnings) if—</w:t>
      </w:r>
    </w:p>
    <w:p>
      <w:pPr>
        <w:spacing w:after="0" w:line="179" w:lineRule="exact"/>
        <w:rPr>
          <w:rFonts w:ascii="Times New Roman" w:cs="Times New Roman" w:eastAsia="Times New Roman" w:hAnsi="Times New Roman"/>
          <w:sz w:val="22"/>
          <w:szCs w:val="22"/>
          <w:color w:val="auto"/>
        </w:rPr>
      </w:pPr>
    </w:p>
    <w:p>
      <w:pPr>
        <w:ind w:left="1500" w:right="219" w:firstLine="653"/>
        <w:spacing w:after="0" w:line="309" w:lineRule="auto"/>
        <w:tabs>
          <w:tab w:leader="none" w:pos="279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is made by the deadline for making a Bonus deferral election for a calendar year;</w:t>
      </w:r>
    </w:p>
    <w:p>
      <w:pPr>
        <w:spacing w:after="0" w:line="158" w:lineRule="exact"/>
        <w:rPr>
          <w:rFonts w:ascii="Times New Roman" w:cs="Times New Roman" w:eastAsia="Times New Roman" w:hAnsi="Times New Roman"/>
          <w:sz w:val="22"/>
          <w:szCs w:val="22"/>
          <w:color w:val="auto"/>
        </w:rPr>
      </w:pPr>
    </w:p>
    <w:p>
      <w:pPr>
        <w:ind w:left="1500" w:right="219" w:firstLine="653"/>
        <w:spacing w:after="0" w:line="335" w:lineRule="auto"/>
        <w:tabs>
          <w:tab w:leader="none" w:pos="279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election specifies a fixed payment date that is at least 12 months after the end of the calendar year during which the Bonus was deferred; and</w:t>
      </w:r>
    </w:p>
    <w:p>
      <w:pPr>
        <w:spacing w:after="0" w:line="135" w:lineRule="exact"/>
        <w:rPr>
          <w:rFonts w:ascii="Times New Roman" w:cs="Times New Roman" w:eastAsia="Times New Roman" w:hAnsi="Times New Roman"/>
          <w:sz w:val="21"/>
          <w:szCs w:val="21"/>
          <w:color w:val="auto"/>
        </w:rPr>
      </w:pPr>
    </w:p>
    <w:p>
      <w:pPr>
        <w:ind w:left="1500" w:right="219" w:firstLine="653"/>
        <w:spacing w:after="0" w:line="309" w:lineRule="auto"/>
        <w:tabs>
          <w:tab w:leader="none" w:pos="279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remains employed by the Company or a Related Employer until the elected payment date.</w:t>
      </w:r>
    </w:p>
    <w:p>
      <w:pPr>
        <w:spacing w:after="0" w:line="159" w:lineRule="exact"/>
        <w:rPr>
          <w:sz w:val="20"/>
          <w:szCs w:val="20"/>
          <w:color w:val="auto"/>
        </w:rPr>
      </w:pPr>
    </w:p>
    <w:p>
      <w:pPr>
        <w:jc w:val="both"/>
        <w:ind w:left="860" w:right="219"/>
        <w:spacing w:after="0" w:line="283" w:lineRule="auto"/>
        <w:rPr>
          <w:sz w:val="20"/>
          <w:szCs w:val="20"/>
          <w:color w:val="auto"/>
        </w:rPr>
      </w:pPr>
      <w:r>
        <w:rPr>
          <w:rFonts w:ascii="Times New Roman" w:cs="Times New Roman" w:eastAsia="Times New Roman" w:hAnsi="Times New Roman"/>
          <w:sz w:val="22"/>
          <w:szCs w:val="22"/>
          <w:color w:val="auto"/>
        </w:rPr>
        <w:t>If the Participant does not remain employed by the Company or a Related Employer under the elected payment date, the Participant's right to the portion of the Bonus for which the Participant elected to receive an in-service distribution shall be forfeited and cancelled. In the event the Participant is eligible to receive an in-service distribution pursuant to the terms of this subsection (f), the amount distributed will be the lesser of the amount of the Bonus the Participant elected to be paid as of the date it was deferred and the value of the Bonus on the date of distribution. To the extent a Participant’s Bonus deferral for a year is treated as invested in UFP Stock, the Participant’s Elective Deferrals from his or her Bonus will only be distributed in whole shares of UFP Stock, and any fractional shares shall not be distributed, but shall be retained in the Plan until the Participant’s Separation from Service. Except as provided in subsection (e), a Participant’s election to receive an in-service distribution pursuant to this subsection (f) is irrevocable effective after June 30 of the calendar year.</w:t>
      </w:r>
    </w:p>
    <w:p>
      <w:pPr>
        <w:spacing w:after="0" w:line="78" w:lineRule="exact"/>
        <w:rPr>
          <w:sz w:val="20"/>
          <w:szCs w:val="20"/>
          <w:color w:val="auto"/>
        </w:rPr>
      </w:pPr>
    </w:p>
    <w:p>
      <w:pPr>
        <w:jc w:val="both"/>
        <w:ind w:left="860" w:right="219" w:firstLine="645"/>
        <w:spacing w:after="0" w:line="304" w:lineRule="auto"/>
        <w:tabs>
          <w:tab w:leader="none" w:pos="215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Payroll Taxes.</w:t>
      </w:r>
      <w:r>
        <w:rPr>
          <w:rFonts w:ascii="Times New Roman" w:cs="Times New Roman" w:eastAsia="Times New Roman" w:hAnsi="Times New Roman"/>
          <w:sz w:val="21"/>
          <w:szCs w:val="21"/>
          <w:color w:val="auto"/>
        </w:rPr>
        <w:t xml:space="preserve"> Any payroll taxes the Company must withhold on a Participant’s Base Salary or Bonus deferrals (including any amount that must be withheld because of the discount on UFP Stock provided to Participants whose deferrals are treated as invested in UFP Stock for the year) will be withheld from the portion of the</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Page 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96" w:name="page97"/>
    <w:bookmarkEnd w:id="96"/>
    <w:p>
      <w:pPr>
        <w:ind w:left="860" w:right="219"/>
        <w:spacing w:after="0" w:line="309" w:lineRule="auto"/>
        <w:rPr>
          <w:sz w:val="20"/>
          <w:szCs w:val="20"/>
          <w:color w:val="auto"/>
        </w:rPr>
      </w:pPr>
      <w:r>
        <w:rPr>
          <w:rFonts w:ascii="Times New Roman" w:cs="Times New Roman" w:eastAsia="Times New Roman" w:hAnsi="Times New Roman"/>
          <w:sz w:val="22"/>
          <w:szCs w:val="22"/>
          <w:color w:val="auto"/>
        </w:rPr>
        <w:t>Participant’s Base Salary or Bonus that the Participant does not elect to defer before any amount is credited to the Participant’s Account.</w:t>
      </w:r>
    </w:p>
    <w:p>
      <w:pPr>
        <w:spacing w:after="0" w:line="15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Hypothetical Investments</w:t>
      </w:r>
    </w:p>
    <w:p>
      <w:pPr>
        <w:spacing w:after="0" w:line="156" w:lineRule="exact"/>
        <w:rPr>
          <w:sz w:val="20"/>
          <w:szCs w:val="20"/>
          <w:color w:val="auto"/>
        </w:rPr>
      </w:pPr>
    </w:p>
    <w:p>
      <w:pPr>
        <w:jc w:val="both"/>
        <w:ind w:left="860" w:right="219" w:firstLine="645"/>
        <w:spacing w:after="0" w:line="283" w:lineRule="auto"/>
        <w:tabs>
          <w:tab w:leader="none" w:pos="21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choose among different hypothetical investment funds made available by the Plan Administrator for purposes of determining hypothetical earnings, gains and losses credited to the Participant’s Account. The earnings, gains and losses for a Participant shall be determined as if the portion of the Participant’s Account which was deemed to be invested in the investment fund had actually been invested in the investment fund during the relevant time period. The Plan Administrator may add or remove hypothetical investment funds at any time. The Plan Administrator shall periodically establish administrative rules for a Participant to make and change his investment elections and rules regarding the crediting of Investment Results. Amounts shall be credited to a Participant’s Account under this Section until the Participant’s Account is completely distributed.</w:t>
      </w:r>
    </w:p>
    <w:p>
      <w:pPr>
        <w:spacing w:after="0" w:line="188" w:lineRule="exact"/>
        <w:rPr>
          <w:rFonts w:ascii="Times New Roman" w:cs="Times New Roman" w:eastAsia="Times New Roman" w:hAnsi="Times New Roman"/>
          <w:sz w:val="22"/>
          <w:szCs w:val="22"/>
          <w:color w:val="auto"/>
        </w:rPr>
      </w:pPr>
    </w:p>
    <w:p>
      <w:pPr>
        <w:jc w:val="both"/>
        <w:ind w:left="860" w:right="219" w:firstLine="645"/>
        <w:spacing w:after="0" w:line="295" w:lineRule="auto"/>
        <w:tabs>
          <w:tab w:leader="none" w:pos="21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under no obligation to make investments that correspond to the Participant’s investment elections, even though the Participant’s elections are used to determine the Participant’s Investment Results.</w:t>
      </w:r>
    </w:p>
    <w:p>
      <w:pPr>
        <w:spacing w:after="0" w:line="174" w:lineRule="exact"/>
        <w:rPr>
          <w:rFonts w:ascii="Times New Roman" w:cs="Times New Roman" w:eastAsia="Times New Roman" w:hAnsi="Times New Roman"/>
          <w:sz w:val="22"/>
          <w:szCs w:val="22"/>
          <w:color w:val="auto"/>
        </w:rPr>
      </w:pPr>
    </w:p>
    <w:p>
      <w:pPr>
        <w:jc w:val="both"/>
        <w:ind w:left="860" w:right="219" w:firstLine="645"/>
        <w:spacing w:after="0" w:line="284" w:lineRule="auto"/>
        <w:tabs>
          <w:tab w:leader="none" w:pos="21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 portion of a Participant’s Elective Deferrals for a calendar year are deemed to be invested in UFP Stock, the number of shares of UFP Stock credited to the Participant’s Account shall be increased to reflect a fifteen percent (15%) discount to market, determined based on the closing market price of UFP Stock on the day the amount would have been paid to the Participant if he or she had not elected to defer it. The number of shares credited to the Participant’s Account as a result of any deferral of Base Salary or Bonus shall equal:</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(x ÷ .85)</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z</w:t>
      </w:r>
    </w:p>
    <w:p>
      <w:pPr>
        <w:spacing w:after="0" w:line="251" w:lineRule="exact"/>
        <w:rPr>
          <w:sz w:val="20"/>
          <w:szCs w:val="20"/>
          <w:color w:val="auto"/>
        </w:rPr>
      </w:pPr>
    </w:p>
    <w:p>
      <w:pPr>
        <w:jc w:val="both"/>
        <w:ind w:left="860" w:right="219"/>
        <w:spacing w:after="0" w:line="288" w:lineRule="auto"/>
        <w:rPr>
          <w:sz w:val="20"/>
          <w:szCs w:val="20"/>
          <w:color w:val="auto"/>
        </w:rPr>
      </w:pPr>
      <w:r>
        <w:rPr>
          <w:rFonts w:ascii="Times New Roman" w:cs="Times New Roman" w:eastAsia="Times New Roman" w:hAnsi="Times New Roman"/>
          <w:sz w:val="22"/>
          <w:szCs w:val="22"/>
          <w:color w:val="auto"/>
        </w:rPr>
        <w:t>where x equals the amount the Participant defers and z equals the closing market price of UFP Stock on the day the amount would have been paid to the Participant if he had not elected to defer it. Elective Deferrals that are treated as being invested in UFP Stock shall continue to be treated as invested in UFP Stock until the Elective Deferrals are distributed to the Participant.</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Required Investments in UFP Stock</w:t>
      </w:r>
    </w:p>
    <w:p>
      <w:pPr>
        <w:spacing w:after="0" w:line="156" w:lineRule="exact"/>
        <w:rPr>
          <w:sz w:val="20"/>
          <w:szCs w:val="20"/>
          <w:color w:val="auto"/>
        </w:rPr>
      </w:pPr>
    </w:p>
    <w:p>
      <w:pPr>
        <w:ind w:left="860" w:right="219" w:firstLine="645"/>
        <w:spacing w:after="0" w:line="309" w:lineRule="auto"/>
        <w:tabs>
          <w:tab w:leader="none" w:pos="21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Elective Deferrals from Base Salary for any calendar year will be deemed to be invested in UFP Stock unless: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7" w:name="page98"/>
    <w:bookmarkEnd w:id="97"/>
    <w:p>
      <w:pPr>
        <w:jc w:val="both"/>
        <w:ind w:left="1500" w:right="219" w:firstLine="653"/>
        <w:spacing w:after="0" w:line="287" w:lineRule="auto"/>
        <w:tabs>
          <w:tab w:leader="none" w:pos="27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less than five Years of Service with the Company as of the December 31 immediately preceding the first day of the calendar year, the Participant owns UFP Stock with a market value as of the preceding September 30 of at least one times the Participant’s annualized box 1 W-2 compensation for the second calendar year preceding the calendar year for which the Elective Deferrals are being made;</w:t>
      </w:r>
    </w:p>
    <w:p>
      <w:pPr>
        <w:spacing w:after="0" w:line="182" w:lineRule="exact"/>
        <w:rPr>
          <w:rFonts w:ascii="Times New Roman" w:cs="Times New Roman" w:eastAsia="Times New Roman" w:hAnsi="Times New Roman"/>
          <w:sz w:val="22"/>
          <w:szCs w:val="22"/>
          <w:color w:val="auto"/>
        </w:rPr>
      </w:pPr>
    </w:p>
    <w:p>
      <w:pPr>
        <w:jc w:val="both"/>
        <w:ind w:left="1500" w:right="219" w:firstLine="653"/>
        <w:spacing w:after="0" w:line="284" w:lineRule="auto"/>
        <w:tabs>
          <w:tab w:leader="none" w:pos="27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at least five but less ten Years of Service with the Company as of the December 31 immediately preceding the first day of the calendar year, the Participant owns UFP Stock with a market value as of the preceding September 30 of at least two times the Participant’s annualized box 1 W-2 compensation for the second calendar year preceding the calendar year for which the Elective Deferrals are being made; or</w:t>
      </w:r>
    </w:p>
    <w:p>
      <w:pPr>
        <w:spacing w:after="0" w:line="188" w:lineRule="exact"/>
        <w:rPr>
          <w:rFonts w:ascii="Times New Roman" w:cs="Times New Roman" w:eastAsia="Times New Roman" w:hAnsi="Times New Roman"/>
          <w:sz w:val="22"/>
          <w:szCs w:val="22"/>
          <w:color w:val="auto"/>
        </w:rPr>
      </w:pPr>
    </w:p>
    <w:p>
      <w:pPr>
        <w:jc w:val="both"/>
        <w:ind w:left="1500" w:right="219" w:firstLine="653"/>
        <w:spacing w:after="0" w:line="287" w:lineRule="auto"/>
        <w:tabs>
          <w:tab w:leader="none" w:pos="279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ten or more Years of Service with the Company as of the December 31 immediately preceding the first day of the calendar year, the Participant owns UFP Stock with a market value as of the preceding September 30 of at least three times the Participant’s annualized box 1 W-2 compensation for the second calendar year preceding the calendar year for which the Elective Deferrals are being made.</w:t>
      </w:r>
    </w:p>
    <w:p>
      <w:pPr>
        <w:spacing w:after="0" w:line="183" w:lineRule="exact"/>
        <w:rPr>
          <w:sz w:val="20"/>
          <w:szCs w:val="20"/>
          <w:color w:val="auto"/>
        </w:rPr>
      </w:pPr>
    </w:p>
    <w:p>
      <w:pPr>
        <w:jc w:val="both"/>
        <w:ind w:left="860" w:right="219"/>
        <w:spacing w:after="0" w:line="285" w:lineRule="auto"/>
        <w:rPr>
          <w:sz w:val="20"/>
          <w:szCs w:val="20"/>
          <w:color w:val="auto"/>
        </w:rPr>
      </w:pPr>
      <w:r>
        <w:rPr>
          <w:rFonts w:ascii="Times New Roman" w:cs="Times New Roman" w:eastAsia="Times New Roman" w:hAnsi="Times New Roman"/>
          <w:sz w:val="22"/>
          <w:szCs w:val="22"/>
          <w:color w:val="auto"/>
        </w:rPr>
        <w:t>For purposes of this subsection, if a Participant’s box 1 W-2 compensation for any calendar year is for work performed for less than a 12-month period, the Participant’s box 1 W-2 compensation for the calendar year shall be annualized by multiplying his box 1 W-2 compensation by 12 and dividing it by the number of full and partial months he worked during the year.</w:t>
      </w:r>
    </w:p>
    <w:p>
      <w:pPr>
        <w:spacing w:after="0" w:line="77" w:lineRule="exact"/>
        <w:rPr>
          <w:sz w:val="20"/>
          <w:szCs w:val="20"/>
          <w:color w:val="auto"/>
        </w:rPr>
      </w:pPr>
    </w:p>
    <w:p>
      <w:pPr>
        <w:jc w:val="both"/>
        <w:ind w:left="860" w:right="219" w:firstLine="645"/>
        <w:spacing w:after="0" w:line="291" w:lineRule="auto"/>
        <w:tabs>
          <w:tab w:leader="none" w:pos="21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requirement detailed in subsection (a) above is met as of the December 31 of the preceding calendar year, the Participant may direct that his Elective Deferrals from Base Salary for the calendar year be credited with earnings or losses based on any investment option available under the Plan.</w:t>
      </w:r>
    </w:p>
    <w:p>
      <w:pPr>
        <w:spacing w:after="0" w:line="177" w:lineRule="exact"/>
        <w:rPr>
          <w:rFonts w:ascii="Times New Roman" w:cs="Times New Roman" w:eastAsia="Times New Roman" w:hAnsi="Times New Roman"/>
          <w:sz w:val="22"/>
          <w:szCs w:val="22"/>
          <w:color w:val="auto"/>
        </w:rPr>
      </w:pPr>
    </w:p>
    <w:p>
      <w:pPr>
        <w:ind w:left="860" w:right="219" w:firstLine="645"/>
        <w:spacing w:after="0" w:line="309" w:lineRule="auto"/>
        <w:tabs>
          <w:tab w:leader="none" w:pos="215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Elective Deferrals from Bonuses for a calendar year will be deemed to be invested in UFP Stock unless:</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84" w:lineRule="auto"/>
        <w:tabs>
          <w:tab w:leader="none" w:pos="27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less than five Years of Service with the Company as of the December 31 preceding the June 30 by which the election must be made, the Participant owns UFP Stock with a market value as of the preceding April 30 of at least one (1) times the Participant’s annualized box 1 W-2 compensation for the calendar year preceding the calendar year for which the Elective Deferral from his Bonus is made.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8" w:name="page99"/>
    <w:bookmarkEnd w:id="98"/>
    <w:p>
      <w:pPr>
        <w:jc w:val="both"/>
        <w:ind w:left="1500" w:right="219" w:firstLine="653"/>
        <w:spacing w:after="0" w:line="287" w:lineRule="auto"/>
        <w:tabs>
          <w:tab w:leader="none" w:pos="27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at least five but less than ten Years of Service with the Company as of the December 31 preceding the June 30 by which the election must be made, the Participant owns UFP Stock with a market value as of the preceding April 30 of at least two (2) times the Participant’s annualized box 1 W-2 compensation for the calendar year preceding the calendar year for which the Elective Deferral from his Bonus is made; or</w:t>
      </w:r>
    </w:p>
    <w:p>
      <w:pPr>
        <w:spacing w:after="0" w:line="182" w:lineRule="exact"/>
        <w:rPr>
          <w:rFonts w:ascii="Times New Roman" w:cs="Times New Roman" w:eastAsia="Times New Roman" w:hAnsi="Times New Roman"/>
          <w:sz w:val="22"/>
          <w:szCs w:val="22"/>
          <w:color w:val="auto"/>
        </w:rPr>
      </w:pPr>
    </w:p>
    <w:p>
      <w:pPr>
        <w:jc w:val="both"/>
        <w:ind w:left="1500" w:right="219" w:firstLine="653"/>
        <w:spacing w:after="0" w:line="284" w:lineRule="auto"/>
        <w:tabs>
          <w:tab w:leader="none" w:pos="279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has ten or more Years of Service with the Company as of the December 31 preceding the date by which the election must be made, the Participant owns UFP Stock with a market value as of preceding April 30 of at least three (3) times the Participant’s annualized box 1 W-2 compensation for the calendar year preceding the calendar year for which the Elective Deferral from his Bonus is made.</w:t>
      </w:r>
    </w:p>
    <w:p>
      <w:pPr>
        <w:spacing w:after="0" w:line="188" w:lineRule="exact"/>
        <w:rPr>
          <w:sz w:val="20"/>
          <w:szCs w:val="20"/>
          <w:color w:val="auto"/>
        </w:rPr>
      </w:pPr>
    </w:p>
    <w:p>
      <w:pPr>
        <w:jc w:val="both"/>
        <w:ind w:left="860" w:right="219"/>
        <w:spacing w:after="0" w:line="288" w:lineRule="auto"/>
        <w:rPr>
          <w:sz w:val="20"/>
          <w:szCs w:val="20"/>
          <w:color w:val="auto"/>
        </w:rPr>
      </w:pPr>
      <w:r>
        <w:rPr>
          <w:rFonts w:ascii="Times New Roman" w:cs="Times New Roman" w:eastAsia="Times New Roman" w:hAnsi="Times New Roman"/>
          <w:sz w:val="22"/>
          <w:szCs w:val="22"/>
          <w:color w:val="auto"/>
        </w:rPr>
        <w:t>For purposes of this subsection, if a Participant’s box 1 W-2 compensation for any calendar year is for work performed for less than a 12-month period, the Participant’s box 1 W-2 compensation for the calendar year shall be annualized by multiplying his box 1 W-2 compensation by 12 and dividing it by the number of full and partial months he worked during the year.</w:t>
      </w:r>
    </w:p>
    <w:p>
      <w:pPr>
        <w:spacing w:after="0" w:line="75" w:lineRule="exact"/>
        <w:rPr>
          <w:sz w:val="20"/>
          <w:szCs w:val="20"/>
          <w:color w:val="auto"/>
        </w:rPr>
      </w:pPr>
    </w:p>
    <w:p>
      <w:pPr>
        <w:jc w:val="both"/>
        <w:ind w:left="860" w:right="219" w:firstLine="645"/>
        <w:spacing w:after="0" w:line="291" w:lineRule="auto"/>
        <w:tabs>
          <w:tab w:leader="none" w:pos="215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requirement detailed in subsection (c) above is met as of the June 30 by which the Participant’s Bonus deferral election must be made, the Participant may direct that his Elective Deferrals from his Bonus for the calendar year be credited with earnings or losses based on any investment option available under the Plan.</w:t>
      </w:r>
    </w:p>
    <w:p>
      <w:pPr>
        <w:spacing w:after="0" w:line="163" w:lineRule="exact"/>
        <w:rPr>
          <w:rFonts w:ascii="Times New Roman" w:cs="Times New Roman" w:eastAsia="Times New Roman" w:hAnsi="Times New Roman"/>
          <w:sz w:val="22"/>
          <w:szCs w:val="22"/>
          <w:color w:val="auto"/>
        </w:rPr>
      </w:pPr>
    </w:p>
    <w:p>
      <w:pPr>
        <w:jc w:val="both"/>
        <w:ind w:left="860" w:right="219" w:firstLine="645"/>
        <w:spacing w:after="0" w:line="300" w:lineRule="auto"/>
        <w:tabs>
          <w:tab w:leader="none" w:pos="215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example, if a Participant who has completed three Years of Service with the Company as of December 31, 2019 defers $10,000 of his Base Salary for 2020, his Elective Deferrals from his Base Salary will be invested in UFP Stock unless he owns UFP Stock with a market value as of September 30, 2019 equal to his 2018 compensation as reported in box 1 of his 2018 W-2 (assuming he worked for the Company for all of 2018). If the Participant elects to defer all or any portion of his 2020 Bonus that is payable in 2021, his Elective Deferrals from his Bonus will be invested in UFP Stock unless he owns UFP Stock with a market value as of April 30, 2020 equal to his 2019 compensation as reported in box 1 of his 2019 W-2 (assuming he worked for the Company for all of 2019).</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u w:val="single" w:color="auto"/>
          <w:color w:val="auto"/>
        </w:rPr>
        <w:t>Vesting</w:t>
      </w:r>
    </w:p>
    <w:p>
      <w:pPr>
        <w:spacing w:after="0" w:line="156" w:lineRule="exact"/>
        <w:rPr>
          <w:sz w:val="20"/>
          <w:szCs w:val="20"/>
          <w:color w:val="auto"/>
        </w:rPr>
      </w:pPr>
    </w:p>
    <w:p>
      <w:pPr>
        <w:ind w:left="200" w:right="219" w:firstLine="648"/>
        <w:spacing w:after="0" w:line="296" w:lineRule="auto"/>
        <w:rPr>
          <w:sz w:val="20"/>
          <w:szCs w:val="20"/>
          <w:color w:val="auto"/>
        </w:rPr>
      </w:pPr>
      <w:r>
        <w:rPr>
          <w:rFonts w:ascii="Times New Roman" w:cs="Times New Roman" w:eastAsia="Times New Roman" w:hAnsi="Times New Roman"/>
          <w:sz w:val="22"/>
          <w:szCs w:val="22"/>
          <w:color w:val="auto"/>
        </w:rPr>
        <w:t>Except as provided in Sections 4.6 and 5.3, all amounts credited to a Participant’s Account are always 100% vested.</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u w:val="single" w:color="auto"/>
          <w:color w:val="auto"/>
        </w:rPr>
        <w:t>Forfeiture</w:t>
      </w:r>
    </w:p>
    <w:p>
      <w:pPr>
        <w:spacing w:after="0" w:line="156" w:lineRule="exact"/>
        <w:rPr>
          <w:sz w:val="20"/>
          <w:szCs w:val="20"/>
          <w:color w:val="auto"/>
        </w:rPr>
      </w:pPr>
    </w:p>
    <w:p>
      <w:pPr>
        <w:ind w:left="200" w:right="219" w:firstLine="648"/>
        <w:spacing w:after="0" w:line="335" w:lineRule="auto"/>
        <w:rPr>
          <w:sz w:val="20"/>
          <w:szCs w:val="20"/>
          <w:color w:val="auto"/>
        </w:rPr>
      </w:pPr>
      <w:r>
        <w:rPr>
          <w:rFonts w:ascii="Times New Roman" w:cs="Times New Roman" w:eastAsia="Times New Roman" w:hAnsi="Times New Roman"/>
          <w:sz w:val="21"/>
          <w:szCs w:val="21"/>
          <w:color w:val="auto"/>
        </w:rPr>
        <w:t>If a Participant’s employment is terminated by the Company in connection with Substantial Cause, or if the Company determines that Substantial Cause exists with respect to a Participant at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12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9" w:name="page100"/>
    <w:bookmarkEnd w:id="99"/>
    <w:p>
      <w:pPr>
        <w:jc w:val="both"/>
        <w:ind w:left="200" w:right="219"/>
        <w:spacing w:after="0" w:line="287" w:lineRule="auto"/>
        <w:rPr>
          <w:sz w:val="20"/>
          <w:szCs w:val="20"/>
          <w:color w:val="auto"/>
        </w:rPr>
      </w:pPr>
      <w:r>
        <w:rPr>
          <w:rFonts w:ascii="Times New Roman" w:cs="Times New Roman" w:eastAsia="Times New Roman" w:hAnsi="Times New Roman"/>
          <w:sz w:val="22"/>
          <w:szCs w:val="22"/>
          <w:color w:val="auto"/>
        </w:rPr>
        <w:t>any time prior to payment of the Participant’s benefits from the Plan pursuant to Section 5.3, then the Participant’s Account balance under the Plan shall be reduced by the lesser of (i) the amount of material harm or damages incurred by the Company as a result of the Substantial Cause, including but not limited to any costs related to investigation or prosecution of the Substantial Cause, all as determined in the sole discretion of the Administrative Committee, or (ii) the full balance of the Participant’s Account at the time of the Substantial Cause.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5</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 of Benefits</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Distributable Events</w:t>
      </w:r>
    </w:p>
    <w:p>
      <w:pPr>
        <w:spacing w:after="0" w:line="156" w:lineRule="exact"/>
        <w:rPr>
          <w:sz w:val="20"/>
          <w:szCs w:val="20"/>
          <w:color w:val="auto"/>
        </w:rPr>
      </w:pPr>
    </w:p>
    <w:p>
      <w:pPr>
        <w:jc w:val="both"/>
        <w:ind w:left="200" w:right="239" w:firstLine="648"/>
        <w:spacing w:after="0" w:line="309" w:lineRule="auto"/>
        <w:rPr>
          <w:sz w:val="20"/>
          <w:szCs w:val="20"/>
          <w:color w:val="auto"/>
        </w:rPr>
      </w:pPr>
      <w:r>
        <w:rPr>
          <w:rFonts w:ascii="Times New Roman" w:cs="Times New Roman" w:eastAsia="Times New Roman" w:hAnsi="Times New Roman"/>
          <w:sz w:val="22"/>
          <w:szCs w:val="22"/>
          <w:color w:val="auto"/>
        </w:rPr>
        <w:t>A Participant shall have a Distributable Event for purposes of the Plan on the date the first of the following events occurs:</w:t>
      </w:r>
    </w:p>
    <w:p>
      <w:pPr>
        <w:spacing w:after="0" w:line="51" w:lineRule="exact"/>
        <w:rPr>
          <w:sz w:val="20"/>
          <w:szCs w:val="20"/>
          <w:color w:val="auto"/>
        </w:rPr>
      </w:pPr>
    </w:p>
    <w:p>
      <w:pPr>
        <w:ind w:left="2160" w:hanging="655"/>
        <w:spacing w:after="0"/>
        <w:tabs>
          <w:tab w:leader="none" w:pos="21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Separation from Service;</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dies while employed by the Company;</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incurs a Total Disability while employed by the Company;</w:t>
      </w:r>
    </w:p>
    <w:p>
      <w:pPr>
        <w:spacing w:after="0" w:line="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or</w:t>
      </w:r>
    </w:p>
    <w:p>
      <w:pPr>
        <w:spacing w:after="0" w:line="260" w:lineRule="exact"/>
        <w:rPr>
          <w:sz w:val="20"/>
          <w:szCs w:val="20"/>
          <w:color w:val="auto"/>
        </w:rPr>
      </w:pPr>
    </w:p>
    <w:p>
      <w:pPr>
        <w:ind w:left="2160" w:hanging="655"/>
        <w:spacing w:after="0"/>
        <w:tabs>
          <w:tab w:leader="none" w:pos="21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occurs.</w:t>
      </w:r>
    </w:p>
    <w:p>
      <w:pPr>
        <w:spacing w:after="0" w:line="25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Amount of Benefits</w:t>
      </w:r>
    </w:p>
    <w:p>
      <w:pPr>
        <w:spacing w:after="0" w:line="143"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A Participant’s benefits under the Plan shall be equal to the amount credited to the Participant’s Account on a date determined by the Company that is no more than one month prior to the date the amount is distributed to the Participant.</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Time of Payment</w:t>
      </w:r>
    </w:p>
    <w:p>
      <w:pPr>
        <w:spacing w:after="0" w:line="156" w:lineRule="exact"/>
        <w:rPr>
          <w:sz w:val="20"/>
          <w:szCs w:val="20"/>
          <w:color w:val="auto"/>
        </w:rPr>
      </w:pPr>
    </w:p>
    <w:p>
      <w:pPr>
        <w:ind w:left="860" w:right="219" w:firstLine="645"/>
        <w:spacing w:after="0" w:line="309" w:lineRule="auto"/>
        <w:tabs>
          <w:tab w:leader="none" w:pos="215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benefits from the Plan triggered by the occurrence of a Distributable Event shall be paid in a single lump sum payment due at the following time:</w:t>
      </w:r>
    </w:p>
    <w:p>
      <w:pPr>
        <w:spacing w:after="0" w:line="158" w:lineRule="exact"/>
        <w:rPr>
          <w:rFonts w:ascii="Times New Roman" w:cs="Times New Roman" w:eastAsia="Times New Roman" w:hAnsi="Times New Roman"/>
          <w:sz w:val="22"/>
          <w:szCs w:val="22"/>
          <w:color w:val="auto"/>
        </w:rPr>
      </w:pPr>
    </w:p>
    <w:p>
      <w:pPr>
        <w:jc w:val="both"/>
        <w:ind w:left="1500" w:right="219" w:firstLine="653"/>
        <w:spacing w:after="0" w:line="295" w:lineRule="auto"/>
        <w:tabs>
          <w:tab w:leader="none" w:pos="279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Distributable Event is the Participant’s Separation from Service before age 55, benefits shall be paid on the first anniversary of the Separation from Service; and</w:t>
      </w:r>
    </w:p>
    <w:p>
      <w:pPr>
        <w:spacing w:after="0" w:line="174" w:lineRule="exact"/>
        <w:rPr>
          <w:rFonts w:ascii="Times New Roman" w:cs="Times New Roman" w:eastAsia="Times New Roman" w:hAnsi="Times New Roman"/>
          <w:sz w:val="22"/>
          <w:szCs w:val="22"/>
          <w:color w:val="auto"/>
        </w:rPr>
      </w:pPr>
    </w:p>
    <w:p>
      <w:pPr>
        <w:jc w:val="both"/>
        <w:ind w:left="1500" w:right="219" w:firstLine="653"/>
        <w:spacing w:after="0" w:line="289" w:lineRule="auto"/>
        <w:tabs>
          <w:tab w:leader="none" w:pos="279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Distributable Event is the Participant’s death, Total Disability, Separation from Service after age 55, or Change in Control, benefits shall be paid 60 days after the Participant’s Distributable Event occurs.</w:t>
      </w:r>
    </w:p>
    <w:p>
      <w:pPr>
        <w:spacing w:after="0" w:line="179" w:lineRule="exact"/>
        <w:rPr>
          <w:rFonts w:ascii="Times New Roman" w:cs="Times New Roman" w:eastAsia="Times New Roman" w:hAnsi="Times New Roman"/>
          <w:sz w:val="22"/>
          <w:szCs w:val="22"/>
          <w:color w:val="auto"/>
        </w:rPr>
      </w:pPr>
    </w:p>
    <w:p>
      <w:pPr>
        <w:ind w:left="860" w:right="219" w:firstLine="645"/>
        <w:spacing w:after="0" w:line="309" w:lineRule="auto"/>
        <w:tabs>
          <w:tab w:leader="none" w:pos="215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above, if the Participant is a Key Employee and the Distributable Event is the Participant’s Separation from Service, distribution shall</w:t>
      </w:r>
    </w:p>
    <w:p>
      <w:pPr>
        <w:sectPr>
          <w:pgSz w:w="11900" w:h="16838" w:orient="portrait"/>
          <w:cols w:equalWidth="0" w:num="1">
            <w:col w:w="9019"/>
          </w:cols>
          <w:pgMar w:left="1440" w:top="909"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Page 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433070</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type w:val="continuous"/>
        </w:sectPr>
      </w:pPr>
    </w:p>
    <w:bookmarkStart w:id="100" w:name="page101"/>
    <w:bookmarkEnd w:id="100"/>
    <w:p>
      <w:pPr>
        <w:ind w:left="860" w:right="219"/>
        <w:spacing w:after="0" w:line="309" w:lineRule="auto"/>
        <w:rPr>
          <w:sz w:val="20"/>
          <w:szCs w:val="20"/>
          <w:color w:val="auto"/>
        </w:rPr>
      </w:pPr>
      <w:r>
        <w:rPr>
          <w:rFonts w:ascii="Times New Roman" w:cs="Times New Roman" w:eastAsia="Times New Roman" w:hAnsi="Times New Roman"/>
          <w:sz w:val="22"/>
          <w:szCs w:val="22"/>
          <w:color w:val="auto"/>
        </w:rPr>
        <w:t>be delayed until the six-month anniversary of the date of the Participant’s Separation from Service, unless the Participant dies prior to the end of the six-month period.</w:t>
      </w:r>
    </w:p>
    <w:p>
      <w:pPr>
        <w:spacing w:after="0" w:line="159" w:lineRule="exact"/>
        <w:rPr>
          <w:sz w:val="20"/>
          <w:szCs w:val="20"/>
          <w:color w:val="auto"/>
        </w:rPr>
      </w:pPr>
    </w:p>
    <w:p>
      <w:pPr>
        <w:jc w:val="both"/>
        <w:ind w:left="860" w:right="219" w:firstLine="645"/>
        <w:spacing w:after="0" w:line="287" w:lineRule="auto"/>
        <w:tabs>
          <w:tab w:leader="none" w:pos="215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Participant’s employment with the Company or the twelve-month period following his Separation from Service, the Participant violates any confidentiality agreement, intellectual property agreement or non-competition agreement with the Company or any Related Employer in effect while the Participant is employed by the Company or a Related Employer or at the time of the Separation from Service, the Participant’s Account shall be reduced to reflect the value that is the lesser of:</w:t>
      </w:r>
    </w:p>
    <w:p>
      <w:pPr>
        <w:spacing w:after="0" w:line="182"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Account value on the date of Separation from Service; or</w:t>
      </w:r>
    </w:p>
    <w:p>
      <w:pPr>
        <w:spacing w:after="0" w:line="271" w:lineRule="exact"/>
        <w:rPr>
          <w:rFonts w:ascii="Times New Roman" w:cs="Times New Roman" w:eastAsia="Times New Roman" w:hAnsi="Times New Roman"/>
          <w:sz w:val="21"/>
          <w:szCs w:val="21"/>
          <w:color w:val="auto"/>
        </w:rPr>
      </w:pPr>
    </w:p>
    <w:p>
      <w:pPr>
        <w:jc w:val="both"/>
        <w:ind w:left="1500" w:right="219" w:firstLine="653"/>
        <w:spacing w:after="0" w:line="286" w:lineRule="auto"/>
        <w:tabs>
          <w:tab w:leader="none" w:pos="279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the Account would have been on the date of Separation from Service if it had been credited with an earnings rate of 0% from the time the Elective Deferrals were initially credited to the Account and no discount had been available for deemed investments in UFP Stock.</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Form of Payment</w:t>
      </w:r>
    </w:p>
    <w:p>
      <w:pPr>
        <w:spacing w:after="0" w:line="156"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A Participant’s benefits from the Plan shall be distributed in cash, except all amounts treated as invested in UFP Stock shall be distributed in the form of certificates for whole shares of UFP Stock and any fractional shares shall be withheld to cover taxes. In addition, no fractional shares shall be paid pursuant to any in-service distribution election made under Section 4.2(f).</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Beneficiary Designations</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“Beneficiary” means the beneficiary designated in writing by the Participant to receive benefits from the Plan in the event of the Participant’s death. The Beneficiary shall be designated on a form provided by the Plan Administrator, and the Participant may change the Beneficiary designation at any time by signing and delivering a new form to the Plan Administrator. A beneficiary designation will become effective upon receipt by the Plan Administrator, but only if received before the Participant’s death.</w:t>
      </w:r>
    </w:p>
    <w:p>
      <w:pPr>
        <w:spacing w:after="0" w:line="80"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A trust may be designated as a Beneficiary. If this occurs, the Plan Administrator will determine the rights of any trustee designated as a Beneficiary without responsibility for determining the validity, existence or provisions of that trust, and will have no responsibility for the use of amounts paid to that trustee or for the discharge of the trust.</w:t>
      </w:r>
    </w:p>
    <w:p>
      <w:pPr>
        <w:spacing w:after="0" w:line="69" w:lineRule="exact"/>
        <w:rPr>
          <w:sz w:val="20"/>
          <w:szCs w:val="20"/>
          <w:color w:val="auto"/>
        </w:rPr>
      </w:pPr>
    </w:p>
    <w:p>
      <w:pPr>
        <w:jc w:val="both"/>
        <w:ind w:left="200" w:right="239" w:firstLine="648"/>
        <w:spacing w:after="0" w:line="295" w:lineRule="auto"/>
        <w:rPr>
          <w:sz w:val="20"/>
          <w:szCs w:val="20"/>
          <w:color w:val="auto"/>
        </w:rPr>
      </w:pPr>
      <w:r>
        <w:rPr>
          <w:rFonts w:ascii="Times New Roman" w:cs="Times New Roman" w:eastAsia="Times New Roman" w:hAnsi="Times New Roman"/>
          <w:sz w:val="22"/>
          <w:szCs w:val="22"/>
          <w:color w:val="auto"/>
        </w:rPr>
        <w:t>If a Participant designates the Participant’s Spouse as Beneficiary and the Participant and Spouse are subsequently divorced, the judgment of divorce will be considered to revoke the prior Beneficiary designation of the Spouse.</w:t>
      </w:r>
    </w:p>
    <w:p>
      <w:pPr>
        <w:spacing w:after="0" w:line="53"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The rules of this paragraph apply unless provided otherwise in a Participant’s Beneficiary designation form. If a Participant designates one primary Beneficiary and the Beneficiary dies after the Participant but before benefit payments are completed, any remaining benefits will be</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1" w:name="page102"/>
    <w:bookmarkEnd w:id="101"/>
    <w:p>
      <w:pPr>
        <w:jc w:val="both"/>
        <w:ind w:left="200" w:right="219"/>
        <w:spacing w:after="0" w:line="286" w:lineRule="auto"/>
        <w:rPr>
          <w:sz w:val="20"/>
          <w:szCs w:val="20"/>
          <w:color w:val="auto"/>
        </w:rPr>
      </w:pPr>
      <w:r>
        <w:rPr>
          <w:rFonts w:ascii="Times New Roman" w:cs="Times New Roman" w:eastAsia="Times New Roman" w:hAnsi="Times New Roman"/>
          <w:sz w:val="22"/>
          <w:szCs w:val="22"/>
          <w:color w:val="auto"/>
        </w:rPr>
        <w:t>payable to the secondary Beneficiary. If a Participant fails to designate a secondary Beneficiary, or if no secondary Beneficiary survives the primary Beneficiary, any remaining benefits will be payable to the deceased primary Beneficiary’s heirs in the manner described in the next paragraph. If a Participant designates more than one primary Beneficiary or more than one secondary Beneficiary and a Beneficiary dies before benefit payments are made, the share payable to the deceased Beneficiary will be paid to the deceased Beneficiary’s heirs in the manner described in the next paragraph as if the Beneficiary was the Participant.</w:t>
      </w:r>
    </w:p>
    <w:p>
      <w:pPr>
        <w:spacing w:after="0" w:line="77"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If a Participant fails to designate a Beneficiary, or if no designated Beneficiary survives a Participant, distribution will be made in equal shares to the members of the first of the classes listed below having a living member on the date the distribution is payable. The classes, in order of priority, are as follows:</w:t>
      </w:r>
    </w:p>
    <w:p>
      <w:pPr>
        <w:spacing w:after="0" w:line="42" w:lineRule="exact"/>
        <w:rPr>
          <w:sz w:val="20"/>
          <w:szCs w:val="20"/>
          <w:color w:val="auto"/>
        </w:rPr>
      </w:pPr>
    </w:p>
    <w:p>
      <w:pPr>
        <w:ind w:left="2160" w:hanging="655"/>
        <w:spacing w:after="0"/>
        <w:tabs>
          <w:tab w:leader="none" w:pos="21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Spouse;</w:t>
      </w:r>
    </w:p>
    <w:p>
      <w:pPr>
        <w:spacing w:after="0" w:line="219" w:lineRule="exact"/>
        <w:rPr>
          <w:rFonts w:ascii="Times New Roman" w:cs="Times New Roman" w:eastAsia="Times New Roman" w:hAnsi="Times New Roman"/>
          <w:sz w:val="22"/>
          <w:szCs w:val="22"/>
          <w:color w:val="auto"/>
        </w:rPr>
      </w:pPr>
    </w:p>
    <w:p>
      <w:pPr>
        <w:ind w:left="860" w:right="239" w:firstLine="645"/>
        <w:spacing w:after="0" w:line="271" w:lineRule="auto"/>
        <w:tabs>
          <w:tab w:leader="none" w:pos="21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children (natural, legally adopted or children placed for adoption) or their then-living issue, by right of representation; and</w:t>
      </w:r>
    </w:p>
    <w:p>
      <w:pPr>
        <w:spacing w:after="0" w:line="171" w:lineRule="exact"/>
        <w:rPr>
          <w:rFonts w:ascii="Times New Roman" w:cs="Times New Roman" w:eastAsia="Times New Roman" w:hAnsi="Times New Roman"/>
          <w:sz w:val="22"/>
          <w:szCs w:val="22"/>
          <w:color w:val="auto"/>
        </w:rPr>
      </w:pPr>
    </w:p>
    <w:p>
      <w:pPr>
        <w:jc w:val="both"/>
        <w:ind w:left="860" w:right="219" w:firstLine="645"/>
        <w:spacing w:after="0" w:line="252" w:lineRule="auto"/>
        <w:tabs>
          <w:tab w:leader="none" w:pos="21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estate, if the estate is under active administration. If the Participant’s estate is not under active administration, the legal heirs of the Participant under the intestacy laws of the Participant’s state of residence on the date of the Participant’s death.</w:t>
      </w:r>
    </w:p>
    <w:p>
      <w:pPr>
        <w:spacing w:after="0" w:line="193" w:lineRule="exact"/>
        <w:rPr>
          <w:sz w:val="20"/>
          <w:szCs w:val="20"/>
          <w:color w:val="auto"/>
        </w:rPr>
      </w:pPr>
    </w:p>
    <w:p>
      <w:pPr>
        <w:jc w:val="both"/>
        <w:ind w:left="200" w:right="219" w:firstLine="648"/>
        <w:spacing w:after="0" w:line="289" w:lineRule="auto"/>
        <w:rPr>
          <w:sz w:val="20"/>
          <w:szCs w:val="20"/>
          <w:color w:val="auto"/>
        </w:rPr>
      </w:pPr>
      <w:r>
        <w:rPr>
          <w:rFonts w:ascii="Times New Roman" w:cs="Times New Roman" w:eastAsia="Times New Roman" w:hAnsi="Times New Roman"/>
          <w:sz w:val="22"/>
          <w:szCs w:val="22"/>
          <w:color w:val="auto"/>
        </w:rPr>
        <w:t>A Beneficiary is permitted to disclaim the Beneficiary’s rights to a death benefit under the Plan to the extent permitted by applicable law. If this occurs, the Beneficiary will be treated as predeceasing the Participant for purposes of this Section.</w:t>
      </w:r>
    </w:p>
    <w:p>
      <w:pPr>
        <w:spacing w:after="0" w:line="72"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The records of the Plan Administrator will be conclusive as to the proper payee and the amount payable. A distribution made based upon these facts will be treated as a complete discharge of all obligations under the Plan.</w:t>
      </w:r>
    </w:p>
    <w:p>
      <w:pPr>
        <w:spacing w:after="0" w:line="200" w:lineRule="exact"/>
        <w:rPr>
          <w:sz w:val="20"/>
          <w:szCs w:val="20"/>
          <w:color w:val="auto"/>
        </w:rPr>
      </w:pPr>
    </w:p>
    <w:p>
      <w:pPr>
        <w:spacing w:after="0" w:line="37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Unforeseeable Emergency</w:t>
      </w:r>
    </w:p>
    <w:p>
      <w:pPr>
        <w:spacing w:after="0" w:line="156" w:lineRule="exact"/>
        <w:rPr>
          <w:sz w:val="20"/>
          <w:szCs w:val="20"/>
          <w:color w:val="auto"/>
        </w:rPr>
      </w:pPr>
    </w:p>
    <w:p>
      <w:pPr>
        <w:jc w:val="both"/>
        <w:ind w:left="200" w:right="219" w:firstLine="648"/>
        <w:spacing w:after="0" w:line="298" w:lineRule="auto"/>
        <w:rPr>
          <w:sz w:val="20"/>
          <w:szCs w:val="20"/>
          <w:color w:val="auto"/>
        </w:rPr>
      </w:pPr>
      <w:r>
        <w:rPr>
          <w:rFonts w:ascii="Times New Roman" w:cs="Times New Roman" w:eastAsia="Times New Roman" w:hAnsi="Times New Roman"/>
          <w:sz w:val="21"/>
          <w:szCs w:val="21"/>
          <w:color w:val="auto"/>
        </w:rPr>
        <w:t>If a Participant incurs an unforeseeable emergency within the meaning of Treasury Regulation §1.409A-3(i)(3)(i), the Committee may pay the Participant some or all of the remaining balance of the Award in a lump sum in lieu of following the payment timing set forth in Section 5.3. The Committee will evaluate requests for payment due to unforeseeable emergency under the facts and circumstances of the situation. The amount of any payment made on account of an unforeseeable emergency shall not exceed the amount reasonably necessary to satisfy the financial hardship, including amounts necessary to pay any federal, state or local income taxes or penalties reasonably anticipated to result from the payment, as determined by the Committee. No early payment will be made to extent that the financial hardship can be relieved (i) through</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15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2" w:name="page103"/>
    <w:bookmarkEnd w:id="102"/>
    <w:p>
      <w:pPr>
        <w:jc w:val="both"/>
        <w:ind w:left="200" w:right="219"/>
        <w:spacing w:after="0" w:line="309" w:lineRule="auto"/>
        <w:rPr>
          <w:sz w:val="20"/>
          <w:szCs w:val="20"/>
          <w:color w:val="auto"/>
        </w:rPr>
      </w:pPr>
      <w:r>
        <w:rPr>
          <w:rFonts w:ascii="Times New Roman" w:cs="Times New Roman" w:eastAsia="Times New Roman" w:hAnsi="Times New Roman"/>
          <w:sz w:val="22"/>
          <w:szCs w:val="22"/>
          <w:color w:val="auto"/>
        </w:rPr>
        <w:t>reimbursement or compensation by insurance or otherwise or (ii) by liquidation of the Participant’s assets without such liquidation itself causing a severe financial hardship.</w:t>
      </w:r>
    </w:p>
    <w:p>
      <w:pPr>
        <w:spacing w:after="0" w:line="15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Tax Withholding</w:t>
      </w:r>
    </w:p>
    <w:p>
      <w:pPr>
        <w:spacing w:after="0" w:line="156"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Any applicable federal, state, or local taxes shall be withheld from the benefits paid to a Participant or the Participant’s Beneficiary to the extent required by law or elected by the Participant or Beneficiary.</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Prohibition on Assignment and Alienation</w:t>
      </w:r>
    </w:p>
    <w:p>
      <w:pPr>
        <w:spacing w:after="0" w:line="156" w:lineRule="exact"/>
        <w:rPr>
          <w:sz w:val="20"/>
          <w:szCs w:val="20"/>
          <w:color w:val="auto"/>
        </w:rPr>
      </w:pPr>
    </w:p>
    <w:p>
      <w:pPr>
        <w:jc w:val="both"/>
        <w:ind w:left="860" w:right="219" w:firstLine="645"/>
        <w:spacing w:after="0" w:line="284" w:lineRule="auto"/>
        <w:tabs>
          <w:tab w:leader="none" w:pos="21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deferred compensation payments under the Plan are not subject to assignment or alienation in any manner, and are to be exempt, to the maximum extent permitted by law, from the claims of creditors. As used in this section, the words “assignment” and “alienation” include any sale, transfer, or other disposition; any anticipation, pledge, security agreement, or other method of securing payment or performance of an obligation; any garnishment, execution, attachment, levy, or other method of satisfying a creditor’s claims.</w:t>
      </w:r>
    </w:p>
    <w:p>
      <w:pPr>
        <w:spacing w:after="0" w:line="185" w:lineRule="exact"/>
        <w:rPr>
          <w:rFonts w:ascii="Times New Roman" w:cs="Times New Roman" w:eastAsia="Times New Roman" w:hAnsi="Times New Roman"/>
          <w:sz w:val="22"/>
          <w:szCs w:val="22"/>
          <w:color w:val="auto"/>
        </w:rPr>
      </w:pPr>
    </w:p>
    <w:p>
      <w:pPr>
        <w:ind w:left="860" w:right="219" w:firstLine="645"/>
        <w:spacing w:after="0" w:line="309" w:lineRule="auto"/>
        <w:tabs>
          <w:tab w:leader="none" w:pos="21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qualified medical child support orders within the meaning of ERISA §609(a)(2)(A).</w:t>
      </w:r>
    </w:p>
    <w:p>
      <w:pPr>
        <w:spacing w:after="0" w:line="158" w:lineRule="exact"/>
        <w:rPr>
          <w:rFonts w:ascii="Times New Roman" w:cs="Times New Roman" w:eastAsia="Times New Roman" w:hAnsi="Times New Roman"/>
          <w:sz w:val="22"/>
          <w:szCs w:val="22"/>
          <w:color w:val="auto"/>
        </w:rPr>
      </w:pPr>
    </w:p>
    <w:p>
      <w:pPr>
        <w:jc w:val="both"/>
        <w:ind w:left="860" w:right="239" w:firstLine="645"/>
        <w:spacing w:after="0" w:line="291" w:lineRule="auto"/>
        <w:tabs>
          <w:tab w:leader="none" w:pos="21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claims of the Company or any Affiliate. When any amount becomes payable under the Plan, the Company may offset the amount otherwise payable by the amount of any outstanding debt, liability, or other obligation of the payee to the Company or any affiliate.</w:t>
      </w:r>
    </w:p>
    <w:p>
      <w:pPr>
        <w:spacing w:after="0" w:line="177" w:lineRule="exact"/>
        <w:rPr>
          <w:rFonts w:ascii="Times New Roman" w:cs="Times New Roman" w:eastAsia="Times New Roman" w:hAnsi="Times New Roman"/>
          <w:sz w:val="22"/>
          <w:szCs w:val="22"/>
          <w:color w:val="auto"/>
        </w:rPr>
      </w:pPr>
    </w:p>
    <w:p>
      <w:pPr>
        <w:jc w:val="both"/>
        <w:ind w:left="860" w:right="219" w:firstLine="645"/>
        <w:spacing w:after="0" w:line="286" w:lineRule="auto"/>
        <w:tabs>
          <w:tab w:leader="none" w:pos="21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prohibition on assignment and alienation does not apply to tax withholding. No benefit or interest under the Plan is subject in any manner to anticipation, alienation, sale, transfer, assignment, pledge, encumbrance, attachment, or garnishment by creditors of a Participant or the Participant’s Beneficiary.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Article 6</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Funding</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No Trust or Other Fiduciary Relationship</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The Plan does not create any trust or other fiduciary relationship of any kind with respect to the deferred compensation or any asset of the Company. The Company has complete legal and beneficial ownership of all assets attributable to deferred compensation. The right to deferred compensation under the Plan is merely an unsecured promise of the Company to pay the deferred compensation from the Company’s general assets. The Plan does not require the Company or the Committee to establish any fund or segregate any assets for the benefit of any Participant.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3" w:name="page104"/>
    <w:bookmarkEnd w:id="103"/>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Establishment of Trust Fund</w:t>
      </w:r>
    </w:p>
    <w:p>
      <w:pPr>
        <w:spacing w:after="0" w:line="156"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The Company may enter into a trust agreement with an unrelated financial institution, as Trustee, to establish a Trust Fund to accumulate reserve of assets for the payment of benefits under the Plan, but Participants will have no interest in any such reserve (or any other assets of the Company) other than their interests as creditors with unsecured claims for payment of deferred compensation according to the terms of the Plan. If a Trust Fund is established, the Company may, but is not required to, make contributions to the Trust Fund. However, if a Change in Control occurs, the Company shall establish a Trust Fund and shall contribute to the Trust Fund an amount, if any, necessary so that the assets of the Trust Fund are sufficient to pay all amounts credited to Participants’ Accounts.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7</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Plan Administrator</w:t>
      </w:r>
    </w:p>
    <w:p>
      <w:pPr>
        <w:spacing w:after="0" w:line="15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2"/>
          <w:szCs w:val="22"/>
          <w:color w:val="auto"/>
        </w:rPr>
        <w:t>The Company shall have the sole responsibility for the administration of the Plan and is designated as named fiduciary and Plan Administrator. The Plan Administrator shall have the power and duties which are described in this Article. The Administrative Committee shall carry out the functions of the Plan Administrator with respect to the day-to-day operations of the Plan. If a member of the Administrative Committee is a Participant, the member shall abstain from voting on any matter relating to the member’s benefits under the Plan.</w:t>
      </w:r>
    </w:p>
    <w:p>
      <w:pPr>
        <w:spacing w:after="0" w:line="80"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2"/>
          <w:szCs w:val="22"/>
          <w:color w:val="auto"/>
        </w:rPr>
        <w:t>The Administrative Committee may adopt such policies and procedures as it deems necessary, desirable, or appropriate. All policies, procedures, and decisions of the Administrative Committee will be uniformly applied to all Participants in similar circumstances. When making a determination or calculation, the Administrative Committee will be entitled to rely upon information furnished by a Participant, Beneficiary, or alternate payee, the Company, or the Company’s legal counsel.</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Powers of Plan Administrator</w:t>
      </w:r>
    </w:p>
    <w:p>
      <w:pPr>
        <w:spacing w:after="0" w:line="156" w:lineRule="exact"/>
        <w:rPr>
          <w:sz w:val="20"/>
          <w:szCs w:val="20"/>
          <w:color w:val="auto"/>
        </w:rPr>
      </w:pPr>
    </w:p>
    <w:p>
      <w:pPr>
        <w:jc w:val="both"/>
        <w:ind w:left="200" w:right="239" w:firstLine="648"/>
        <w:spacing w:after="0" w:line="309" w:lineRule="auto"/>
        <w:rPr>
          <w:sz w:val="20"/>
          <w:szCs w:val="20"/>
          <w:color w:val="auto"/>
        </w:rPr>
      </w:pPr>
      <w:r>
        <w:rPr>
          <w:rFonts w:ascii="Times New Roman" w:cs="Times New Roman" w:eastAsia="Times New Roman" w:hAnsi="Times New Roman"/>
          <w:sz w:val="22"/>
          <w:szCs w:val="22"/>
          <w:color w:val="auto"/>
        </w:rPr>
        <w:t>The Plan Administrator has discretionary authority over the administration of the Plan, including the discretionary authority to—</w:t>
      </w:r>
    </w:p>
    <w:p>
      <w:pPr>
        <w:spacing w:after="0" w:line="24" w:lineRule="exact"/>
        <w:rPr>
          <w:sz w:val="20"/>
          <w:szCs w:val="20"/>
          <w:color w:val="auto"/>
        </w:rPr>
      </w:pPr>
    </w:p>
    <w:p>
      <w:pPr>
        <w:ind w:left="2160" w:hanging="655"/>
        <w:spacing w:after="0"/>
        <w:tabs>
          <w:tab w:leader="none" w:pos="21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rules, procedures and forms for the administration of the Plan;</w:t>
      </w:r>
    </w:p>
    <w:p>
      <w:pPr>
        <w:spacing w:after="0" w:line="23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all claims for benefits and review all adverse determinations;</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and construe the Plan;</w:t>
      </w:r>
    </w:p>
    <w:p>
      <w:pPr>
        <w:spacing w:after="0" w:line="26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correct errors in the administration of the Plan, including the power to adjust</w:t>
      </w:r>
    </w:p>
    <w:p>
      <w:pPr>
        <w:spacing w:after="0" w:line="55" w:lineRule="exact"/>
        <w:rPr>
          <w:rFonts w:ascii="Times New Roman" w:cs="Times New Roman" w:eastAsia="Times New Roman" w:hAnsi="Times New Roman"/>
          <w:sz w:val="21"/>
          <w:szCs w:val="21"/>
          <w:color w:val="auto"/>
        </w:rPr>
      </w:pPr>
    </w:p>
    <w:p>
      <w:pPr>
        <w:ind w:left="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payments;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04" w:name="page105"/>
    <w:bookmarkEnd w:id="104"/>
    <w:p>
      <w:pPr>
        <w:ind w:left="860" w:right="239" w:firstLine="645"/>
        <w:spacing w:after="0" w:line="309" w:lineRule="auto"/>
        <w:tabs>
          <w:tab w:leader="none" w:pos="215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attorneys, accountants and other professional advisors to give advice regarding the operation and administration of the Plan; and</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delegate administrative duties to other persons.</w:t>
      </w:r>
    </w:p>
    <w:p>
      <w:pPr>
        <w:spacing w:after="0" w:line="260" w:lineRule="exact"/>
        <w:rPr>
          <w:sz w:val="20"/>
          <w:szCs w:val="20"/>
          <w:color w:val="auto"/>
        </w:rPr>
      </w:pPr>
    </w:p>
    <w:p>
      <w:pPr>
        <w:jc w:val="both"/>
        <w:ind w:left="200" w:right="219" w:firstLine="648"/>
        <w:spacing w:after="0" w:line="309" w:lineRule="auto"/>
        <w:rPr>
          <w:sz w:val="20"/>
          <w:szCs w:val="20"/>
          <w:color w:val="auto"/>
        </w:rPr>
      </w:pPr>
      <w:r>
        <w:rPr>
          <w:rFonts w:ascii="Times New Roman" w:cs="Times New Roman" w:eastAsia="Times New Roman" w:hAnsi="Times New Roman"/>
          <w:sz w:val="22"/>
          <w:szCs w:val="22"/>
          <w:color w:val="auto"/>
        </w:rPr>
        <w:t>The Plan Administrator’s exercise of discretion under the Plan is absolute, need not be uniform among Participants, and may vary from one Participant to another.</w:t>
      </w:r>
    </w:p>
    <w:p>
      <w:pPr>
        <w:spacing w:after="0" w:line="15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Maintenance of Records</w:t>
      </w:r>
    </w:p>
    <w:p>
      <w:pPr>
        <w:spacing w:after="0" w:line="156" w:lineRule="exact"/>
        <w:rPr>
          <w:sz w:val="20"/>
          <w:szCs w:val="20"/>
          <w:color w:val="auto"/>
        </w:rPr>
      </w:pPr>
    </w:p>
    <w:p>
      <w:pPr>
        <w:jc w:val="both"/>
        <w:ind w:left="200" w:right="219" w:firstLine="648"/>
        <w:spacing w:after="0" w:line="308" w:lineRule="auto"/>
        <w:rPr>
          <w:sz w:val="20"/>
          <w:szCs w:val="20"/>
          <w:color w:val="auto"/>
        </w:rPr>
      </w:pPr>
      <w:r>
        <w:rPr>
          <w:rFonts w:ascii="Times New Roman" w:cs="Times New Roman" w:eastAsia="Times New Roman" w:hAnsi="Times New Roman"/>
          <w:sz w:val="21"/>
          <w:szCs w:val="21"/>
          <w:color w:val="auto"/>
        </w:rPr>
        <w:t>The Committee shall maintain records as necessary or appropriate to comply with the recordkeeping, reporting, and disclosure requirements of ERISA. The Committee shall also maintain records as necessary or appropriate to satisfy the recordkeeping requirements of the Code, including records sufficient to demonstrate compliance with the requirements Code §409A.</w:t>
      </w:r>
    </w:p>
    <w:p>
      <w:pPr>
        <w:spacing w:after="0" w:line="1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Appeal Procedure</w:t>
      </w:r>
    </w:p>
    <w:p>
      <w:pPr>
        <w:spacing w:after="0" w:line="143" w:lineRule="exact"/>
        <w:rPr>
          <w:sz w:val="20"/>
          <w:szCs w:val="20"/>
          <w:color w:val="auto"/>
        </w:rPr>
      </w:pPr>
    </w:p>
    <w:p>
      <w:pPr>
        <w:jc w:val="both"/>
        <w:ind w:left="200" w:right="219" w:firstLine="648"/>
        <w:spacing w:after="0" w:line="286" w:lineRule="auto"/>
        <w:rPr>
          <w:sz w:val="20"/>
          <w:szCs w:val="20"/>
          <w:color w:val="auto"/>
        </w:rPr>
      </w:pPr>
      <w:r>
        <w:rPr>
          <w:rFonts w:ascii="Times New Roman" w:cs="Times New Roman" w:eastAsia="Times New Roman" w:hAnsi="Times New Roman"/>
          <w:sz w:val="22"/>
          <w:szCs w:val="22"/>
          <w:color w:val="auto"/>
        </w:rPr>
        <w:t>Any Participant whose application for benefits under the Plan has been denied, in whole or in part, shall be given written notice of the denial of benefits by the Plan Administrator. The notice shall be in easily understood language and shall indicate the reasons for denial and the specific provisions of the Plan on which the denial is based. The notice shall explain that the Participant may request a review of the denial and the procedure for requesting review. The notice shall describe any additional information necessary to approve the Participant’s claim and explain why such information is necessary.</w:t>
      </w:r>
    </w:p>
    <w:p>
      <w:pPr>
        <w:spacing w:after="0" w:line="77"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A Participant may make a written request to the Plan Administrator for a review of any denial of benefits under the Plan. The request for review must be in writing and must be made within 60 days after the mailing date of the notice of denial. The request shall refer to the provisions of the Plan on which it is based and shall set forth the facts relied upon as justifying a reversal or modification of the determination being appealed.</w:t>
      </w:r>
    </w:p>
    <w:p>
      <w:pPr>
        <w:spacing w:after="0" w:line="77" w:lineRule="exact"/>
        <w:rPr>
          <w:sz w:val="20"/>
          <w:szCs w:val="20"/>
          <w:color w:val="auto"/>
        </w:rPr>
      </w:pPr>
    </w:p>
    <w:p>
      <w:pPr>
        <w:jc w:val="both"/>
        <w:ind w:left="200" w:right="219" w:firstLine="648"/>
        <w:spacing w:after="0" w:line="303" w:lineRule="auto"/>
        <w:rPr>
          <w:sz w:val="20"/>
          <w:szCs w:val="20"/>
          <w:color w:val="auto"/>
        </w:rPr>
      </w:pPr>
      <w:r>
        <w:rPr>
          <w:rFonts w:ascii="Times New Roman" w:cs="Times New Roman" w:eastAsia="Times New Roman" w:hAnsi="Times New Roman"/>
          <w:sz w:val="21"/>
          <w:szCs w:val="21"/>
          <w:color w:val="auto"/>
        </w:rPr>
        <w:t>A Participant who requests a review of a denial of benefits in accordance with this appeal procedure may examine pertinent documents and submit pertinent issues and comments in writing. A Participant may have a duly authorized representative act on his behalf in exercising his right to request a review and any other rights granted by this appeal procedure. The Plan Administrator shall provide a review of the decision denying the claim for benefit within 60 days after receiving the written request for review (or 45 days, if the claim involves a determination of Disability).</w:t>
      </w:r>
    </w:p>
    <w:p>
      <w:pPr>
        <w:spacing w:after="0" w:line="61" w:lineRule="exact"/>
        <w:rPr>
          <w:sz w:val="20"/>
          <w:szCs w:val="20"/>
          <w:color w:val="auto"/>
        </w:rPr>
      </w:pPr>
    </w:p>
    <w:p>
      <w:pPr>
        <w:jc w:val="both"/>
        <w:ind w:left="200" w:right="219" w:firstLine="648"/>
        <w:spacing w:after="0" w:line="335" w:lineRule="auto"/>
        <w:rPr>
          <w:sz w:val="20"/>
          <w:szCs w:val="20"/>
          <w:color w:val="auto"/>
        </w:rPr>
      </w:pPr>
      <w:r>
        <w:rPr>
          <w:rFonts w:ascii="Times New Roman" w:cs="Times New Roman" w:eastAsia="Times New Roman" w:hAnsi="Times New Roman"/>
          <w:sz w:val="21"/>
          <w:szCs w:val="21"/>
          <w:color w:val="auto"/>
        </w:rPr>
        <w:t>A Participant shall not be permitted to commence any legal action against the Company regarding benefits under the Plan before exhausting the appeal procedure contained in this Section.</w:t>
      </w:r>
    </w:p>
    <w:p>
      <w:pPr>
        <w:spacing w:after="0" w:line="13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u w:val="single" w:color="auto"/>
          <w:color w:val="auto"/>
        </w:rPr>
        <w:t>Indemnification of Administrative Committee</w:t>
      </w:r>
    </w:p>
    <w:p>
      <w:pPr>
        <w:spacing w:after="0" w:line="143" w:lineRule="exact"/>
        <w:rPr>
          <w:sz w:val="20"/>
          <w:szCs w:val="20"/>
          <w:color w:val="auto"/>
        </w:rPr>
      </w:pPr>
    </w:p>
    <w:p>
      <w:pPr>
        <w:jc w:val="both"/>
        <w:ind w:left="200" w:right="239" w:firstLine="648"/>
        <w:spacing w:after="0" w:line="309" w:lineRule="auto"/>
        <w:rPr>
          <w:sz w:val="20"/>
          <w:szCs w:val="20"/>
          <w:color w:val="auto"/>
        </w:rPr>
      </w:pPr>
      <w:r>
        <w:rPr>
          <w:rFonts w:ascii="Times New Roman" w:cs="Times New Roman" w:eastAsia="Times New Roman" w:hAnsi="Times New Roman"/>
          <w:sz w:val="22"/>
          <w:szCs w:val="22"/>
          <w:color w:val="auto"/>
        </w:rPr>
        <w:t>The Company shall indemnify and hold harmless the members of the Administrative Committee and their duly appointed agents against any and all claims, loss, damage, expense or</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18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5" w:name="page106"/>
    <w:bookmarkEnd w:id="105"/>
    <w:p>
      <w:pPr>
        <w:jc w:val="both"/>
        <w:ind w:left="200" w:right="239"/>
        <w:spacing w:after="0" w:line="335" w:lineRule="auto"/>
        <w:rPr>
          <w:sz w:val="20"/>
          <w:szCs w:val="20"/>
          <w:color w:val="auto"/>
        </w:rPr>
      </w:pPr>
      <w:r>
        <w:rPr>
          <w:rFonts w:ascii="Times New Roman" w:cs="Times New Roman" w:eastAsia="Times New Roman" w:hAnsi="Times New Roman"/>
          <w:sz w:val="21"/>
          <w:szCs w:val="21"/>
          <w:color w:val="auto"/>
        </w:rPr>
        <w:t>liability arising from any action or failure to act with respect to the Plan, except in the case of gross negligence or willful misconduct by any such member or agent of the Administrative Committee.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Article 8</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6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u w:val="single" w:color="auto"/>
          <w:color w:val="auto"/>
        </w:rPr>
        <w:t>No Employment Rights</w:t>
      </w:r>
    </w:p>
    <w:p>
      <w:pPr>
        <w:spacing w:after="0" w:line="156" w:lineRule="exact"/>
        <w:rPr>
          <w:sz w:val="20"/>
          <w:szCs w:val="20"/>
          <w:color w:val="auto"/>
        </w:rPr>
      </w:pPr>
    </w:p>
    <w:p>
      <w:pPr>
        <w:jc w:val="both"/>
        <w:ind w:left="200" w:right="219" w:firstLine="648"/>
        <w:spacing w:after="0" w:line="309" w:lineRule="auto"/>
        <w:rPr>
          <w:sz w:val="20"/>
          <w:szCs w:val="20"/>
          <w:color w:val="auto"/>
        </w:rPr>
      </w:pPr>
      <w:r>
        <w:rPr>
          <w:rFonts w:ascii="Times New Roman" w:cs="Times New Roman" w:eastAsia="Times New Roman" w:hAnsi="Times New Roman"/>
          <w:sz w:val="22"/>
          <w:szCs w:val="22"/>
          <w:color w:val="auto"/>
        </w:rPr>
        <w:t>The Plan does not create any right to employment or restrict the Company’s right to terminate any Employee’s employment.</w:t>
      </w:r>
    </w:p>
    <w:p>
      <w:pPr>
        <w:spacing w:after="0" w:line="14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156"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2"/>
          <w:szCs w:val="22"/>
          <w:color w:val="auto"/>
        </w:rPr>
        <w:t>The Company may amend the Plan at any time, in the Company’s discretion, with or without advance notice to Employees, Participants or Beneficiaries, but no amendment will be effective unless it is set forth in writing and signed by the Chairman of the Board, by the Chief Executive Officer, Corporate Secretary or by any other person specifically authorized by the Board or the bylaws of the Company. However, no amendment shall reduce the amount credited to a Participant’s Account without the written consent of the affected Participant.</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p>
    <w:p>
      <w:pPr>
        <w:spacing w:after="0" w:line="156" w:lineRule="exact"/>
        <w:rPr>
          <w:sz w:val="20"/>
          <w:szCs w:val="20"/>
          <w:color w:val="auto"/>
        </w:rPr>
      </w:pPr>
    </w:p>
    <w:p>
      <w:pPr>
        <w:jc w:val="both"/>
        <w:ind w:left="200" w:right="219" w:firstLine="648"/>
        <w:spacing w:after="0" w:line="285" w:lineRule="auto"/>
        <w:rPr>
          <w:sz w:val="20"/>
          <w:szCs w:val="20"/>
          <w:color w:val="auto"/>
        </w:rPr>
      </w:pPr>
      <w:r>
        <w:rPr>
          <w:rFonts w:ascii="Times New Roman" w:cs="Times New Roman" w:eastAsia="Times New Roman" w:hAnsi="Times New Roman"/>
          <w:sz w:val="22"/>
          <w:szCs w:val="22"/>
          <w:color w:val="auto"/>
        </w:rPr>
        <w:t>The Company may terminate the Plan at any time, in the Company’s discretion, with or without advance notice to Employees, Participants or Beneficiaries. If the Plan is terminated, no additional amounts shall be credited to a Participant’s Account under Section 4.2, but the Participant’s Account shall be adjusted for the results of hypothetical investments under Section 4.3 until the Participant’s benefits are distributed to the Participant.</w:t>
      </w:r>
    </w:p>
    <w:p>
      <w:pPr>
        <w:spacing w:after="0" w:line="77" w:lineRule="exact"/>
        <w:rPr>
          <w:sz w:val="20"/>
          <w:szCs w:val="20"/>
          <w:color w:val="auto"/>
        </w:rPr>
      </w:pPr>
    </w:p>
    <w:p>
      <w:pPr>
        <w:jc w:val="both"/>
        <w:ind w:left="200" w:right="219" w:firstLine="648"/>
        <w:spacing w:after="0" w:line="291" w:lineRule="auto"/>
        <w:rPr>
          <w:sz w:val="20"/>
          <w:szCs w:val="20"/>
          <w:color w:val="auto"/>
        </w:rPr>
      </w:pPr>
      <w:r>
        <w:rPr>
          <w:rFonts w:ascii="Times New Roman" w:cs="Times New Roman" w:eastAsia="Times New Roman" w:hAnsi="Times New Roman"/>
          <w:sz w:val="22"/>
          <w:szCs w:val="22"/>
          <w:color w:val="auto"/>
        </w:rPr>
        <w:t>The Participant shall be entitled to receive the amounts credited to his Account upon satisfying the requirements for payment of benefits under the Plan. However, the Company may pay the Participant the amount credited to the Participant’s Account at any time after the Plan is terminated if the payment is permitted by Section 409A of the Code.</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p>
    <w:p>
      <w:pPr>
        <w:spacing w:after="0" w:line="156" w:lineRule="exact"/>
        <w:rPr>
          <w:sz w:val="20"/>
          <w:szCs w:val="20"/>
          <w:color w:val="auto"/>
        </w:rPr>
      </w:pPr>
    </w:p>
    <w:p>
      <w:pPr>
        <w:jc w:val="both"/>
        <w:ind w:left="860" w:right="219" w:firstLine="645"/>
        <w:spacing w:after="0" w:line="284" w:lineRule="auto"/>
        <w:tabs>
          <w:tab w:leader="none" w:pos="215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will be administered so as to comply with Code §409A. If any provision of the Plan conflicts with any requirement of Code §409A, the requirement of Code §409A will control. For example, and without limiting the generality of the foregoing, a change in control event does not occur unless the event qualifies as a change in the ownership of the Company, a change in the effective control of the Company, or a change in the ownership of a substantial portion of the Company’s assets under Code §409A.</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6" w:name="page107"/>
    <w:bookmarkEnd w:id="106"/>
    <w:p>
      <w:pPr>
        <w:jc w:val="both"/>
        <w:ind w:left="860" w:right="219" w:firstLine="645"/>
        <w:spacing w:after="0" w:line="287" w:lineRule="auto"/>
        <w:tabs>
          <w:tab w:leader="none" w:pos="21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court determines that any provision of the Plan is unenforceable, the court may modify the provision, if possible, so as to give effect to the Plan in a way that is consistent with the purpose of the Plan and the requirements of governing law. If such a modification is not possible, the court may sever the unenforceable provision and enforce the rest of the Plan in a way that is consistent with the purpose of the Plan and the requirements of governing law.</w:t>
      </w:r>
    </w:p>
    <w:p>
      <w:pPr>
        <w:spacing w:after="0" w:line="182" w:lineRule="exact"/>
        <w:rPr>
          <w:rFonts w:ascii="Times New Roman" w:cs="Times New Roman" w:eastAsia="Times New Roman" w:hAnsi="Times New Roman"/>
          <w:sz w:val="22"/>
          <w:szCs w:val="22"/>
          <w:color w:val="auto"/>
        </w:rPr>
      </w:pPr>
    </w:p>
    <w:p>
      <w:pPr>
        <w:jc w:val="both"/>
        <w:ind w:left="860" w:right="219" w:firstLine="645"/>
        <w:spacing w:after="0" w:line="295" w:lineRule="auto"/>
        <w:tabs>
          <w:tab w:leader="none" w:pos="215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the Plan Administrator may apply any permissive provision of any applicable law or regulation unless the provision is contrary to the terms of the Plan.</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u w:val="single" w:color="auto"/>
          <w:color w:val="auto"/>
        </w:rPr>
        <w:t>Construction</w:t>
      </w:r>
    </w:p>
    <w:p>
      <w:pPr>
        <w:spacing w:after="0" w:line="156" w:lineRule="exact"/>
        <w:rPr>
          <w:sz w:val="20"/>
          <w:szCs w:val="20"/>
          <w:color w:val="auto"/>
        </w:rPr>
      </w:pPr>
    </w:p>
    <w:p>
      <w:pPr>
        <w:jc w:val="both"/>
        <w:ind w:left="200" w:right="239" w:firstLine="648"/>
        <w:spacing w:after="0" w:line="296" w:lineRule="auto"/>
        <w:rPr>
          <w:sz w:val="20"/>
          <w:szCs w:val="20"/>
          <w:color w:val="auto"/>
        </w:rPr>
      </w:pPr>
      <w:r>
        <w:rPr>
          <w:rFonts w:ascii="Times New Roman" w:cs="Times New Roman" w:eastAsia="Times New Roman" w:hAnsi="Times New Roman"/>
          <w:sz w:val="22"/>
          <w:szCs w:val="22"/>
          <w:color w:val="auto"/>
        </w:rPr>
        <w:t>Words used in the masculine shall apply to the feminine where applicable. Wherever the context of the Plan dictates, the plural shall be read as the singular and the singular as the plural.</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u w:val="single" w:color="auto"/>
          <w:color w:val="auto"/>
        </w:rPr>
        <w:t>Governing Law</w:t>
      </w:r>
    </w:p>
    <w:p>
      <w:pPr>
        <w:spacing w:after="0" w:line="156" w:lineRule="exact"/>
        <w:rPr>
          <w:sz w:val="20"/>
          <w:szCs w:val="20"/>
          <w:color w:val="auto"/>
        </w:rPr>
      </w:pPr>
    </w:p>
    <w:p>
      <w:pPr>
        <w:jc w:val="both"/>
        <w:ind w:left="200" w:right="219" w:firstLine="648"/>
        <w:spacing w:after="0" w:line="288" w:lineRule="auto"/>
        <w:rPr>
          <w:sz w:val="20"/>
          <w:szCs w:val="20"/>
          <w:color w:val="auto"/>
        </w:rPr>
      </w:pPr>
      <w:r>
        <w:rPr>
          <w:rFonts w:ascii="Times New Roman" w:cs="Times New Roman" w:eastAsia="Times New Roman" w:hAnsi="Times New Roman"/>
          <w:sz w:val="22"/>
          <w:szCs w:val="22"/>
          <w:color w:val="auto"/>
        </w:rPr>
        <w:t>The Plan is governed by the law of the State of Michigan, even if principles of Michigan law regarding conflict of laws or choice of law would otherwise require or permit a court to apply the law of another jurisdiction, except to the extent that Michigan law is preempted by the laws of the United States of America (including any common law developed by federal courts under the applicable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20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05"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22"/>
          <w:szCs w:val="22"/>
          <w:color w:val="auto"/>
        </w:rPr>
        <w:t>The Company has amended and restated the UFP Industries, Inc. Deferred Compensation Plan (the “Plan”) effective as of January 1, 2025, and has further amended the Plan effective as of October 23, 2025.</w:t>
      </w:r>
    </w:p>
    <w:p>
      <w:pPr>
        <w:spacing w:after="0" w:line="6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00" w:lineRule="exact"/>
        <w:rPr>
          <w:sz w:val="20"/>
          <w:szCs w:val="20"/>
          <w:color w:val="auto"/>
        </w:rPr>
      </w:pPr>
    </w:p>
    <w:p>
      <w:pPr>
        <w:spacing w:after="0" w:line="280" w:lineRule="exact"/>
        <w:rPr>
          <w:sz w:val="20"/>
          <w:szCs w:val="20"/>
          <w:color w:val="auto"/>
        </w:rPr>
      </w:pPr>
    </w:p>
    <w:p>
      <w:pPr>
        <w:jc w:val="center"/>
        <w:ind w:right="139"/>
        <w:spacing w:after="0"/>
        <w:tabs>
          <w:tab w:leader="none" w:pos="280" w:val="left"/>
        </w:tabs>
        <w:rPr>
          <w:sz w:val="20"/>
          <w:szCs w:val="20"/>
          <w:color w:val="auto"/>
        </w:rPr>
      </w:pPr>
      <w:r>
        <w:rPr>
          <w:rFonts w:ascii="Times New Roman" w:cs="Times New Roman" w:eastAsia="Times New Roman" w:hAnsi="Times New Roman"/>
          <w:sz w:val="22"/>
          <w:szCs w:val="22"/>
          <w:color w:val="auto"/>
        </w:rPr>
        <w:t>By​</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2769235</wp:posOffset>
            </wp:positionH>
            <wp:positionV relativeFrom="paragraph">
              <wp:posOffset>-13970</wp:posOffset>
            </wp:positionV>
            <wp:extent cx="26987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2698750" cy="8255"/>
                    </a:xfrm>
                    <a:prstGeom prst="rect">
                      <a:avLst/>
                    </a:prstGeom>
                    <a:noFill/>
                  </pic:spPr>
                </pic:pic>
              </a:graphicData>
            </a:graphic>
          </wp:anchor>
        </w:drawing>
      </w:r>
    </w:p>
    <w:p>
      <w:pPr>
        <w:spacing w:after="0" w:line="240" w:lineRule="exact"/>
        <w:rPr>
          <w:sz w:val="20"/>
          <w:szCs w:val="20"/>
          <w:color w:val="auto"/>
        </w:rPr>
      </w:pPr>
    </w:p>
    <w:p>
      <w:pPr>
        <w:jc w:val="center"/>
        <w:ind w:left="3760"/>
        <w:spacing w:after="0"/>
        <w:tabs>
          <w:tab w:leader="none" w:pos="3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-13970</wp:posOffset>
            </wp:positionV>
            <wp:extent cx="27190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2719070" cy="889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425450</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08" w:name="page109"/>
    <w:bookmarkEnd w:id="10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STOCK MATCH PROGRAM</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Amended and Restated Effective January 1, 2023</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(As Amended as of December 6, 2024, as of January 1, 2025, and as of October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655320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9" w:name="page110"/>
    <w:bookmarkEnd w:id="109"/>
    <w:tbl>
      <w:tblPr>
        <w:tblLayout w:type="fixed"/>
        <w:tblInd w:w="220" w:type="dxa"/>
        <w:tblCellMar>
          <w:top w:w="0" w:type="dxa"/>
          <w:left w:w="0" w:type="dxa"/>
          <w:bottom w:w="0" w:type="dxa"/>
          <w:right w:w="0" w:type="dxa"/>
        </w:tblCellMar>
      </w:tblPr>
      <w:tr>
        <w:trPr>
          <w:trHeight w:val="282"/>
        </w:trPr>
        <w:tc>
          <w:tcPr>
            <w:tcW w:w="1340" w:type="dxa"/>
            <w:vAlign w:val="bottom"/>
          </w:tcPr>
          <w:p>
            <w:pPr>
              <w:spacing w:after="0"/>
              <w:rPr>
                <w:sz w:val="24"/>
                <w:szCs w:val="24"/>
                <w:color w:val="auto"/>
              </w:rPr>
            </w:pPr>
          </w:p>
        </w:tc>
        <w:tc>
          <w:tcPr>
            <w:tcW w:w="6820" w:type="dxa"/>
            <w:vAlign w:val="bottom"/>
          </w:tcPr>
          <w:p>
            <w:pPr>
              <w:ind w:left="2600"/>
              <w:spacing w:after="0"/>
              <w:rPr>
                <w:sz w:val="20"/>
                <w:szCs w:val="20"/>
                <w:color w:val="auto"/>
              </w:rPr>
            </w:pPr>
            <w:r>
              <w:rPr>
                <w:rFonts w:ascii="Times New Roman" w:cs="Times New Roman" w:eastAsia="Times New Roman" w:hAnsi="Times New Roman"/>
                <w:sz w:val="22"/>
                <w:szCs w:val="22"/>
                <w:color w:val="auto"/>
              </w:rPr>
              <w:t>INDEX</w:t>
            </w:r>
          </w:p>
        </w:tc>
        <w:tc>
          <w:tcPr>
            <w:tcW w:w="420" w:type="dxa"/>
            <w:vAlign w:val="bottom"/>
          </w:tcPr>
          <w:p>
            <w:pPr>
              <w:spacing w:after="0"/>
              <w:rPr>
                <w:sz w:val="24"/>
                <w:szCs w:val="24"/>
                <w:color w:val="auto"/>
              </w:rPr>
            </w:pPr>
          </w:p>
        </w:tc>
      </w:tr>
      <w:tr>
        <w:trPr>
          <w:trHeight w:val="433"/>
        </w:trPr>
        <w:tc>
          <w:tcPr>
            <w:tcW w:w="13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92"/>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1 Establishment and Purpose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History of the Program</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Status of Program Under ERISA</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1.3</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Compliance with Section 409A</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2 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3 Participation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Eligibility for Participation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3.2</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Termination of Active Participation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4 Amounts Credited to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Participants’ 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Amounts Credited to Participant Accounts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4.3</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Amounts Credited for Company Dividends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4.4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Vesting and Forfeiture</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4.5</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Voting Rights with Respect to Participant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5 Distribution of Benefits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Hardship Withdrawals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Forfeiture of Vested Benefits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5.3</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Duty of Loyalty</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10</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5.4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Payment Timing &amp; Terms</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5.5</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Spendthrift Provision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6 Funding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Establishment of Trust Fund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6.2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Status as Grantor Trust</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6.3</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Status of Participants as Unsecured Creditors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7 Administration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Administrator</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12</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7.2</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Powers of Administrator</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12</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7.3</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Standard of Care</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7.4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Appeal Procedure</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13</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7.5</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Indemnification of Committee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459"/>
        </w:trPr>
        <w:tc>
          <w:tcPr>
            <w:tcW w:w="8160" w:type="dxa"/>
            <w:vAlign w:val="bottom"/>
            <w:gridSpan w:val="2"/>
          </w:tcPr>
          <w:p>
            <w:pPr>
              <w:spacing w:after="0"/>
              <w:rPr>
                <w:sz w:val="20"/>
                <w:szCs w:val="20"/>
                <w:color w:val="auto"/>
              </w:rPr>
            </w:pPr>
            <w:r>
              <w:rPr>
                <w:rFonts w:ascii="Times New Roman" w:cs="Times New Roman" w:eastAsia="Times New Roman" w:hAnsi="Times New Roman"/>
                <w:sz w:val="22"/>
                <w:szCs w:val="22"/>
                <w:color w:val="auto"/>
                <w:highlight w:val="white"/>
              </w:rPr>
              <w:t>Article 8 Miscellaneous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311"/>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8.1</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Employment Rights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8.2</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Tax Withholding</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-6539230</wp:posOffset>
            </wp:positionV>
            <wp:extent cx="4963160" cy="6497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4963160" cy="6497955"/>
                    </a:xfrm>
                    <a:prstGeom prst="rect">
                      <a:avLst/>
                    </a:prstGeom>
                    <a:noFill/>
                  </pic:spPr>
                </pic:pic>
              </a:graphicData>
            </a:graphic>
          </wp:anchor>
        </w:drawing>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10" w:name="page111"/>
    <w:bookmarkEnd w:id="110"/>
    <w:tbl>
      <w:tblPr>
        <w:tblLayout w:type="fixed"/>
        <w:tblInd w:w="22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640"/>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8.3</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409A Savings Clause &amp; Severability</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14</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8.4</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Construction</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15</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8.5</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Facility of Payment.</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15</w:t>
            </w:r>
          </w:p>
        </w:tc>
      </w:tr>
      <w:tr>
        <w:trPr>
          <w:trHeight w:val="243"/>
        </w:trPr>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8.6</w:t>
            </w:r>
          </w:p>
        </w:tc>
        <w:tc>
          <w:tcPr>
            <w:tcW w:w="68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highlight w:val="white"/>
              </w:rPr>
              <w:t>Amendment</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highlight w:val="white"/>
              </w:rPr>
              <w:t>16</w:t>
            </w:r>
          </w:p>
        </w:tc>
      </w:tr>
      <w:tr>
        <w:trPr>
          <w:trHeight w:val="283"/>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8.7</w:t>
            </w:r>
          </w:p>
        </w:tc>
        <w:tc>
          <w:tcPr>
            <w:tcW w:w="6820" w:type="dxa"/>
            <w:vAlign w:val="bottom"/>
          </w:tcPr>
          <w:p>
            <w:pPr>
              <w:ind w:left="100"/>
              <w:spacing w:after="0"/>
              <w:rPr>
                <w:sz w:val="20"/>
                <w:szCs w:val="20"/>
                <w:color w:val="auto"/>
              </w:rPr>
            </w:pPr>
            <w:r>
              <w:rPr>
                <w:rFonts w:ascii="Times New Roman" w:cs="Times New Roman" w:eastAsia="Times New Roman" w:hAnsi="Times New Roman"/>
                <w:sz w:val="22"/>
                <w:szCs w:val="22"/>
                <w:color w:val="auto"/>
                <w:highlight w:val="white"/>
              </w:rPr>
              <w:t>Termination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16</w:t>
            </w:r>
          </w:p>
        </w:tc>
      </w:tr>
      <w:tr>
        <w:trPr>
          <w:trHeight w:val="459"/>
        </w:trPr>
        <w:tc>
          <w:tcPr>
            <w:tcW w:w="13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highlight w:val="white"/>
                <w:w w:val="94"/>
              </w:rPr>
              <w:t>Signature</w:t>
            </w:r>
          </w:p>
        </w:tc>
        <w:tc>
          <w:tcPr>
            <w:tcW w:w="6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highlight w:val="white"/>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-958215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-958215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-958215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-958215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-958215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-958215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-958215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-958215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-958215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-958215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-958215</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-958215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-958215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-958215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-958215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-958215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-958215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-958215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-958215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-958215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-958215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-958215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-958215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-958215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-958215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-958215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-958215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-958215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-958215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-958215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-958215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-958215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-958215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-958215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-958215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-958215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-958215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-958215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-958215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-958215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-958215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-958215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-958215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-958215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-958215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-958215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-958215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-958215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-958215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-958215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-958215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-958215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-958215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-958215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-958215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-958215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-958215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-958215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-958215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-958215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-958215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-958215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-958215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-958215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-958215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-958215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-958215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-958215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-958215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-958215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-958215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-958215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-958215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-958215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-958215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-958215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-958215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-958215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-958215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-958215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-958215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-958215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-958215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-958215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-958215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-958215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-958215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-958215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-958215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-958215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-958215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-958215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-958215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-958215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-958215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-958215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-958215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-958215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-958215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-958215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-958215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-958215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-958215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-958215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-958215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-958215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-958215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-958215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-958215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-958215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-958215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-958215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-958215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-958215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-958215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-958215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-958215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-958215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-958215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-958215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-958215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-958215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-958215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-958215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-958215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-958215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-958215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-958215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-958215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-958215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-958215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-958215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-958215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-958215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-958215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-958215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-958215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-958215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-958215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-958215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-958215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-958215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-958215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-958215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-958215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-958215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-958215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-958215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-958215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-958215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-958215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-958215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-958215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-958215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-958215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-958215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-958215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-958215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-958215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-958215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-958215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-958215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-958215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-958215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-958215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-958215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-958215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-958215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-958215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-958215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-958215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-958215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-958215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-958215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-958215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-958215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-958215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-958215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-958215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-958215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-958215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-958215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-958215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-958215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-958215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-958215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-958215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-958215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-958215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-958215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-958215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-958215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-958215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-958215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-958215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-958215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-958215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-958215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-958215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-958215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-958215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-958215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-958215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-958215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-958215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-958215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-958215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-958215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-958215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-958215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-958215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-958215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-958215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-958215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-958215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-958215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-958215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-958215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-958215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-958215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-958215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-958215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-958215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-958215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-958215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-958215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-958215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-958215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-958215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-958215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-958215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-958215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-958215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-958215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-958215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-958215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-958215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-958215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-958215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-958215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-958215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-958215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-958215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-958215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-958215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-958215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-958215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-958215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-958215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-958215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-958215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-958215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-958215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-958215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-958215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-958215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-958215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-958215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-958215</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-958215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-958215</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-958215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-958215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-803910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-803910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-803910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-803910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-803910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-803910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-803910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-803910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-803910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-803910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-803910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-803910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-803910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-803910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-803910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-803910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-803910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-803910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-803910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-803910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-803910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-803910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-803910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-803910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-803910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-803910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-803910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-803910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-803910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-803910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-803910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-803910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-803910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-803910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-803910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-803910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-803910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-803910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-803910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-803910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-803910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-803910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-803910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-803910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-803910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-803910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-803910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-803910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-803910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-803910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-803910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-803910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-803910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-803910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-803910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-803910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-803910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-803910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-803910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-803910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-803910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-803910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-803910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-803910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-803910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-803910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-803910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-803910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-803910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-803910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-803910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-803910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-803910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-803910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-803910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-803910</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-803910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-803910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-803910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-803910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-803910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-803910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-803910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-803910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-803910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-803910</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-803910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-803910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-803910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-803910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-803910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-803910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-803910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-803910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-803910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-803910</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-803910</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-803910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-803910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-803910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-803910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-803910</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-803910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-803910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-803910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-803910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-803910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-803910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-803910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-803910</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-803910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-803910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-803910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-803910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-803910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-803910</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-803910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-803910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-803910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-803910</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-803910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-803910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-803910</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-803910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-803910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-803910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-803910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-803910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-803910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-803910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-803910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-803910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-803910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-803910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-803910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-803910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-803910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-803910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-803910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-803910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-803910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-803910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-803910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-803910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-803910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-803910</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-803910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-803910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-803910</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-803910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-803910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-803910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-803910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-803910</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-803910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-803910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-803910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-803910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-803910</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-803910</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-803910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-803910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-803910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-803910</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-803910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-803910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-803910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-803910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-803910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-803910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-803910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-803910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-803910</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-803910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-803910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-803910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-803910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-803910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-803910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-803910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-803910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-803910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-803910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-803910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-803910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-803910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-803910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-803910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-803910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-803910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-803910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-803910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-803910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-803910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-803910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-803910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-803910</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-803910</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-803910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-803910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-803910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-803910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-803910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-803910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-803910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-803910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-803910</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-803910</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-803910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-803910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-803910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-803910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-803910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-803910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-803910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-803910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-803910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-803910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-803910</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-803910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-803910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-803910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-803910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-803910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-803910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-803910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-803910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-803910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-803910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-803910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-803910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-803910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-803910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-803910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-803910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-803910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-803910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-803910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-803910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-803910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-803910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-803910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-803910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-803910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-803910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-803910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-803910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-803910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-803910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-803910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-803910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-803910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-803910</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-803910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-803910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-803910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-803910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-803910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-803910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-803910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-803910</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-803910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-803910</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-649605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-649605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-649605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-649605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-649605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-649605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-649605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-649605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-649605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-649605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-649605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-649605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-649605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-649605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-649605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-649605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-649605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-649605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-649605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-649605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-649605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-649605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-649605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-649605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-649605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-649605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-649605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-649605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-649605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-649605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-649605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-649605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-649605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-649605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-649605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-649605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-649605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-649605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-649605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-649605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-649605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-649605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-649605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-649605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-649605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-649605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-649605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-649605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-649605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-649605</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-649605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-649605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-649605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-649605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-649605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-649605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-649605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-649605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-649605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-649605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-649605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-649605</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-649605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-649605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-649605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-649605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-649605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-649605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-649605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-649605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-649605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-649605</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-649605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-649605</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-649605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-649605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-649605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-649605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-649605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-649605</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-649605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-649605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-649605</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-649605</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-649605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-649605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-649605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-649605</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-649605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-649605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-649605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-649605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-649605</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-649605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-649605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-649605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-649605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-649605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-649605</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-649605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-649605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-649605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-649605</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-649605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-649605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-649605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-649605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-649605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-649605</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-649605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-649605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-649605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-649605</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-649605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-649605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-649605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-649605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-649605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-649605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-649605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-649605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-649605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-649605</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-649605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-649605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-649605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-649605</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-649605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-649605</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-649605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-649605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-649605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-649605</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-649605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-649605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-649605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-649605</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-649605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-649605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-649605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-649605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-649605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-649605</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-649605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-649605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-649605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-649605</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-649605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-649605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-649605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-649605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-649605</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-649605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-649605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-649605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-649605</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-649605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-649605</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-649605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-649605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-649605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-649605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-649605</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-649605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-649605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-649605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-649605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-649605</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-649605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-649605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-649605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-649605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-649605</wp:posOffset>
            </wp:positionV>
            <wp:extent cx="825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-649605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-649605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-649605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-649605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-649605</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-649605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-649605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-649605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-649605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-649605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-649605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-649605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-649605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-649605</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-649605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-649605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-649605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-649605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-649605</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-649605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-649605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-649605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-649605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-649605</wp:posOffset>
            </wp:positionV>
            <wp:extent cx="825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-649605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-649605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-649605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-649605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-649605</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-649605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-649605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-649605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-649605</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-649605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-649605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-649605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-649605</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-649605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-649605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-649605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-649605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-649605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-649605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-649605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-649605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-649605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-649605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-649605</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-649605</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-649605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-649605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-649605</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-649605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-649605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-649605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-649605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-649605</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-649605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-649605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-649605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-649605</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-649605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-649605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-649605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-649605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-649605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-649605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-649605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-649605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-649605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-649605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-649605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-649605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-649605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-649605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-649605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-649605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-649605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-649605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-649605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-649605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-649605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-649605</wp:posOffset>
            </wp:positionV>
            <wp:extent cx="825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-649605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-649605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-649605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-649605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-649605</wp:posOffset>
            </wp:positionV>
            <wp:extent cx="8255"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-649605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-649605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-495300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-495300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-495300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-495300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-495300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-495300</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-495300</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-495300</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-495300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-495300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-495300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-495300</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-495300</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-495300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-495300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-495300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-495300</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-495300</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-495300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-495300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-495300</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-495300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-495300</wp:posOffset>
            </wp:positionV>
            <wp:extent cx="825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-495300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-495300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-495300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-495300</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-495300</wp:posOffset>
            </wp:positionV>
            <wp:extent cx="825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-495300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-495300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-495300</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-495300</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-495300</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-495300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-495300</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-495300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-495300</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-495300</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-495300</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-495300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-495300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-495300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-495300</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-495300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-495300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-495300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-495300</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-495300</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-495300</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-495300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-495300</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-495300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-495300</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-495300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-495300</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-495300</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-495300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-495300</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-495300</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-495300</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-495300</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-495300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-495300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-495300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-495300</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-495300</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-495300</wp:posOffset>
            </wp:positionV>
            <wp:extent cx="8255"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-495300</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-495300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-495300</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-495300</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-495300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-495300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-495300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-495300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-495300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-495300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-495300</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-495300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-495300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-495300</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-495300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-495300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-495300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-495300</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-495300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-495300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-495300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-495300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-495300</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-495300</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-495300</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-495300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-495300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-495300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-495300</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-495300</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-495300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-495300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-495300</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-495300</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-495300</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-495300</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-495300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-495300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-495300</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-495300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-495300</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-495300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-495300</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-495300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-495300</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-495300</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-495300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-495300</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-495300</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-495300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-495300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-495300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-495300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-495300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-495300</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-495300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-495300</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-495300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-495300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-495300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-495300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-495300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-495300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-495300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-495300</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-495300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-495300</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-495300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-495300</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-495300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-495300</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-495300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-495300</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-495300</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-495300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-495300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-495300</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-495300</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-495300</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-495300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-495300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-495300</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-495300</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-495300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-495300</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-495300</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-495300</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-495300</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-495300</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-495300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-495300</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-495300</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-495300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-495300</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-495300</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-495300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-495300</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-495300</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-495300</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-495300</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-495300</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-495300</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-495300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-495300</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-495300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-495300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-495300</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-495300</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-495300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-495300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-495300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-495300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-495300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-495300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-495300</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-495300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-495300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-495300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-495300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-495300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-495300</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-495300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-495300</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-495300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-495300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-495300</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-495300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-495300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-495300</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-495300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-495300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-495300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-495300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-495300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-495300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-495300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-495300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-495300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-495300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-495300</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-495300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-495300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-495300</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-495300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-495300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-495300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-495300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-495300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-495300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-495300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-495300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-495300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-495300</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-495300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-495300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-495300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-495300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-495300</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-495300</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-495300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-495300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-495300</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-495300</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-495300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-495300</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-495300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-495300</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-495300</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-495300</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-495300</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-495300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-495300</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-495300</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-495300</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-495300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-495300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-495300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-495300</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-495300</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-495300</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-495300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-495300</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-495300</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-495300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-495300</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-495300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-495300</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-495300</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-495300</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-495300</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-495300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-495300</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-495300</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-495300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-495300</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-495300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-340995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-340995</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-340995</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-340995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-340995</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-340995</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-340995</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-340995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-340995</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-340995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-340995</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-340995</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-340995</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-340995</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-340995</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-340995</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-340995</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-340995</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-340995</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-340995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-340995</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-340995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-340995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-340995</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-340995</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-340995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-340995</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-340995</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-340995</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-340995</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-340995</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-340995</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-340995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-340995</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-340995</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-340995</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-340995</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-340995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-340995</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-340995</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-340995</wp:posOffset>
            </wp:positionV>
            <wp:extent cx="8890"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-340995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-340995</wp:posOffset>
            </wp:positionV>
            <wp:extent cx="889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-340995</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-340995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-340995</wp:posOffset>
            </wp:positionV>
            <wp:extent cx="8890"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-340995</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-340995</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-340995</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-340995</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-340995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-340995</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-340995</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-340995</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-340995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-340995</wp:posOffset>
            </wp:positionV>
            <wp:extent cx="8890"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-340995</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-340995</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-340995</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-340995</wp:posOffset>
            </wp:positionV>
            <wp:extent cx="8890"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-340995</wp:posOffset>
            </wp:positionV>
            <wp:extent cx="8890"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-340995</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-340995</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-340995</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-340995</wp:posOffset>
            </wp:positionV>
            <wp:extent cx="8890"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-340995</wp:posOffset>
            </wp:positionV>
            <wp:extent cx="8890"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-340995</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-340995</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-340995</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-340995</wp:posOffset>
            </wp:positionV>
            <wp:extent cx="8890"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-340995</wp:posOffset>
            </wp:positionV>
            <wp:extent cx="8890"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-340995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-340995</wp:posOffset>
            </wp:positionV>
            <wp:extent cx="8890"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-340995</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-340995</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-340995</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-340995</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-340995</wp:posOffset>
            </wp:positionV>
            <wp:extent cx="8255" cy="825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-340995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-340995</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-340995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-340995</wp:posOffset>
            </wp:positionV>
            <wp:extent cx="8890"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-340995</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-340995</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-340995</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-340995</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-340995</wp:posOffset>
            </wp:positionV>
            <wp:extent cx="8890"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-340995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-340995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-340995</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-340995</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-340995</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-340995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-340995</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-340995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-340995</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-340995</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-340995</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-340995</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-340995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-340995</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-340995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-340995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-340995</wp:posOffset>
            </wp:positionV>
            <wp:extent cx="8255"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-340995</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-340995</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-340995</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-340995</wp:posOffset>
            </wp:positionV>
            <wp:extent cx="8255" cy="825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-340995</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-340995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-340995</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-340995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-340995</wp:posOffset>
            </wp:positionV>
            <wp:extent cx="8255" cy="82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-340995</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-340995</wp:posOffset>
            </wp:positionV>
            <wp:extent cx="8890"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-340995</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-340995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-340995</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-340995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-340995</wp:posOffset>
            </wp:positionV>
            <wp:extent cx="889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-340995</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-340995</wp:posOffset>
            </wp:positionV>
            <wp:extent cx="8255"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-340995</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-340995</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-340995</wp:posOffset>
            </wp:positionV>
            <wp:extent cx="8890"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-340995</wp:posOffset>
            </wp:positionV>
            <wp:extent cx="8890"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-340995</wp:posOffset>
            </wp:positionV>
            <wp:extent cx="8255"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-340995</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-340995</wp:posOffset>
            </wp:positionV>
            <wp:extent cx="8255"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-340995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-340995</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-340995</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-340995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-340995</wp:posOffset>
            </wp:positionV>
            <wp:extent cx="8255"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-340995</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-340995</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-340995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-340995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-340995</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-340995</wp:posOffset>
            </wp:positionV>
            <wp:extent cx="8890"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-340995</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-340995</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-340995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-340995</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-340995</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-340995</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-340995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-340995</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-340995</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-340995</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-340995</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-340995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-340995</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-340995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-340995</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-340995</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-340995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-340995</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-340995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-340995</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-340995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-340995</wp:posOffset>
            </wp:positionV>
            <wp:extent cx="8255"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-340995</wp:posOffset>
            </wp:positionV>
            <wp:extent cx="8255"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-340995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-340995</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-340995</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-340995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-340995</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-340995</wp:posOffset>
            </wp:positionV>
            <wp:extent cx="8890"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-340995</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-340995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-340995</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-340995</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-340995</wp:posOffset>
            </wp:positionV>
            <wp:extent cx="8890"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-340995</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-340995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-340995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-340995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-340995</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-340995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-340995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-340995</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-340995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-340995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-340995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-340995</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-340995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-340995</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-340995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-340995</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-340995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-340995</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-340995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-340995</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-340995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-340995</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-340995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-340995</wp:posOffset>
            </wp:positionV>
            <wp:extent cx="8890"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-340995</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-340995</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-340995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-340995</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-340995</wp:posOffset>
            </wp:positionV>
            <wp:extent cx="8890"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-340995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-340995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-340995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-340995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-340995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-340995</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-340995</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-340995</wp:posOffset>
            </wp:positionV>
            <wp:extent cx="8255"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-340995</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-340995</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-340995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-340995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-340995</wp:posOffset>
            </wp:positionV>
            <wp:extent cx="8255"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-340995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-340995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-340995</wp:posOffset>
            </wp:positionV>
            <wp:extent cx="8890"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-340995</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-340995</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-340995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-340995</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-340995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-340995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-340995</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-340995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-340995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4986020</wp:posOffset>
            </wp:positionH>
            <wp:positionV relativeFrom="paragraph">
              <wp:posOffset>-340995</wp:posOffset>
            </wp:positionV>
            <wp:extent cx="8255"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-340995</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5020310</wp:posOffset>
            </wp:positionH>
            <wp:positionV relativeFrom="paragraph">
              <wp:posOffset>-340995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-340995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-340995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-340995</wp:posOffset>
            </wp:positionV>
            <wp:extent cx="8255"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-340995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-340995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-340995</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-340995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-340995</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-340995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-340995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5208905</wp:posOffset>
            </wp:positionH>
            <wp:positionV relativeFrom="paragraph">
              <wp:posOffset>-340995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-340995</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-340995</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-340995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-340995</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-340995</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-340995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-340995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-340995</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-340995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-340995</wp:posOffset>
            </wp:positionV>
            <wp:extent cx="8890"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-340995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-340995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-340995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-340995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-340995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-340995</wp:posOffset>
            </wp:positionV>
            <wp:extent cx="8890"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-340995</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-340995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-340995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-340995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-340995</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-49530</wp:posOffset>
            </wp:positionV>
            <wp:extent cx="495490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6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37"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EXECUTIVE STOCK MATCH PROGRAM</w:t>
      </w:r>
    </w:p>
    <w:p>
      <w:pPr>
        <w:ind w:left="316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u w:val="single" w:color="auto"/>
          <w:color w:val="auto"/>
        </w:rPr>
        <w:t>Establishment and Purpose</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History of the Program</w:t>
      </w:r>
    </w:p>
    <w:p>
      <w:pPr>
        <w:spacing w:after="0" w:line="210"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The Company established this Executive Stock Match Program (the "Program") under Article 10 of the Company’s Long Term Stock Incentive Plan, as amended and restated (the "Plan"). The Program became effective on January 1, 2009, was amended and restated effective as of January 1, 2020, was amended and restated as of January 1, 2023, and was further amended as of December 6, 2024, as of January 1, 2025, and as of October 23, 2025. Among other changes, the October 23, 2025 amendment changed the name of the Program from the “Executive Stock Grant Program” to the “Executive Stock Match Program.” Except as otherwise provided herein, the Program shall be administered in accordance and subject to the terms of the Plan, and the Shares subject to Awards under this Program shall be granted under the Plan.</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Status of Program Under ERISA</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Program is intended to be "unfunded," terminable by the Company, and maintained "primarily for the purpose of providing deferred compensation for a select group of management or highly compensated employees" for purposes of ERISA. Accordingly, the Program is not intended to be covered by Parts 2 through 4 of Subtitle B of Title I of ERISA.</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Compliance with Section 409A</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To the extent the Program provides deferred compensation under Section 409A of the Code, the Program is intended to comply with Section 409A. The Program is intended to be interpreted consistent with the requirements of Section 409A of the Code.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following terms shall have the meanings described in this Article unless the context clearly indicates another meaning. All other defined terms shall have the meanings set forth in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Accounts</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"Accounts" means the bookkeeping records of the Participants’ benefits under the terms of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769620</wp:posOffset>
            </wp:positionV>
            <wp:extent cx="5452110" cy="2540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2" w:name="page113"/>
    <w:bookmarkEnd w:id="112"/>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Administrator</w:t>
      </w:r>
    </w:p>
    <w:p>
      <w:pPr>
        <w:spacing w:after="0" w:line="210" w:lineRule="exact"/>
        <w:rPr>
          <w:sz w:val="20"/>
          <w:szCs w:val="20"/>
          <w:color w:val="auto"/>
        </w:rPr>
      </w:pPr>
    </w:p>
    <w:p>
      <w:pPr>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"Administrator" means the fiduciary responsible for the operation and administration of the Program as provided in Article 7. The Company shall be the Administrator.</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Beneficiary</w:t>
      </w:r>
    </w:p>
    <w:p>
      <w:pPr>
        <w:spacing w:after="0" w:line="210" w:lineRule="exact"/>
        <w:rPr>
          <w:sz w:val="20"/>
          <w:szCs w:val="20"/>
          <w:color w:val="auto"/>
        </w:rPr>
      </w:pPr>
    </w:p>
    <w:p>
      <w:pPr>
        <w:jc w:val="both"/>
        <w:ind w:left="860" w:right="219" w:firstLine="1296"/>
        <w:spacing w:after="0" w:line="236" w:lineRule="auto"/>
        <w:rPr>
          <w:sz w:val="20"/>
          <w:szCs w:val="20"/>
          <w:color w:val="auto"/>
        </w:rPr>
      </w:pPr>
      <w:r>
        <w:rPr>
          <w:rFonts w:ascii="Times New Roman" w:cs="Times New Roman" w:eastAsia="Times New Roman" w:hAnsi="Times New Roman"/>
          <w:sz w:val="22"/>
          <w:szCs w:val="22"/>
          <w:color w:val="auto"/>
        </w:rPr>
        <w:t>“Beneficiary” means the beneficiary designated in writing by the Participant to receive benefits from the Program in the event of the Participant’s death. The Beneficiary shall be designated on a form provided by the Administrator, and the Participant may change the Beneficiary designation at any time by signing and delivering a new form to the Administrator. A beneficiary designation will become effective upon receipt by the Administrator, but only if received before the Participant’s death.</w:t>
      </w:r>
    </w:p>
    <w:p>
      <w:pPr>
        <w:spacing w:after="0" w:line="181" w:lineRule="exact"/>
        <w:rPr>
          <w:sz w:val="20"/>
          <w:szCs w:val="20"/>
          <w:color w:val="auto"/>
        </w:rPr>
      </w:pPr>
    </w:p>
    <w:p>
      <w:pPr>
        <w:jc w:val="both"/>
        <w:ind w:left="860" w:right="219" w:firstLine="1296"/>
        <w:spacing w:after="0" w:line="255" w:lineRule="auto"/>
        <w:rPr>
          <w:sz w:val="20"/>
          <w:szCs w:val="20"/>
          <w:color w:val="auto"/>
        </w:rPr>
      </w:pPr>
      <w:r>
        <w:rPr>
          <w:rFonts w:ascii="Times New Roman" w:cs="Times New Roman" w:eastAsia="Times New Roman" w:hAnsi="Times New Roman"/>
          <w:sz w:val="21"/>
          <w:szCs w:val="21"/>
          <w:color w:val="auto"/>
        </w:rPr>
        <w:t>A trust may be designated as a Beneficiary. If this occurs, the Administrator will determine the rights of any trustee designated as a Beneficiary without responsibility for determining the validity, existence or provisions of that trust, and will have no responsibility for the use of amounts paid to that trustee or for the discharge of the trust.</w:t>
      </w:r>
    </w:p>
    <w:p>
      <w:pPr>
        <w:spacing w:after="0" w:line="162" w:lineRule="exact"/>
        <w:rPr>
          <w:sz w:val="20"/>
          <w:szCs w:val="20"/>
          <w:color w:val="auto"/>
        </w:rPr>
      </w:pPr>
    </w:p>
    <w:p>
      <w:pPr>
        <w:jc w:val="both"/>
        <w:ind w:left="860" w:right="219" w:firstLine="1296"/>
        <w:spacing w:after="0" w:line="244" w:lineRule="auto"/>
        <w:rPr>
          <w:sz w:val="20"/>
          <w:szCs w:val="20"/>
          <w:color w:val="auto"/>
        </w:rPr>
      </w:pPr>
      <w:r>
        <w:rPr>
          <w:rFonts w:ascii="Times New Roman" w:cs="Times New Roman" w:eastAsia="Times New Roman" w:hAnsi="Times New Roman"/>
          <w:sz w:val="22"/>
          <w:szCs w:val="22"/>
          <w:color w:val="auto"/>
        </w:rPr>
        <w:t>If a Participant designates the Participant’s spouse as Beneficiary and the Participant and spouse are subsequently divorced, the judgment of divorce will be considered to revoke the prior Beneficiary designation of the spouse.</w:t>
      </w:r>
    </w:p>
    <w:p>
      <w:pPr>
        <w:spacing w:after="0" w:line="173" w:lineRule="exact"/>
        <w:rPr>
          <w:sz w:val="20"/>
          <w:szCs w:val="20"/>
          <w:color w:val="auto"/>
        </w:rPr>
      </w:pPr>
    </w:p>
    <w:p>
      <w:pPr>
        <w:jc w:val="both"/>
        <w:ind w:left="860" w:right="219" w:firstLine="1296"/>
        <w:spacing w:after="0" w:line="233" w:lineRule="auto"/>
        <w:rPr>
          <w:sz w:val="20"/>
          <w:szCs w:val="20"/>
          <w:color w:val="auto"/>
        </w:rPr>
      </w:pPr>
      <w:r>
        <w:rPr>
          <w:rFonts w:ascii="Times New Roman" w:cs="Times New Roman" w:eastAsia="Times New Roman" w:hAnsi="Times New Roman"/>
          <w:sz w:val="22"/>
          <w:szCs w:val="22"/>
          <w:color w:val="auto"/>
        </w:rPr>
        <w:t>The rules of this Section 2.3 apply unless provided otherwise in a Participant’s Beneficiary designation form. If a Participant designates one primary Beneficiary and the Beneficiary dies after the Participant but before benefit payments are completed, any remaining benefits will be payable to the secondary Beneficiary. If a Participant fails to designate a secondary Beneficiary, or if no secondary Beneficiary survives the primary Beneficiary, any remaining benefits will be payable to the deceased primary Beneficiary’s heirs in the manner described below. If a Participant designates more than one primary Beneficiary or more than one secondary Beneficiary and a Beneficiary dies before benefit payments are made, the Shares payable to the deceased Beneficiary will be paid to the deceased Beneficiary’s heirs in the manner described below as if the Beneficiary was the Participant.</w:t>
      </w:r>
    </w:p>
    <w:p>
      <w:pPr>
        <w:spacing w:after="0" w:line="187" w:lineRule="exact"/>
        <w:rPr>
          <w:sz w:val="20"/>
          <w:szCs w:val="20"/>
          <w:color w:val="auto"/>
        </w:rPr>
      </w:pPr>
    </w:p>
    <w:p>
      <w:pPr>
        <w:jc w:val="both"/>
        <w:ind w:left="860" w:right="219" w:firstLine="1296"/>
        <w:spacing w:after="0" w:line="239" w:lineRule="auto"/>
        <w:rPr>
          <w:sz w:val="20"/>
          <w:szCs w:val="20"/>
          <w:color w:val="auto"/>
        </w:rPr>
      </w:pPr>
      <w:r>
        <w:rPr>
          <w:rFonts w:ascii="Times New Roman" w:cs="Times New Roman" w:eastAsia="Times New Roman" w:hAnsi="Times New Roman"/>
          <w:sz w:val="22"/>
          <w:szCs w:val="22"/>
          <w:color w:val="auto"/>
        </w:rPr>
        <w:t>If a Participant fails to designate a Beneficiary, or if no designated Beneficiary survives a Participant, distribution will be made in equal shares to the members of the first of the classes listed below having a living member on the date the distribution is payable. The classes, in order of priority, are as follows:</w:t>
      </w:r>
    </w:p>
    <w:p>
      <w:pPr>
        <w:spacing w:after="0" w:line="180" w:lineRule="exact"/>
        <w:rPr>
          <w:sz w:val="20"/>
          <w:szCs w:val="20"/>
          <w:color w:val="auto"/>
        </w:rPr>
      </w:pPr>
    </w:p>
    <w:p>
      <w:pPr>
        <w:ind w:left="3440" w:hanging="639"/>
        <w:spacing w:after="0"/>
        <w:tabs>
          <w:tab w:leader="none" w:pos="344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Participant’s spouse;</w:t>
      </w:r>
    </w:p>
    <w:p>
      <w:pPr>
        <w:spacing w:after="0" w:line="206" w:lineRule="exact"/>
        <w:rPr>
          <w:rFonts w:ascii="Times New Roman" w:cs="Times New Roman" w:eastAsia="Times New Roman" w:hAnsi="Times New Roman"/>
          <w:sz w:val="22"/>
          <w:szCs w:val="22"/>
          <w:b w:val="1"/>
          <w:bCs w:val="1"/>
          <w:color w:val="auto"/>
        </w:rPr>
      </w:pPr>
    </w:p>
    <w:p>
      <w:pPr>
        <w:jc w:val="both"/>
        <w:ind w:left="1500" w:right="239" w:firstLine="1301"/>
        <w:spacing w:after="0" w:line="244" w:lineRule="auto"/>
        <w:tabs>
          <w:tab w:leader="none" w:pos="34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Participant’s children (natural, legally adopted or children placed for adoption) or their then-living issue, by right of representation; and</w:t>
      </w:r>
    </w:p>
    <w:p>
      <w:pPr>
        <w:spacing w:after="0" w:line="173" w:lineRule="exact"/>
        <w:rPr>
          <w:rFonts w:ascii="Times New Roman" w:cs="Times New Roman" w:eastAsia="Times New Roman" w:hAnsi="Times New Roman"/>
          <w:sz w:val="22"/>
          <w:szCs w:val="22"/>
          <w:b w:val="1"/>
          <w:bCs w:val="1"/>
          <w:color w:val="auto"/>
        </w:rPr>
      </w:pPr>
    </w:p>
    <w:p>
      <w:pPr>
        <w:ind w:left="1500" w:right="219" w:firstLine="1301"/>
        <w:spacing w:after="0" w:line="258" w:lineRule="auto"/>
        <w:tabs>
          <w:tab w:leader="none" w:pos="3444"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Participant’s estate, if the estate is under active administration. If the Participant’s estate is not under active administration,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3" w:name="page114"/>
    <w:bookmarkEnd w:id="113"/>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legal heirs of the Participant under the intestacy laws of the Participant’s state of residence on the date of the Participant’s death.</w:t>
      </w:r>
    </w:p>
    <w:p>
      <w:pPr>
        <w:spacing w:after="0" w:line="158" w:lineRule="exact"/>
        <w:rPr>
          <w:sz w:val="20"/>
          <w:szCs w:val="20"/>
          <w:color w:val="auto"/>
        </w:rPr>
      </w:pPr>
    </w:p>
    <w:p>
      <w:pPr>
        <w:jc w:val="both"/>
        <w:ind w:left="860" w:right="219" w:firstLine="1296"/>
        <w:spacing w:after="0" w:line="244" w:lineRule="auto"/>
        <w:rPr>
          <w:sz w:val="20"/>
          <w:szCs w:val="20"/>
          <w:color w:val="auto"/>
        </w:rPr>
      </w:pPr>
      <w:r>
        <w:rPr>
          <w:rFonts w:ascii="Times New Roman" w:cs="Times New Roman" w:eastAsia="Times New Roman" w:hAnsi="Times New Roman"/>
          <w:sz w:val="22"/>
          <w:szCs w:val="22"/>
          <w:color w:val="auto"/>
        </w:rPr>
        <w:t>A Beneficiary is permitted to disclaim the Beneficiary’s rights to a death benefit under the Program to the extent permitted by applicable law. If this occurs, the Beneficiary will be treated as predeceasing the Participant for purposes of this Section.</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records of the Administrator will be conclusive as to the proper payee and the amount payable. A distribution made based upon these facts will be treated as a complete discharge of all obligations under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Change in Control</w:t>
      </w:r>
    </w:p>
    <w:p>
      <w:pPr>
        <w:spacing w:after="0" w:line="210"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"Change in Control" means any of the following but only to the extent that such events meet the requirements of Treas. Reg. §1.409A-3(i)(5), or any successor provisions:</w:t>
      </w:r>
    </w:p>
    <w:p>
      <w:pPr>
        <w:spacing w:after="0" w:line="158" w:lineRule="exact"/>
        <w:rPr>
          <w:sz w:val="20"/>
          <w:szCs w:val="20"/>
          <w:color w:val="auto"/>
        </w:rPr>
      </w:pPr>
    </w:p>
    <w:p>
      <w:pPr>
        <w:ind w:left="860" w:right="239" w:firstLine="1293"/>
        <w:spacing w:after="0" w:line="258" w:lineRule="auto"/>
        <w:tabs>
          <w:tab w:leader="none" w:pos="280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sale of 40% or more of the material operating assets of the Company to a person or entity not affiliated with the Company prior to such sale;</w:t>
      </w:r>
    </w:p>
    <w:p>
      <w:pPr>
        <w:spacing w:after="0" w:line="158"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acquisition of stock of the Company possessing more than 30% of the total voting power of the stock of the Company, by a person, entity or group of people or entities acting as a group for voting or control purposes; or</w:t>
      </w:r>
    </w:p>
    <w:p>
      <w:pPr>
        <w:spacing w:after="0" w:line="173" w:lineRule="exact"/>
        <w:rPr>
          <w:rFonts w:ascii="Times New Roman" w:cs="Times New Roman" w:eastAsia="Times New Roman" w:hAnsi="Times New Roman"/>
          <w:sz w:val="22"/>
          <w:szCs w:val="22"/>
          <w:b w:val="1"/>
          <w:bCs w:val="1"/>
          <w:color w:val="auto"/>
        </w:rPr>
      </w:pPr>
    </w:p>
    <w:p>
      <w:pPr>
        <w:jc w:val="both"/>
        <w:ind w:left="860" w:right="219" w:firstLine="1293"/>
        <w:spacing w:after="0" w:line="261" w:lineRule="auto"/>
        <w:tabs>
          <w:tab w:leader="none" w:pos="2804"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replacement of a majority of the members of the Board during a twelve (12) consecutive month period by persons whose appointment or election was not endorsed by a majority of the Board immediately prior to such appointments or elections.</w:t>
      </w:r>
    </w:p>
    <w:p>
      <w:pPr>
        <w:spacing w:after="0" w:line="15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u w:val="single" w:color="auto"/>
          <w:color w:val="auto"/>
        </w:rPr>
        <w:t>Closing Price</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"Closing Price" shall mean the Nasdaq Official Close Price as reported on the NASDAQ Exchange.</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u w:val="single" w:color="auto"/>
          <w:color w:val="auto"/>
        </w:rPr>
        <w:t>Committee</w:t>
      </w:r>
    </w:p>
    <w:p>
      <w:pPr>
        <w:spacing w:after="0" w:line="210" w:lineRule="exact"/>
        <w:rPr>
          <w:sz w:val="20"/>
          <w:szCs w:val="20"/>
          <w:color w:val="auto"/>
        </w:rPr>
      </w:pPr>
    </w:p>
    <w:p>
      <w:pPr>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"Committee" shall mean the Committee of the Board of Directors of the Company designated in the Plan to administer such Plan, as such term is defined in the Plan.</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u w:val="single" w:color="auto"/>
          <w:color w:val="auto"/>
        </w:rPr>
        <w:t>Company</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"Company" means UFP Industries, Inc.</w:t>
      </w:r>
    </w:p>
    <w:p>
      <w:pPr>
        <w:spacing w:after="0" w:line="20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u w:val="single" w:color="auto"/>
          <w:color w:val="auto"/>
        </w:rPr>
        <w:t>Deferred Compensation Plan</w:t>
      </w:r>
    </w:p>
    <w:p>
      <w:pPr>
        <w:spacing w:after="0" w:line="210"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"Deferred Compensation Plan" means the UFP Industries, Inc. Deferred Compensation Plan, as amended and restated effective January 1, 2020 and as may be amended.</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u w:val="single" w:color="auto"/>
          <w:color w:val="auto"/>
        </w:rPr>
        <w:t>Determination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4" w:name="page115"/>
    <w:bookmarkEnd w:id="114"/>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"Determination Period" means with respect to a Participant who has a Separation from Service between January 1 and March 31, the second Year preceding the Year during which the Separation from Service occurred. If the Participant has a Separation from Service between April 1 and December 31, the Determination Period is the preceding Plan Year.</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u w:val="single" w:color="auto"/>
          <w:color w:val="auto"/>
        </w:rPr>
        <w:t>Distributable Event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"Distributable Event" means the earliest of the following to occur with respect to a</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Participant:</w:t>
      </w:r>
    </w:p>
    <w:p>
      <w:pPr>
        <w:spacing w:after="0" w:line="182" w:lineRule="exact"/>
        <w:rPr>
          <w:sz w:val="20"/>
          <w:szCs w:val="20"/>
          <w:color w:val="auto"/>
        </w:rPr>
      </w:pPr>
    </w:p>
    <w:p>
      <w:pPr>
        <w:ind w:left="2800" w:hanging="647"/>
        <w:spacing w:after="0"/>
        <w:tabs>
          <w:tab w:leader="none" w:pos="28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has a Separation from Service;</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dies while employed by the Company;</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incurs a Total Disability; or</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Change in Control occurs.</w:t>
      </w:r>
    </w:p>
    <w:p>
      <w:pPr>
        <w:spacing w:after="0" w:line="202" w:lineRule="exact"/>
        <w:rPr>
          <w:sz w:val="20"/>
          <w:szCs w:val="20"/>
          <w:color w:val="auto"/>
        </w:rPr>
      </w:pPr>
    </w:p>
    <w:p>
      <w:pPr>
        <w:ind w:left="150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u w:val="single" w:color="auto"/>
          <w:color w:val="auto"/>
        </w:rPr>
        <w:t>Employee</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"Employee" means a common-law employee of the Company or a Subsidiary. An individual who is treated as an independent contractor by the Company or Subsidiary is not an Employee.</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u w:val="single" w:color="auto"/>
          <w:color w:val="auto"/>
        </w:rPr>
        <w:t>ERISA</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"ERISA" means the Employee Retirement Income Security Act of 1974, as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amended.</w:t>
      </w:r>
    </w:p>
    <w:p>
      <w:pPr>
        <w:spacing w:after="0" w:line="178"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2.13</w:t>
      </w:r>
      <w:r>
        <w:rPr>
          <w:sz w:val="20"/>
          <w:szCs w:val="20"/>
          <w:color w:val="auto"/>
        </w:rPr>
        <w:tab/>
      </w:r>
      <w:r>
        <w:rPr>
          <w:rFonts w:ascii="Times New Roman" w:cs="Times New Roman" w:eastAsia="Times New Roman" w:hAnsi="Times New Roman"/>
          <w:sz w:val="21"/>
          <w:szCs w:val="21"/>
          <w:b w:val="1"/>
          <w:bCs w:val="1"/>
          <w:u w:val="single" w:color="auto"/>
          <w:color w:val="auto"/>
        </w:rPr>
        <w:t>Gross Misconduct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"Gross Misconduct" means one or more of the following:</w:t>
      </w:r>
    </w:p>
    <w:p>
      <w:pPr>
        <w:spacing w:after="0" w:line="206" w:lineRule="exact"/>
        <w:rPr>
          <w:sz w:val="20"/>
          <w:szCs w:val="20"/>
          <w:color w:val="auto"/>
        </w:rPr>
      </w:pPr>
    </w:p>
    <w:p>
      <w:pPr>
        <w:ind w:left="2800" w:hanging="647"/>
        <w:spacing w:after="0"/>
        <w:tabs>
          <w:tab w:leader="none" w:pos="28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Embezzlement or theft from the Company or any Subsidiary;</w:t>
      </w:r>
    </w:p>
    <w:p>
      <w:pPr>
        <w:spacing w:after="0" w:line="206" w:lineRule="exact"/>
        <w:rPr>
          <w:rFonts w:ascii="Times New Roman" w:cs="Times New Roman" w:eastAsia="Times New Roman" w:hAnsi="Times New Roman"/>
          <w:sz w:val="22"/>
          <w:szCs w:val="22"/>
          <w:b w:val="1"/>
          <w:bCs w:val="1"/>
          <w:color w:val="auto"/>
        </w:rPr>
      </w:pPr>
    </w:p>
    <w:p>
      <w:pPr>
        <w:ind w:left="860" w:right="239" w:firstLine="1293"/>
        <w:spacing w:after="0" w:line="258" w:lineRule="auto"/>
        <w:tabs>
          <w:tab w:leader="none" w:pos="2804"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unauthorized disclosure of the trade secrets or other proprietary information of the Company or a Subsidiary; or</w:t>
      </w:r>
    </w:p>
    <w:p>
      <w:pPr>
        <w:spacing w:after="0" w:line="158"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breach of the duty of loyalty described in Section 5.3.</w:t>
      </w:r>
    </w:p>
    <w:p>
      <w:pPr>
        <w:spacing w:after="0" w:line="206" w:lineRule="exact"/>
        <w:rPr>
          <w:sz w:val="20"/>
          <w:szCs w:val="20"/>
          <w:color w:val="auto"/>
        </w:rPr>
      </w:pPr>
    </w:p>
    <w:p>
      <w:pPr>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The definition of "Gross Misconduct" is relevant only for purposes of the forfeiture provisions in Section 5.2 and does not change the status of a Participant as an "employee at will."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5" w:name="page116"/>
    <w:bookmarkEnd w:id="115"/>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b w:val="1"/>
          <w:bCs w:val="1"/>
          <w:u w:val="single" w:color="auto"/>
          <w:color w:val="auto"/>
        </w:rPr>
        <w:t>Key Employee</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"Key Employee" means any employee of the Company or a Subsidiary who at any time during the Determination Period was a "specified employee" within the meaning of Treas. Reg. §1.409A-1(i), or any successor provision, and may include.</w:t>
      </w:r>
    </w:p>
    <w:p>
      <w:pPr>
        <w:spacing w:after="0" w:line="173" w:lineRule="exact"/>
        <w:rPr>
          <w:sz w:val="20"/>
          <w:szCs w:val="20"/>
          <w:color w:val="auto"/>
        </w:rPr>
      </w:pPr>
    </w:p>
    <w:p>
      <w:pPr>
        <w:jc w:val="both"/>
        <w:ind w:left="860" w:right="239" w:firstLine="1293"/>
        <w:spacing w:after="0" w:line="244" w:lineRule="auto"/>
        <w:tabs>
          <w:tab w:leader="none" w:pos="2804"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officer of the Company or a Subsidiary whose annual compensation from the Company and any Subsidiary is more than $150,000 (as adjusted under Section 416(i)(1) of the Code for Years beginning after December 31, 2008);</w:t>
      </w:r>
    </w:p>
    <w:p>
      <w:pPr>
        <w:spacing w:after="0" w:line="173"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person having more than a 5% ownership interest in the Company</w:t>
      </w:r>
    </w:p>
    <w:p>
      <w:pPr>
        <w:spacing w:after="0" w:line="25" w:lineRule="exact"/>
        <w:rPr>
          <w:rFonts w:ascii="Times New Roman" w:cs="Times New Roman" w:eastAsia="Times New Roman" w:hAnsi="Times New Roman"/>
          <w:sz w:val="21"/>
          <w:szCs w:val="21"/>
          <w:b w:val="1"/>
          <w:bCs w:val="1"/>
          <w:color w:val="auto"/>
        </w:rPr>
      </w:pPr>
    </w:p>
    <w:p>
      <w:pPr>
        <w:ind w:left="8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or a Subsidiary; or</w:t>
      </w:r>
    </w:p>
    <w:p>
      <w:pPr>
        <w:spacing w:after="0" w:line="182" w:lineRule="exact"/>
        <w:rPr>
          <w:rFonts w:ascii="Times New Roman" w:cs="Times New Roman" w:eastAsia="Times New Roman" w:hAnsi="Times New Roman"/>
          <w:sz w:val="21"/>
          <w:szCs w:val="21"/>
          <w:b w:val="1"/>
          <w:bCs w:val="1"/>
          <w:color w:val="auto"/>
        </w:rPr>
      </w:pPr>
    </w:p>
    <w:p>
      <w:pPr>
        <w:jc w:val="both"/>
        <w:ind w:left="860" w:right="219" w:firstLine="1293"/>
        <w:spacing w:after="0" w:line="244" w:lineRule="auto"/>
        <w:tabs>
          <w:tab w:leader="none" w:pos="2804"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person having more than a 1% ownership interest in the Company or a Subsidiary, and whose annual Compensation from the Company and all Subsidiaries is more than $150,000.</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determination of who is a Key Employee shall be made in accordance with Sections 409A and 416(i)(1) of the Code and the applicable regulations and guidance.</w:t>
      </w:r>
    </w:p>
    <w:p>
      <w:pPr>
        <w:spacing w:after="0" w:line="154" w:lineRule="exact"/>
        <w:rPr>
          <w:sz w:val="20"/>
          <w:szCs w:val="20"/>
          <w:color w:val="auto"/>
        </w:rPr>
      </w:pPr>
    </w:p>
    <w:p>
      <w:pPr>
        <w:ind w:left="1500"/>
        <w:spacing w:after="0"/>
        <w:tabs>
          <w:tab w:leader="none" w:pos="286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u w:val="single" w:color="auto"/>
          <w:color w:val="auto"/>
        </w:rPr>
        <w:t>Participant</w:t>
      </w:r>
    </w:p>
    <w:p>
      <w:pPr>
        <w:spacing w:after="0" w:line="210" w:lineRule="exact"/>
        <w:rPr>
          <w:sz w:val="20"/>
          <w:szCs w:val="20"/>
          <w:color w:val="auto"/>
        </w:rPr>
      </w:pPr>
    </w:p>
    <w:p>
      <w:pPr>
        <w:jc w:val="both"/>
        <w:ind w:left="200" w:right="239" w:firstLine="1296"/>
        <w:spacing w:after="0" w:line="244" w:lineRule="auto"/>
        <w:rPr>
          <w:sz w:val="20"/>
          <w:szCs w:val="20"/>
          <w:color w:val="auto"/>
        </w:rPr>
      </w:pPr>
      <w:r>
        <w:rPr>
          <w:rFonts w:ascii="Times New Roman" w:cs="Times New Roman" w:eastAsia="Times New Roman" w:hAnsi="Times New Roman"/>
          <w:sz w:val="22"/>
          <w:szCs w:val="22"/>
          <w:color w:val="auto"/>
        </w:rPr>
        <w:t>"Participant" means an Employee or former Employee of the Company or a Subsidiary who has met the requirements for participation under the terms of Article 3 of this Program and who is or may become eligible to receive benefits under this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2.16</w:t>
      </w:r>
      <w:r>
        <w:rPr>
          <w:sz w:val="20"/>
          <w:szCs w:val="20"/>
          <w:color w:val="auto"/>
        </w:rPr>
        <w:tab/>
      </w:r>
      <w:r>
        <w:rPr>
          <w:rFonts w:ascii="Times New Roman" w:cs="Times New Roman" w:eastAsia="Times New Roman" w:hAnsi="Times New Roman"/>
          <w:sz w:val="21"/>
          <w:szCs w:val="21"/>
          <w:b w:val="1"/>
          <w:bCs w:val="1"/>
          <w:u w:val="single" w:color="auto"/>
          <w:color w:val="auto"/>
        </w:rPr>
        <w:t>Participant Shares</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"Participant Shares" means the Shares awarded to a Participant pursuant to Sections 4.2 and 4.3 and credited to the Participant's Account pursuant to 4.1, to the extent vested or unvested. Such term shall collectively refer to Unvested Participant Shares and Vested Participant Shares.</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b w:val="1"/>
          <w:bCs w:val="1"/>
          <w:u w:val="single" w:color="auto"/>
          <w:color w:val="auto"/>
        </w:rPr>
        <w:t>Separation from Service</w:t>
      </w:r>
    </w:p>
    <w:p>
      <w:pPr>
        <w:spacing w:after="0" w:line="210"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"Separation from Service" means a "separation from service" under Section 409A of the Code. Generally, this occurs if a Participant is reasonably anticipated to have a substantial permanent reduction in the bona fide level of services provided to the Company and all Subsidiaries (whether provided as an employee or an independent contractor). The reduction shall be "substantial" only if the reduced bona fide level of services is less than 50% of the average bona fide level of services provided by Participant to the Company and all Subsidiaries during the immediately preceding 36 months (or the Participant’s entire period of service, if less than 36 months). A member of the Board shall be treated as having a Separation from Service as of the date that he or she is no longer a member of the Board.</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2.18</w:t>
      </w:r>
      <w:r>
        <w:rPr>
          <w:sz w:val="20"/>
          <w:szCs w:val="20"/>
          <w:color w:val="auto"/>
        </w:rPr>
        <w:tab/>
      </w:r>
      <w:r>
        <w:rPr>
          <w:rFonts w:ascii="Times New Roman" w:cs="Times New Roman" w:eastAsia="Times New Roman" w:hAnsi="Times New Roman"/>
          <w:sz w:val="21"/>
          <w:szCs w:val="21"/>
          <w:b w:val="1"/>
          <w:bCs w:val="1"/>
          <w:u w:val="single" w:color="auto"/>
          <w:color w:val="auto"/>
        </w:rPr>
        <w:t>Shares</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"Shares" means shares of the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6" w:name="page117"/>
    <w:bookmarkEnd w:id="116"/>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b w:val="1"/>
          <w:bCs w:val="1"/>
          <w:u w:val="single" w:color="auto"/>
          <w:color w:val="auto"/>
        </w:rPr>
        <w:t>Subsidiary</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"Subsidiary" means any corporation, limited liability company, partnership or other entity of which a majority of the outstanding voting stock or voting power is beneficially owned directly or indirectly by the Company.</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2.20</w:t>
      </w:r>
      <w:r>
        <w:rPr>
          <w:sz w:val="20"/>
          <w:szCs w:val="20"/>
          <w:color w:val="auto"/>
        </w:rPr>
        <w:tab/>
      </w:r>
      <w:r>
        <w:rPr>
          <w:rFonts w:ascii="Times New Roman" w:cs="Times New Roman" w:eastAsia="Times New Roman" w:hAnsi="Times New Roman"/>
          <w:sz w:val="21"/>
          <w:szCs w:val="21"/>
          <w:b w:val="1"/>
          <w:bCs w:val="1"/>
          <w:u w:val="single" w:color="auto"/>
          <w:color w:val="auto"/>
        </w:rPr>
        <w:t>Total Disability</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"Total Disability" means the Participant meets one of the following requirements, to the extent it qualifies as a Disability within the meaning of Treas. Reg. §1.409A-3(i)(4):</w:t>
      </w:r>
    </w:p>
    <w:p>
      <w:pPr>
        <w:spacing w:after="0" w:line="158" w:lineRule="exact"/>
        <w:rPr>
          <w:sz w:val="20"/>
          <w:szCs w:val="20"/>
          <w:color w:val="auto"/>
        </w:rPr>
      </w:pPr>
    </w:p>
    <w:p>
      <w:pPr>
        <w:jc w:val="both"/>
        <w:ind w:left="860" w:right="219" w:firstLine="1293"/>
        <w:spacing w:after="0" w:line="239" w:lineRule="auto"/>
        <w:tabs>
          <w:tab w:leader="none" w:pos="2804"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is unable to engage in any substantial gainful activity by reason of any medically determinable mental or physical impairment which can be expected to result in death or can be expected to last for a continuous period of at least 12 months; or</w:t>
      </w:r>
    </w:p>
    <w:p>
      <w:pPr>
        <w:spacing w:after="0" w:line="180" w:lineRule="exact"/>
        <w:rPr>
          <w:rFonts w:ascii="Times New Roman" w:cs="Times New Roman" w:eastAsia="Times New Roman" w:hAnsi="Times New Roman"/>
          <w:sz w:val="22"/>
          <w:szCs w:val="22"/>
          <w:b w:val="1"/>
          <w:bCs w:val="1"/>
          <w:color w:val="auto"/>
        </w:rPr>
      </w:pPr>
    </w:p>
    <w:p>
      <w:pPr>
        <w:jc w:val="both"/>
        <w:ind w:left="860" w:right="219" w:firstLine="1293"/>
        <w:spacing w:after="0" w:line="255" w:lineRule="auto"/>
        <w:tabs>
          <w:tab w:leader="none" w:pos="2804"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 Company-sponsored disability plan.</w:t>
      </w:r>
    </w:p>
    <w:p>
      <w:pPr>
        <w:spacing w:after="0" w:line="162"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existence of a Total Disability shall be established by the certification of a physician or physicians selected by the Administrator, unless the Administrator determines that an examination is unnecessary. Alternatively, a Participant shall be considered to have a Total Disability if the Participant is determined to be disabled by the Social Security Administration.</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2.21</w:t>
      </w:r>
      <w:r>
        <w:rPr>
          <w:sz w:val="20"/>
          <w:szCs w:val="20"/>
          <w:color w:val="auto"/>
        </w:rPr>
        <w:tab/>
      </w:r>
      <w:r>
        <w:rPr>
          <w:rFonts w:ascii="Times New Roman" w:cs="Times New Roman" w:eastAsia="Times New Roman" w:hAnsi="Times New Roman"/>
          <w:sz w:val="21"/>
          <w:szCs w:val="21"/>
          <w:b w:val="1"/>
          <w:bCs w:val="1"/>
          <w:u w:val="single" w:color="auto"/>
          <w:color w:val="auto"/>
        </w:rPr>
        <w:t>Trust Agreement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"Trust Agreement" means the trust agreement used to establish the Trust Fund.</w:t>
      </w:r>
    </w:p>
    <w:p>
      <w:pPr>
        <w:spacing w:after="0" w:line="20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2.22</w:t>
      </w:r>
      <w:r>
        <w:rPr>
          <w:sz w:val="20"/>
          <w:szCs w:val="20"/>
          <w:color w:val="auto"/>
        </w:rPr>
        <w:tab/>
      </w:r>
      <w:r>
        <w:rPr>
          <w:rFonts w:ascii="Times New Roman" w:cs="Times New Roman" w:eastAsia="Times New Roman" w:hAnsi="Times New Roman"/>
          <w:sz w:val="21"/>
          <w:szCs w:val="21"/>
          <w:b w:val="1"/>
          <w:bCs w:val="1"/>
          <w:u w:val="single" w:color="auto"/>
          <w:color w:val="auto"/>
        </w:rPr>
        <w:t>Trust Fund</w:t>
      </w:r>
    </w:p>
    <w:p>
      <w:pPr>
        <w:spacing w:after="0" w:line="21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"Trust Fund" means the assets held under the Trust Agreement in a trust, if one is established, that conforms with the model rabbi trust found in Internal Revenue Procedure 92-64, and meets the requirements of Code Section 409A, and is a grantor trust, of which the Company is the grantor, within the meaning of Subpart E, Part I, Subchapter J, Chapter 1, Subtitle A of the Code.</w:t>
      </w:r>
    </w:p>
    <w:p>
      <w:pPr>
        <w:spacing w:after="0" w:line="17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b w:val="1"/>
          <w:bCs w:val="1"/>
          <w:u w:val="single" w:color="auto"/>
          <w:color w:val="auto"/>
        </w:rPr>
        <w:t>Unvested Participant Shares</w:t>
      </w:r>
    </w:p>
    <w:p>
      <w:pPr>
        <w:spacing w:after="0" w:line="210"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"Unvested Participant Shares" means all or a portion of the Participant Shares credited to a Participant's Account pursuant to Article 4 to the extent that they are not Vested Participant Shares.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7" w:name="page118"/>
    <w:bookmarkEnd w:id="117"/>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b w:val="1"/>
          <w:bCs w:val="1"/>
          <w:u w:val="single" w:color="auto"/>
          <w:color w:val="auto"/>
        </w:rPr>
        <w:t>Vested Participant Shares</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"Vested Participant Shares" means all or a portion of the Participant Shares credited to a Participant's Account pursuant to Section 4 that have become vested and met the applicable vesting requirements set forth in Section 4.4 of this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2.25</w:t>
      </w:r>
      <w:r>
        <w:rPr>
          <w:sz w:val="20"/>
          <w:szCs w:val="20"/>
          <w:color w:val="auto"/>
        </w:rPr>
        <w:tab/>
      </w:r>
      <w:r>
        <w:rPr>
          <w:rFonts w:ascii="Times New Roman" w:cs="Times New Roman" w:eastAsia="Times New Roman" w:hAnsi="Times New Roman"/>
          <w:sz w:val="19"/>
          <w:szCs w:val="19"/>
          <w:b w:val="1"/>
          <w:bCs w:val="1"/>
          <w:u w:val="single" w:color="auto"/>
          <w:color w:val="auto"/>
        </w:rPr>
        <w:t>Year</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"Year" means the 12-consecutive-month period beginning on January 1 and ending on December 31.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Eligibility for Participation</w:t>
      </w:r>
    </w:p>
    <w:p>
      <w:pPr>
        <w:spacing w:after="0" w:line="21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Employees of the Company or a Subsidiary that (a) participate in the Deferred Compensation Plan, (b) elect to have all or a portion of his or her Elective Deferral to be deemed to be invested in Shares, and (c) who qualify as members of a "select group of management or other highly compensated employees" under Title I of ERISA shall automatically become a Participant in the Program.</w:t>
      </w:r>
    </w:p>
    <w:p>
      <w:pPr>
        <w:spacing w:after="0" w:line="17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Termination of Active Participation</w:t>
      </w:r>
    </w:p>
    <w:p>
      <w:pPr>
        <w:spacing w:after="0" w:line="210"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The Committee may remove an Employee from further active participation in the Program. If a Participant experiences a Separation from Service or otherwise ceases to be actively employed by the Company, the Participant shall not have any additional amounts credited to his or her Account under Section 4.2; however, credits of Participant Shares to a Participant’s Account may continue as applicable pursuant to Section 4.3 until the balance of Participant's Account and the Participant Shares credited thereunder are distributed or forfeited.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u w:val="single" w:color="auto"/>
          <w:color w:val="auto"/>
        </w:rPr>
        <w:t>Amounts Credited to Accounts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Participants’ Accounts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Administrator shall maintain an Account for each Participant to record the Participant’s benefits under the terms of the Program. Participant Shares shall be credited and allocated to a Participant’s Account as provided in this Article 4.</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Amounts Credited to Participant Accounts</w:t>
      </w:r>
    </w:p>
    <w:p>
      <w:pPr>
        <w:spacing w:after="0" w:line="210" w:lineRule="exact"/>
        <w:rPr>
          <w:sz w:val="20"/>
          <w:szCs w:val="20"/>
          <w:color w:val="auto"/>
        </w:rPr>
      </w:pPr>
    </w:p>
    <w:p>
      <w:pPr>
        <w:jc w:val="both"/>
        <w:ind w:left="860" w:right="219" w:firstLine="1293"/>
        <w:spacing w:after="0" w:line="238" w:lineRule="auto"/>
        <w:tabs>
          <w:tab w:leader="none" w:pos="2804"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Commencing with deferrals made under the Deferred Compensation Plan on or after January 1, 2025, each Participant shall be credited with Unvested Participant Shares equal to $0.35 for every $1.00 of Base Salary and/or Bonus (each as defined in the Deferred Compensation Plan) which the Participant defers under the Deferred Compensation Plan for the prior Year and which is deemed to be invested in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18" w:name="page119"/>
    <w:bookmarkEnd w:id="118"/>
    <w:p>
      <w:pPr>
        <w:jc w:val="both"/>
        <w:ind w:left="860" w:right="219"/>
        <w:spacing w:after="0" w:line="238" w:lineRule="auto"/>
        <w:rPr>
          <w:sz w:val="20"/>
          <w:szCs w:val="20"/>
          <w:color w:val="auto"/>
        </w:rPr>
      </w:pPr>
      <w:r>
        <w:rPr>
          <w:rFonts w:ascii="Times New Roman" w:cs="Times New Roman" w:eastAsia="Times New Roman" w:hAnsi="Times New Roman"/>
          <w:sz w:val="22"/>
          <w:szCs w:val="22"/>
          <w:color w:val="auto"/>
        </w:rPr>
        <w:t xml:space="preserve">Shares under the terms and conditions of the Deferred Compensation Plan. Notwithstanding the foregoing, in no event shall the aggregate Elective Deferrals (as defined in the Deferred Compensation Plan) to be considered in the calculation of the total number of Unvested Participant Shares granted to a Participant under this Section 4.2 exceed the limits set forth in attached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860" w:right="219" w:firstLine="1293"/>
        <w:spacing w:after="0" w:line="238" w:lineRule="auto"/>
        <w:tabs>
          <w:tab w:leader="none" w:pos="2804"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Participant will be credited with a number of Unvested Participant Shares equal to thirty-five percent (35%) of (i) the amount of deferred Base Salary, divided by the Closing Price on the date the Base Salary would have otherwise been paid to Participant, and (ii) the amount of the Bonus, divided by the Closing Price on the date the Bonus would have otherwise been paid to Participant.</w:t>
      </w:r>
    </w:p>
    <w:p>
      <w:pPr>
        <w:spacing w:after="0" w:line="17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Amounts Credited for Company Dividends</w:t>
      </w:r>
    </w:p>
    <w:p>
      <w:pPr>
        <w:spacing w:after="0" w:line="210" w:lineRule="exact"/>
        <w:rPr>
          <w:sz w:val="20"/>
          <w:szCs w:val="20"/>
          <w:color w:val="auto"/>
        </w:rPr>
      </w:pPr>
    </w:p>
    <w:p>
      <w:pPr>
        <w:jc w:val="both"/>
        <w:ind w:left="860" w:right="219"/>
        <w:spacing w:after="0" w:line="234" w:lineRule="auto"/>
        <w:rPr>
          <w:sz w:val="20"/>
          <w:szCs w:val="20"/>
          <w:color w:val="auto"/>
        </w:rPr>
      </w:pPr>
      <w:r>
        <w:rPr>
          <w:rFonts w:ascii="Times New Roman" w:cs="Times New Roman" w:eastAsia="Times New Roman" w:hAnsi="Times New Roman"/>
          <w:sz w:val="22"/>
          <w:szCs w:val="22"/>
          <w:color w:val="auto"/>
        </w:rPr>
        <w:t>If the Company pays a dividend on its Shares, a Participant's Account shall be credited with additional Shares, with respect to both Unvested Participant Shares and Vested Participant Shares credited to a Participant's Account as of the Credit Date as of the end of the immediately preceding Year, in an amount equal to the number of Participant Shares credited the Participant's Account as of the Credit Date, multiplied by a fraction, the numerator of which equals the per Share cash dividend and the denominator of which equals the Closing Price on the date the dividend is paid. The Credit Date means the date, each Year, that all Participant Shares are allocated to a Participant's Account as a result of Elective Deferrals under the Deferred Compensation Plan for the immediately preceding Year.</w:t>
      </w:r>
    </w:p>
    <w:p>
      <w:pPr>
        <w:spacing w:after="0" w:line="175"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Vesting and Forfeiture</w:t>
      </w:r>
    </w:p>
    <w:p>
      <w:pPr>
        <w:spacing w:after="0" w:line="206" w:lineRule="exact"/>
        <w:rPr>
          <w:sz w:val="20"/>
          <w:szCs w:val="20"/>
          <w:color w:val="auto"/>
        </w:rPr>
      </w:pPr>
    </w:p>
    <w:p>
      <w:pPr>
        <w:jc w:val="both"/>
        <w:ind w:left="200" w:right="219" w:firstLine="1953"/>
        <w:spacing w:after="0" w:line="246" w:lineRule="auto"/>
        <w:tabs>
          <w:tab w:leader="none" w:pos="2792"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and Forfeiture</w:t>
      </w:r>
      <w:r>
        <w:rPr>
          <w:rFonts w:ascii="Times New Roman" w:cs="Times New Roman" w:eastAsia="Times New Roman" w:hAnsi="Times New Roman"/>
          <w:sz w:val="22"/>
          <w:szCs w:val="22"/>
          <w:color w:val="auto"/>
        </w:rPr>
        <w:t>. Each Participant's Unvested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credited to that Participant’s Account pursuant to Sections 4.2 and 4.3 shall vest and become Vested Participant Shares as provided in this Section 4.4.</w:t>
      </w:r>
    </w:p>
    <w:p>
      <w:pPr>
        <w:spacing w:after="0" w:line="167" w:lineRule="exact"/>
        <w:rPr>
          <w:rFonts w:ascii="Times New Roman" w:cs="Times New Roman" w:eastAsia="Times New Roman" w:hAnsi="Times New Roman"/>
          <w:sz w:val="22"/>
          <w:szCs w:val="22"/>
          <w:b w:val="1"/>
          <w:bCs w:val="1"/>
          <w:color w:val="auto"/>
        </w:rPr>
      </w:pPr>
    </w:p>
    <w:p>
      <w:pPr>
        <w:jc w:val="both"/>
        <w:ind w:left="200" w:right="219" w:firstLine="2601"/>
        <w:spacing w:after="0" w:line="236" w:lineRule="auto"/>
        <w:tabs>
          <w:tab w:leader="none" w:pos="3440" w:val="left"/>
        </w:tabs>
        <w:numPr>
          <w:ilvl w:val="1"/>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Rule</w:t>
      </w:r>
      <w:r>
        <w:rPr>
          <w:rFonts w:ascii="Times New Roman" w:cs="Times New Roman" w:eastAsia="Times New Roman" w:hAnsi="Times New Roman"/>
          <w:sz w:val="22"/>
          <w:szCs w:val="22"/>
          <w:color w:val="auto"/>
        </w:rPr>
        <w:t>. Unvested Participant Shares credited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Account under Section 4.2 shall vest, in full, and become Vested Participant Shares separately on the fifth anniversary of the Credit Date, provided that the Participant remains employed by the Company or a Subsidiary on such applicable fifth anniversary. A separate subaccount shall be maintained for each credit of Shares to a Participant. Participant Shares credited to a Participant under Section 4.3 shall vest in accordance with the manner in which the Participant Shares are allocated as Unvested Participant Shares and Vested Participant Shares.</w:t>
      </w:r>
    </w:p>
    <w:p>
      <w:pPr>
        <w:spacing w:after="0" w:line="175" w:lineRule="exact"/>
        <w:rPr>
          <w:rFonts w:ascii="Times New Roman" w:cs="Times New Roman" w:eastAsia="Times New Roman" w:hAnsi="Times New Roman"/>
          <w:sz w:val="22"/>
          <w:szCs w:val="22"/>
          <w:b w:val="1"/>
          <w:bCs w:val="1"/>
          <w:color w:val="auto"/>
        </w:rPr>
      </w:pPr>
    </w:p>
    <w:p>
      <w:pPr>
        <w:jc w:val="both"/>
        <w:ind w:left="200" w:right="219" w:firstLine="2601"/>
        <w:spacing w:after="0" w:line="238" w:lineRule="auto"/>
        <w:tabs>
          <w:tab w:leader="none" w:pos="3440" w:val="left"/>
        </w:tabs>
        <w:numPr>
          <w:ilvl w:val="1"/>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Age 60, Death, Disability or Change in Control</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5.2 below, Unvested Participant Shares credited to a Participant's Account shall vest in full, and become Vested Participant Shares, in the event that the Participant attains age 60, dies, incurs a Total Disability or a Change in Control occurs, while the Participant is employed by the Company or a Subsidiary.</w:t>
      </w:r>
    </w:p>
    <w:p>
      <w:pPr>
        <w:spacing w:after="0" w:line="176" w:lineRule="exact"/>
        <w:rPr>
          <w:rFonts w:ascii="Times New Roman" w:cs="Times New Roman" w:eastAsia="Times New Roman" w:hAnsi="Times New Roman"/>
          <w:sz w:val="22"/>
          <w:szCs w:val="22"/>
          <w:b w:val="1"/>
          <w:bCs w:val="1"/>
          <w:color w:val="auto"/>
        </w:rPr>
      </w:pPr>
    </w:p>
    <w:p>
      <w:pPr>
        <w:jc w:val="both"/>
        <w:ind w:left="200" w:right="219" w:firstLine="2601"/>
        <w:spacing w:after="0" w:line="246" w:lineRule="auto"/>
        <w:tabs>
          <w:tab w:leader="none" w:pos="3440" w:val="left"/>
        </w:tabs>
        <w:numPr>
          <w:ilvl w:val="1"/>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Forfeiture</w:t>
      </w:r>
      <w:r>
        <w:rPr>
          <w:rFonts w:ascii="Times New Roman" w:cs="Times New Roman" w:eastAsia="Times New Roman" w:hAnsi="Times New Roman"/>
          <w:sz w:val="22"/>
          <w:szCs w:val="22"/>
          <w:color w:val="auto"/>
        </w:rPr>
        <w:t>. If a Participant has a Separation from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date of the events set forth in Section 4.4(a)(2), all Unvested Participant Shares shall be forfeited immediately. The Participant shall not be entitled to any payment or other economic</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9" w:name="page120"/>
    <w:bookmarkEnd w:id="119"/>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benefit with respect to such forfeited Unvested Participant Shares pursuant to the terms of this Program. The Participant’s forfeiture shall not be reallocated to the Accounts of other Participants, but shall reduce the Company’s liability under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u w:val="single" w:color="auto"/>
          <w:color w:val="auto"/>
        </w:rPr>
        <w:t>Voting Rights with Respect to Participant Shares</w:t>
      </w:r>
    </w:p>
    <w:p>
      <w:pPr>
        <w:spacing w:after="0" w:line="210" w:lineRule="exact"/>
        <w:rPr>
          <w:sz w:val="20"/>
          <w:szCs w:val="20"/>
          <w:color w:val="auto"/>
        </w:rPr>
      </w:pPr>
    </w:p>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Participants shall have no voting rights with respect to Participant Shares allocated to their Accounts unless and until such Participant Shares are distributed to such Participant or Beneficiary pursuant to the terms of this Program. Participants and Beneficiaries are not shareholders of the Company or any Subsidiary by virtue of the Participant Shares credited to their Accounts and have no equity ownership interest in the Company or any Subsidiary by virtue of this Program, unless and until such Participant Shares are distributed to such Participant or Beneficiary pursuant to the terms of this Program.</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 of Benefits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Hardship Withdrawals</w:t>
      </w:r>
    </w:p>
    <w:p>
      <w:pPr>
        <w:spacing w:after="0" w:line="21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A Participant who has an unforeseeable financial emergency may receive payment while employed by the Company or a Subsidiary of all or part of the vested amount credited to the Participant’s Account. A Participant may only withdraw the amount reasonably needed to satisfy the financial emergency need, including taxes reasonably anticipated to result from the distribution.</w:t>
      </w:r>
    </w:p>
    <w:p>
      <w:pPr>
        <w:spacing w:after="0" w:line="177"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For purposes of this Section 5.1, an unforeseeable financial emergency is a severe financial hardship of the Participant resulting from: a sudden and unexpected illness or accident of the Participant or a dependent of the Participant; loss of the Participant’s property due to casualty; or other similar extraordinary and unforeseeable circumstances arising as a result of events beyond the control of the Participant, to the extent such event qualifies under Treas. Reg. §1.409A-3(i)(3) or any successor provisions. But the Participant will not be considered to have an unforeseeable emergency if the hardship is or may be relieved:</w:t>
      </w:r>
    </w:p>
    <w:p>
      <w:pPr>
        <w:spacing w:after="0" w:line="183" w:lineRule="exact"/>
        <w:rPr>
          <w:sz w:val="20"/>
          <w:szCs w:val="20"/>
          <w:color w:val="auto"/>
        </w:rPr>
      </w:pPr>
    </w:p>
    <w:p>
      <w:pPr>
        <w:ind w:left="2800" w:hanging="647"/>
        <w:spacing w:after="0"/>
        <w:tabs>
          <w:tab w:leader="none" w:pos="280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Through reimbursement or compensation by insurance or otherwise;</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or</w:t>
      </w:r>
    </w:p>
    <w:p>
      <w:pPr>
        <w:spacing w:after="0" w:line="182" w:lineRule="exact"/>
        <w:rPr>
          <w:sz w:val="20"/>
          <w:szCs w:val="20"/>
          <w:color w:val="auto"/>
        </w:rPr>
      </w:pPr>
    </w:p>
    <w:p>
      <w:pPr>
        <w:ind w:left="860" w:right="219" w:firstLine="1293"/>
        <w:spacing w:after="0" w:line="258" w:lineRule="auto"/>
        <w:tabs>
          <w:tab w:leader="none" w:pos="2804"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By liquidation of the Participant’s assets, to the extent the liquidation of such assets would itself not cause severe financial hardship.</w:t>
      </w:r>
    </w:p>
    <w:p>
      <w:pPr>
        <w:spacing w:after="0" w:line="158" w:lineRule="exact"/>
        <w:rPr>
          <w:sz w:val="20"/>
          <w:szCs w:val="20"/>
          <w:color w:val="auto"/>
        </w:rPr>
      </w:pPr>
    </w:p>
    <w:p>
      <w:pPr>
        <w:ind w:left="860" w:right="239" w:firstLine="648"/>
        <w:spacing w:after="0" w:line="258" w:lineRule="auto"/>
        <w:rPr>
          <w:sz w:val="20"/>
          <w:szCs w:val="20"/>
          <w:color w:val="auto"/>
        </w:rPr>
      </w:pPr>
      <w:r>
        <w:rPr>
          <w:rFonts w:ascii="Times New Roman" w:cs="Times New Roman" w:eastAsia="Times New Roman" w:hAnsi="Times New Roman"/>
          <w:sz w:val="22"/>
          <w:szCs w:val="22"/>
          <w:color w:val="auto"/>
        </w:rPr>
        <w:t>The need to send a Participant’s child to college or the desire to purchase a home are not unforeseeable emergencies for purposes of this Section 5.1.</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Administrator may periodically establish administrative rules regarding withdrawals under this Section 5.1. Any hardship withdrawals made by a Participant shall reduce the number of Participant Shares credited to Participant's Account and correspondingly the amount distributable to the Participant under this Article 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0" w:name="page121"/>
    <w:bookmarkEnd w:id="120"/>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Forfeiture of Vested Benefits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Notwithstanding anything else herein to the contrary, the Participant shall forfeit all Participant Shares, including Vested Participant Shares and Unvested Participant Shares, credited to his or her Account if:</w:t>
      </w:r>
    </w:p>
    <w:p>
      <w:pPr>
        <w:spacing w:after="0" w:line="173" w:lineRule="exact"/>
        <w:rPr>
          <w:sz w:val="20"/>
          <w:szCs w:val="20"/>
          <w:color w:val="auto"/>
        </w:rPr>
      </w:pPr>
    </w:p>
    <w:p>
      <w:pPr>
        <w:ind w:left="860" w:right="239" w:firstLine="1293"/>
        <w:spacing w:after="0" w:line="258" w:lineRule="auto"/>
        <w:tabs>
          <w:tab w:leader="none" w:pos="2804"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has a voluntary or involuntary Separation from Service after the Participant commits Gross Misconduct.</w:t>
      </w:r>
    </w:p>
    <w:p>
      <w:pPr>
        <w:spacing w:after="0" w:line="158"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fails to comply with the duty of loyalty described in</w:t>
      </w:r>
    </w:p>
    <w:p>
      <w:pPr>
        <w:spacing w:after="0" w:line="14"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5.3.</w:t>
      </w:r>
    </w:p>
    <w:p>
      <w:pPr>
        <w:spacing w:after="0" w:line="182"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amount of any forfeitures under this Section 5.2 shall reduce the Company’s liability under this Program and shall not be reallocated to the Accounts of other Participants.</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Duty of Loyalty</w:t>
      </w:r>
    </w:p>
    <w:p>
      <w:pPr>
        <w:spacing w:after="0" w:line="210" w:lineRule="exact"/>
        <w:rPr>
          <w:sz w:val="20"/>
          <w:szCs w:val="20"/>
          <w:color w:val="auto"/>
        </w:rPr>
      </w:pPr>
    </w:p>
    <w:p>
      <w:pPr>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Each Participant has a duty of loyalty to the Company and its Subsidiaries. While the Participant is employed by the Company or a Subsidiary, this duty includes the following:</w:t>
      </w:r>
    </w:p>
    <w:p>
      <w:pPr>
        <w:spacing w:after="0" w:line="158" w:lineRule="exact"/>
        <w:rPr>
          <w:sz w:val="20"/>
          <w:szCs w:val="20"/>
          <w:color w:val="auto"/>
        </w:rPr>
      </w:pPr>
    </w:p>
    <w:p>
      <w:pPr>
        <w:ind w:left="860" w:right="219" w:firstLine="1293"/>
        <w:spacing w:after="0" w:line="258" w:lineRule="auto"/>
        <w:tabs>
          <w:tab w:leader="none" w:pos="2804"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use the Participant’s best efforts in performing any job duties assigned to the Participant.</w:t>
      </w:r>
    </w:p>
    <w:p>
      <w:pPr>
        <w:spacing w:after="0" w:line="158"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not have an ownership interest in any other entity if that ownership interest detracts from the Participant’s job duties for the Company or a Subsidiary, or is inconsistent with the best interests of the Company or a Subsidiary.</w:t>
      </w:r>
    </w:p>
    <w:p>
      <w:pPr>
        <w:spacing w:after="0" w:line="173"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not provide services to any other entity if those services detract from the Participant’s job duties for the Company or is in any way inconsistent with the best interests of the Company or a Subsidiary.</w:t>
      </w:r>
    </w:p>
    <w:p>
      <w:pPr>
        <w:spacing w:after="0" w:line="173"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Participant shall not take advantage of any business opportunities for the Participant’s individual benefit if the business opportunity should have been provided to the Company or a Subsidiary.</w:t>
      </w:r>
    </w:p>
    <w:p>
      <w:pPr>
        <w:spacing w:after="0" w:line="173"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If the Company notifies a Participant that the Participant is in violation of the duty of loyalty described in this Section 5.3, the Participant shall have ten days to cure any violation as required by the Company or forfeit all rights to subsequent benefits from the Program. If the Participant cures a violation of the duty of loyalty, but then violates the duty of loyalty a second time, the Participant shall immediately forfeit all rights to subsequent benefits from the Program without being given the right to cure the violation.</w:t>
      </w:r>
    </w:p>
    <w:p>
      <w:pPr>
        <w:spacing w:after="0" w:line="181"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The determination of whether a Participant has violated the duty of loyalty described in this Section 5.3 shall be made by the Administrator in its sole discretion.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1" w:name="page122"/>
    <w:bookmarkEnd w:id="121"/>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Payment Timing &amp; Terms</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All Vested Participant Shares credited to a Participant's Account shall be distributed to a Participant or the Participant's Beneficiary, as applicable, in a single lump sum payable in the form of certificates for whole Shares of the Company (except for fractional Shares which shall be paid in cash or withheld to cover taxes) at the first of the following to occur:</w:t>
      </w:r>
    </w:p>
    <w:p>
      <w:pPr>
        <w:spacing w:after="0" w:line="180" w:lineRule="exact"/>
        <w:rPr>
          <w:sz w:val="20"/>
          <w:szCs w:val="20"/>
          <w:color w:val="auto"/>
        </w:rPr>
      </w:pPr>
    </w:p>
    <w:p>
      <w:pPr>
        <w:jc w:val="both"/>
        <w:ind w:left="200" w:right="219" w:firstLine="1953"/>
        <w:spacing w:after="0" w:line="244" w:lineRule="auto"/>
        <w:tabs>
          <w:tab w:leader="none" w:pos="2792"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Distributable Event occurs as a result of the Participant’s Total Disability or Separation from Service, the Vested Participant Shares shall be paid not later than 90 days after the Distributable Event.</w:t>
      </w:r>
    </w:p>
    <w:p>
      <w:pPr>
        <w:spacing w:after="0" w:line="173"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Participant has a Distributable Event because of a Change in</w:t>
      </w:r>
    </w:p>
    <w:p>
      <w:pPr>
        <w:spacing w:after="0" w:line="14" w:lineRule="exact"/>
        <w:rPr>
          <w:rFonts w:ascii="Times New Roman" w:cs="Times New Roman" w:eastAsia="Times New Roman" w:hAnsi="Times New Roman"/>
          <w:sz w:val="22"/>
          <w:szCs w:val="22"/>
          <w:b w:val="1"/>
          <w:bCs w:val="1"/>
          <w:color w:val="auto"/>
        </w:rPr>
      </w:pPr>
    </w:p>
    <w:p>
      <w:pPr>
        <w:ind w:left="2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Control, the Participant Shares shall be paid on the date of the Change in Control.</w:t>
      </w:r>
    </w:p>
    <w:p>
      <w:pPr>
        <w:spacing w:after="0" w:line="182"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Participant has a Distributable Event because of the Participant’s death, the Vested Participant Shares shall be paid to the Participant’s Beneficiary on the date that is 90 days after the Participant’s death.</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else to the contrary including the provisions of this Section 5.4, payment to a Key Employee as a result of a Separation from Service will be delayed until the six-month anniversary of the date the Key Employee has a Separation from Service or the date of the Key Employee’s death, if earlier.</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Spendthrift Provision</w:t>
      </w:r>
    </w:p>
    <w:p>
      <w:pPr>
        <w:spacing w:after="0" w:line="210"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No benefit or interest under the Program is subject in any manner to anticipation, alienation, sale, transfer, assignment, pledge, encumbrance, attachment, or garnishment by creditors of a Participant or the Participant’s Beneficiary, and are exempt, to the maximum extent permitted by law, from the claims of creditors. Any attempt by a Participant or Beneficiary to assign or alienate the benefits issued pursuant to the terms of this Program shall cause all of such benefits to be immediately forfeited and neither Participant nor Beneficiary shall be entitled to any payment or other economic benefit with respect to the forfeited Incentive Benefit or otherwise under the terms of the Program. As used in this section, the words assignment and alienation include any sale, transfer, or other disposition; any anticipation, pledge, security agreement, or other method of securing payment or performance of an obligation; any garnishment, execution, attachment, levy, or other method of satisfying creditors’ claims. Notwithstanding the foregoing, the prohibition on assignment and alienation shall not restrict the Company or any Subsidiary’s obligation to engage in tax withholding.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u w:val="single" w:color="auto"/>
          <w:color w:val="auto"/>
        </w:rPr>
        <w:t>Funding</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u w:val="single" w:color="auto"/>
          <w:color w:val="auto"/>
        </w:rPr>
        <w:t>Establishment of Trust Fund</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Company may enter into a Trust Agreement to establish a Trust Fund and shall contribute Shares to the Trust Fund as such Shares are granted to Participants. Any Shares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22" w:name="page123"/>
    <w:bookmarkEnd w:id="122"/>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forfeited by Participants may be retained in the Trust and used to reduce future contributions to be made by the Company.</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u w:val="single" w:color="auto"/>
          <w:color w:val="auto"/>
        </w:rPr>
        <w:t>Status as Grantor Trust</w:t>
      </w:r>
    </w:p>
    <w:p>
      <w:pPr>
        <w:spacing w:after="0" w:line="210"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The Trust Fund shall be a grantor trust. The Trust Agreement shall provide that the assets of the Trust Fund are subject to the claims of the Company’s general creditors if the Company becomes insolvent. In addition, neither this Program nor the establishment of a Trust Fund shall create any trust or other fiduciary relationship of any kind with respect to the deferred compensation or any asset of the Company. The Company has complete legal and beneficial ownership of all assets in the Trust Fund and Participant Accounts until distributed pursuant to the terms of this Program. The right to benefits under the Program is merely an unsecured promise of the Company to pay the deferred compensation from the Company’s general assets. The Program does not require the Company or the Committee to establish any fund or segregate any assets for the benefit of any Participant.</w:t>
      </w:r>
    </w:p>
    <w:p>
      <w:pPr>
        <w:spacing w:after="0" w:line="175"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u w:val="single" w:color="auto"/>
          <w:color w:val="auto"/>
        </w:rPr>
        <w:t>Status of Participants as Unsecured Creditors</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obligation of the Company to pay benefits under the Plan shall be unsecured. Each Participant is an unsecured creditor of the Company. The Plan constitutes a mere promise by the Company to make benefit payments in the future.</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establishment of an Account for a Participant and the Company’s payment of contributions to the Trust Fund are not intended to create any security for payment of benefits under the Plan or change the status of the Plan as an unfunded plan.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b w:val="1"/>
          <w:bCs w:val="1"/>
          <w:u w:val="single" w:color="auto"/>
          <w:color w:val="auto"/>
        </w:rPr>
        <w:t>Administrator</w:t>
      </w:r>
    </w:p>
    <w:p>
      <w:pPr>
        <w:spacing w:after="0" w:line="210"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The Company shall have the sole responsibility for the administration of the Plan and is designated as named fiduciary and Administrator. The Administrator shall have the power and duties which are described in this Article. The Committee shall carry out the functions of the Administrator with respect to the day-to-day operation of the Program. If a member of the Committee is a Participant, the member shall abstain from voting on any matter relating to the member’s benefits under the Program.</w:t>
      </w:r>
    </w:p>
    <w:p>
      <w:pPr>
        <w:spacing w:after="0" w:line="177"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u w:val="single" w:color="auto"/>
          <w:color w:val="auto"/>
        </w:rPr>
        <w:t>Powers of Administrator</w:t>
      </w:r>
    </w:p>
    <w:p>
      <w:pPr>
        <w:spacing w:after="0" w:line="21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Administrator shall have all discretionary powers necessary to administer and satisfy its obligations under the Program, including, but not limited to, the following:</w:t>
      </w:r>
    </w:p>
    <w:p>
      <w:pPr>
        <w:spacing w:after="0" w:line="158" w:lineRule="exact"/>
        <w:rPr>
          <w:sz w:val="20"/>
          <w:szCs w:val="20"/>
          <w:color w:val="auto"/>
        </w:rPr>
      </w:pPr>
    </w:p>
    <w:p>
      <w:pPr>
        <w:ind w:left="2800" w:hanging="647"/>
        <w:spacing w:after="0"/>
        <w:tabs>
          <w:tab w:leader="none" w:pos="280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Maintain records pertaining to the Program.</w:t>
      </w:r>
    </w:p>
    <w:p>
      <w:pPr>
        <w:spacing w:after="0" w:line="206"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Interpret the terms and provisions of the Program.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3" w:name="page124"/>
    <w:bookmarkEnd w:id="123"/>
    <w:p>
      <w:pPr>
        <w:ind w:left="860" w:right="219" w:firstLine="1293"/>
        <w:spacing w:after="0" w:line="258" w:lineRule="auto"/>
        <w:tabs>
          <w:tab w:leader="none" w:pos="280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Establish procedures by which Participants may apply for benefits under the Program and appeal a denial of benefits.</w:t>
      </w:r>
    </w:p>
    <w:p>
      <w:pPr>
        <w:spacing w:after="0" w:line="158" w:lineRule="exact"/>
        <w:rPr>
          <w:rFonts w:ascii="Times New Roman" w:cs="Times New Roman" w:eastAsia="Times New Roman" w:hAnsi="Times New Roman"/>
          <w:sz w:val="22"/>
          <w:szCs w:val="22"/>
          <w:b w:val="1"/>
          <w:bCs w:val="1"/>
          <w:color w:val="auto"/>
        </w:rPr>
      </w:pPr>
    </w:p>
    <w:p>
      <w:pPr>
        <w:ind w:left="860" w:right="219" w:firstLine="1293"/>
        <w:spacing w:after="0" w:line="258" w:lineRule="auto"/>
        <w:tabs>
          <w:tab w:leader="none" w:pos="280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Determine the rights under the Program of any Participant applying for or receiving benefits.</w:t>
      </w:r>
    </w:p>
    <w:p>
      <w:pPr>
        <w:spacing w:after="0" w:line="158"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Administer the appeal procedure provided in this Article.</w:t>
      </w:r>
    </w:p>
    <w:p>
      <w:pPr>
        <w:spacing w:after="0" w:line="206" w:lineRule="exact"/>
        <w:rPr>
          <w:rFonts w:ascii="Times New Roman" w:cs="Times New Roman" w:eastAsia="Times New Roman" w:hAnsi="Times New Roman"/>
          <w:sz w:val="22"/>
          <w:szCs w:val="22"/>
          <w:b w:val="1"/>
          <w:bCs w:val="1"/>
          <w:color w:val="auto"/>
        </w:rPr>
      </w:pPr>
    </w:p>
    <w:p>
      <w:pPr>
        <w:ind w:left="860" w:right="219" w:firstLine="1293"/>
        <w:spacing w:after="0" w:line="258" w:lineRule="auto"/>
        <w:tabs>
          <w:tab w:leader="none" w:pos="280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Perform all acts necessary to meet the reporting and disclosure obligations imposed by applicable law.</w:t>
      </w:r>
    </w:p>
    <w:p>
      <w:pPr>
        <w:spacing w:after="0" w:line="158" w:lineRule="exact"/>
        <w:rPr>
          <w:rFonts w:ascii="Times New Roman" w:cs="Times New Roman" w:eastAsia="Times New Roman" w:hAnsi="Times New Roman"/>
          <w:sz w:val="22"/>
          <w:szCs w:val="22"/>
          <w:b w:val="1"/>
          <w:bCs w:val="1"/>
          <w:color w:val="auto"/>
        </w:rPr>
      </w:pPr>
    </w:p>
    <w:p>
      <w:pPr>
        <w:jc w:val="both"/>
        <w:ind w:left="860" w:right="219" w:firstLine="1293"/>
        <w:spacing w:after="0" w:line="244" w:lineRule="auto"/>
        <w:tabs>
          <w:tab w:leader="none" w:pos="2804"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Delegate specific responsibilities for the operation and administration of the Program to such employees of the Company or agents as it deems advisable and necessary.</w:t>
      </w:r>
    </w:p>
    <w:p>
      <w:pPr>
        <w:spacing w:after="0" w:line="173" w:lineRule="exact"/>
        <w:rPr>
          <w:rFonts w:ascii="Times New Roman" w:cs="Times New Roman" w:eastAsia="Times New Roman" w:hAnsi="Times New Roman"/>
          <w:sz w:val="22"/>
          <w:szCs w:val="22"/>
          <w:b w:val="1"/>
          <w:bCs w:val="1"/>
          <w:color w:val="auto"/>
        </w:rPr>
      </w:pPr>
    </w:p>
    <w:p>
      <w:pPr>
        <w:ind w:left="2800" w:hanging="647"/>
        <w:spacing w:after="0"/>
        <w:tabs>
          <w:tab w:leader="none" w:pos="28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Issue reports to Participants no less than once per year.</w:t>
      </w:r>
    </w:p>
    <w:p>
      <w:pPr>
        <w:spacing w:after="0" w:line="202"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Standard of Care</w:t>
      </w:r>
    </w:p>
    <w:p>
      <w:pPr>
        <w:spacing w:after="0" w:line="210"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The Administrator shall administer the Program solely in the interest of Participants and for the exclusive purposes of providing benefits to the Participants and their Beneficiaries. The Administrator shall administer the Program with the care, skill, prudence and diligence under the circumstances then prevailing that a prudent person, acting in a like capacity and familiar with such matters, would use in the conduct of an enterprise of a like character and with like aims.</w:t>
      </w:r>
    </w:p>
    <w:p>
      <w:pPr>
        <w:spacing w:after="0" w:line="16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Administrator shall not be liable for any act or omission relating to its duties under the Program unless the act or omission violates the standard of care described in this Section 7.3.</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u w:val="single" w:color="auto"/>
          <w:color w:val="auto"/>
        </w:rPr>
        <w:t>Appeal Procedure</w:t>
      </w:r>
    </w:p>
    <w:p>
      <w:pPr>
        <w:spacing w:after="0" w:line="210"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Any Participant whose application for benefits under the Program has been denied, in whole or in part, shall be given written notice of the denial of benefits by the Administrator. The notice shall be in easily understood language and shall indicate the reasons for denial and the specific provisions of the Program on which the denial is based. The notice shall explain that the Participant may request a review of the denial and the procedure for requesting review. The notice shall describe any additional information necessary to approve the Participant’s claim and explain why such information is necessary.</w:t>
      </w:r>
    </w:p>
    <w:p>
      <w:pPr>
        <w:spacing w:after="0" w:line="18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A Participant may make a written request to the Committee for a review of any denial of benefits under the Program. The request for review must be in writing and must be made within 60 days after the mailing date of the notice of denial. The request shall refer to the provisions of the Program or Plan on which it is based and shall set forth the facts relied upon as justifying a reversal or modification of the determination being appealed.</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A Participant who requests a review of a denial of benefits in accordance with this appeal procedure may examine pertinent documents and submit pertinent issues and comments in writing. A Participant may have a duly authorized representative act on his or her behalf in</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4" w:name="page125"/>
    <w:bookmarkEnd w:id="124"/>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exercising his or her right to request a review and any other rights granted by this appeal procedure. The Committee shall provide a review of the decision denying the claim for benefit within 60 days after receiving the written request for review.</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A Participant shall not be permitted to commence any legal action against the Company regarding his or her benefits under the Plan before exhausting the appeal procedure contained in this Section 7.4.</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21"/>
          <w:szCs w:val="21"/>
          <w:b w:val="1"/>
          <w:bCs w:val="1"/>
          <w:u w:val="single" w:color="auto"/>
          <w:color w:val="auto"/>
        </w:rPr>
        <w:t>Indemnification of Committee</w:t>
      </w:r>
    </w:p>
    <w:p>
      <w:pPr>
        <w:spacing w:after="0" w:line="21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The Company shall indemnify and hold harmless the members of the Committee and their duly appointed agents against any and all claims, loss, damage, expense or liability arising from any action or failure to act with respect to the Program, except in the case of gross negligence or willful misconduct by any such member or agent of the Committee.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u w:val="single" w:color="auto"/>
          <w:color w:val="auto"/>
        </w:rPr>
        <w:t>Employment Rights</w:t>
      </w:r>
    </w:p>
    <w:p>
      <w:pPr>
        <w:spacing w:after="0" w:line="210" w:lineRule="exact"/>
        <w:rPr>
          <w:sz w:val="20"/>
          <w:szCs w:val="20"/>
          <w:color w:val="auto"/>
        </w:rPr>
      </w:pPr>
    </w:p>
    <w:p>
      <w:pPr>
        <w:jc w:val="both"/>
        <w:ind w:left="200" w:right="239" w:firstLine="1296"/>
        <w:spacing w:after="0" w:line="244" w:lineRule="auto"/>
        <w:rPr>
          <w:sz w:val="20"/>
          <w:szCs w:val="20"/>
          <w:color w:val="auto"/>
        </w:rPr>
      </w:pPr>
      <w:r>
        <w:rPr>
          <w:rFonts w:ascii="Times New Roman" w:cs="Times New Roman" w:eastAsia="Times New Roman" w:hAnsi="Times New Roman"/>
          <w:sz w:val="22"/>
          <w:szCs w:val="22"/>
          <w:color w:val="auto"/>
        </w:rPr>
        <w:t>The existence of the Plan and the Program shall not grant a Participant any legal right to continue as an employee of the Company or any Subsidiary nor affect the right of the Company or a Subsidiary to discharge a Participant from employment.</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Tax Withholding</w:t>
      </w:r>
    </w:p>
    <w:p>
      <w:pPr>
        <w:spacing w:after="0" w:line="210" w:lineRule="exact"/>
        <w:rPr>
          <w:sz w:val="20"/>
          <w:szCs w:val="20"/>
          <w:color w:val="auto"/>
        </w:rPr>
      </w:pPr>
    </w:p>
    <w:p>
      <w:pPr>
        <w:jc w:val="both"/>
        <w:ind w:left="200" w:right="219" w:firstLine="1953"/>
        <w:spacing w:after="0" w:line="244" w:lineRule="auto"/>
        <w:tabs>
          <w:tab w:leader="none" w:pos="2792"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applicable federal, state, or local taxes shall be withheld from the benefits paid to a Participant or the Participant’s Beneficiary to the extent required by law or elected by the Participant or Beneficiary.</w:t>
      </w:r>
    </w:p>
    <w:p>
      <w:pPr>
        <w:spacing w:after="0" w:line="173"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Company nor any Subsidiary makes any representations with respect to the tax treatment of the Shares subject to the terms of the Program and Plan. Each Participant is advised to review with the Participant's own tax advisors the federal, state, local, and foreign tax consequences of this Program, and the benefits hereunder.</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u w:val="single" w:color="auto"/>
          <w:color w:val="auto"/>
        </w:rPr>
        <w:t>409A Savings Clause &amp; Severability</w:t>
      </w:r>
    </w:p>
    <w:p>
      <w:pPr>
        <w:spacing w:after="0" w:line="210" w:lineRule="exact"/>
        <w:rPr>
          <w:sz w:val="20"/>
          <w:szCs w:val="20"/>
          <w:color w:val="auto"/>
        </w:rPr>
      </w:pPr>
    </w:p>
    <w:p>
      <w:pPr>
        <w:jc w:val="both"/>
        <w:ind w:left="200" w:right="219" w:firstLine="1953"/>
        <w:spacing w:after="0" w:line="236" w:lineRule="auto"/>
        <w:tabs>
          <w:tab w:leader="none" w:pos="2792"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Program will be administered so as to comply with Code §409A. If any provision of the Program or Plan term conflicts with any requirement of Code §409A, the requirement of Code §409A will control. For example, and without limiting the generality of the foregoing, a change in control event does not occur unless the event qualifies as a change in the ownership of the Company, a change in the effective control of the Company, or a change in the ownership of a substantial portion of the Company’s assets under Code §409A.</w:t>
      </w:r>
    </w:p>
    <w:p>
      <w:pPr>
        <w:spacing w:after="0" w:line="181" w:lineRule="exact"/>
        <w:rPr>
          <w:rFonts w:ascii="Times New Roman" w:cs="Times New Roman" w:eastAsia="Times New Roman" w:hAnsi="Times New Roman"/>
          <w:sz w:val="22"/>
          <w:szCs w:val="22"/>
          <w:b w:val="1"/>
          <w:bCs w:val="1"/>
          <w:color w:val="auto"/>
        </w:rPr>
      </w:pPr>
    </w:p>
    <w:p>
      <w:pPr>
        <w:jc w:val="both"/>
        <w:ind w:left="200" w:right="219" w:firstLine="1953"/>
        <w:spacing w:after="0" w:line="261" w:lineRule="auto"/>
        <w:tabs>
          <w:tab w:leader="none" w:pos="2792"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a court determines that any provision of the Program is unenforceable, the court may modify the provision, if possible, so as to give effect to the Program in a way that is consistent with the purpose of the Plan and the requirements of governing law. If</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5" w:name="page126"/>
    <w:bookmarkEnd w:id="125"/>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such a modification is not possible, the court may sever the unenforceable provision and enforce the rest of the Plan in a way that is consistent with the purpose of the Program and the requirements of governing law.</w:t>
      </w:r>
    </w:p>
    <w:p>
      <w:pPr>
        <w:spacing w:after="0" w:line="173" w:lineRule="exact"/>
        <w:rPr>
          <w:sz w:val="20"/>
          <w:szCs w:val="20"/>
          <w:color w:val="auto"/>
        </w:rPr>
      </w:pPr>
    </w:p>
    <w:p>
      <w:pPr>
        <w:jc w:val="both"/>
        <w:ind w:left="200" w:right="219" w:firstLine="1953"/>
        <w:spacing w:after="0" w:line="244" w:lineRule="auto"/>
        <w:tabs>
          <w:tab w:leader="none" w:pos="2792"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or the Administrator may apply any permissive provision of any applicable law or regulation unless the provision is contrary to the terms of the Program.</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u w:val="single" w:color="auto"/>
          <w:color w:val="auto"/>
        </w:rPr>
        <w:t>Construction</w:t>
      </w:r>
    </w:p>
    <w:p>
      <w:pPr>
        <w:spacing w:after="0" w:line="206"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Words used in the masculine shall apply to the feminine where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applicable.</w:t>
      </w:r>
    </w:p>
    <w:p>
      <w:pPr>
        <w:spacing w:after="0" w:line="182" w:lineRule="exact"/>
        <w:rPr>
          <w:sz w:val="20"/>
          <w:szCs w:val="20"/>
          <w:color w:val="auto"/>
        </w:rPr>
      </w:pPr>
    </w:p>
    <w:p>
      <w:pPr>
        <w:ind w:left="200" w:right="219" w:firstLine="1953"/>
        <w:spacing w:after="0" w:line="258" w:lineRule="auto"/>
        <w:tabs>
          <w:tab w:leader="none" w:pos="2792"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Wherever the context of the Program dictates, the plural shall be read as the singular and the singular as the plural.</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u w:val="single" w:color="auto"/>
          <w:color w:val="auto"/>
        </w:rPr>
        <w:t>Facility of Payment.</w:t>
      </w:r>
    </w:p>
    <w:p>
      <w:pPr>
        <w:spacing w:after="0" w:line="210" w:lineRule="exact"/>
        <w:rPr>
          <w:sz w:val="20"/>
          <w:szCs w:val="20"/>
          <w:color w:val="auto"/>
        </w:rPr>
      </w:pPr>
    </w:p>
    <w:p>
      <w:pPr>
        <w:jc w:val="both"/>
        <w:ind w:left="200" w:right="219" w:firstLine="1953"/>
        <w:spacing w:after="0" w:line="236" w:lineRule="auto"/>
        <w:tabs>
          <w:tab w:leader="none" w:pos="2792"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Administrator will make reasonable efforts to locate a Participant or Beneficiary who is entitled to payment pursuant to the terms of the Program. If after a reasonable effort the Administrator cannot locate a person who is entitled to payment, the payment will be forfeited. The Administrator may rely on affidavits or other information that the Administrator believes to be reliable even though not otherwise admissible as evidence in a legal proceeding.</w:t>
      </w:r>
    </w:p>
    <w:p>
      <w:pPr>
        <w:spacing w:after="0" w:line="181" w:lineRule="exact"/>
        <w:rPr>
          <w:rFonts w:ascii="Times New Roman" w:cs="Times New Roman" w:eastAsia="Times New Roman" w:hAnsi="Times New Roman"/>
          <w:sz w:val="22"/>
          <w:szCs w:val="22"/>
          <w:b w:val="1"/>
          <w:bCs w:val="1"/>
          <w:color w:val="auto"/>
        </w:rPr>
      </w:pPr>
    </w:p>
    <w:p>
      <w:pPr>
        <w:jc w:val="both"/>
        <w:ind w:left="200" w:right="219" w:firstLine="1953"/>
        <w:spacing w:after="0" w:line="235" w:lineRule="auto"/>
        <w:tabs>
          <w:tab w:leader="none" w:pos="2792"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Administrator is not required to commence probate proceedings, seek the appointment of a legal representative, or make payments to a legal representative. In the event an amount is payable to a Participant pursuant to the terms of this Program but in the event a Participant dies prior to such payment having been made, the payment shall be made to the Participant's Beneficiary, and such payment is conclusive and binding on all persons, and will fully discharge the Company, any Affiliates, and the Administrator from all liability with respect to the payment pursuant to the terms of the Program or Plan.</w:t>
      </w:r>
    </w:p>
    <w:p>
      <w:pPr>
        <w:spacing w:after="0" w:line="183"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person appears to be mentally, physically, or legally incapable of receiving or acknowledging receipt of distribution payments, the Administrator may authorize payments to a person with a valid power of attorney, to a court-appointed guardian or conservator, or to any other person authorized under state law to receive the benefit.</w:t>
      </w:r>
    </w:p>
    <w:p>
      <w:pPr>
        <w:spacing w:after="0" w:line="180" w:lineRule="exact"/>
        <w:rPr>
          <w:rFonts w:ascii="Times New Roman" w:cs="Times New Roman" w:eastAsia="Times New Roman" w:hAnsi="Times New Roman"/>
          <w:sz w:val="22"/>
          <w:szCs w:val="22"/>
          <w:b w:val="1"/>
          <w:bCs w:val="1"/>
          <w:color w:val="auto"/>
        </w:rPr>
      </w:pPr>
    </w:p>
    <w:p>
      <w:pPr>
        <w:jc w:val="both"/>
        <w:ind w:left="200" w:right="219" w:firstLine="1953"/>
        <w:spacing w:after="0" w:line="239" w:lineRule="auto"/>
        <w:tabs>
          <w:tab w:leader="none" w:pos="2792"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person entitled to receive benefits is a minor and the value of the benefit exceeds $5,000, the Administrator may delay payment of the benefit until the minor has attained the age of majority or pay the benefit to a person who has been named by a court of competent jurisdiction as fiduciary for the minor.</w:t>
      </w:r>
    </w:p>
    <w:p>
      <w:pPr>
        <w:spacing w:after="0" w:line="180" w:lineRule="exact"/>
        <w:rPr>
          <w:rFonts w:ascii="Times New Roman" w:cs="Times New Roman" w:eastAsia="Times New Roman" w:hAnsi="Times New Roman"/>
          <w:sz w:val="22"/>
          <w:szCs w:val="22"/>
          <w:b w:val="1"/>
          <w:bCs w:val="1"/>
          <w:color w:val="auto"/>
        </w:rPr>
      </w:pPr>
    </w:p>
    <w:p>
      <w:pPr>
        <w:jc w:val="both"/>
        <w:ind w:left="200" w:right="219" w:firstLine="1953"/>
        <w:spacing w:after="0" w:line="244" w:lineRule="auto"/>
        <w:tabs>
          <w:tab w:leader="none" w:pos="2792"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Administrator cannot determine, from affidavits or other information the Administrator believes to be reliable, whether the Participant's Beneficiary survived the Participant, the Beneficiary will be deemed not to have survived the Participant.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6" w:name="page127"/>
    <w:bookmarkEnd w:id="126"/>
    <w:p>
      <w:pPr>
        <w:jc w:val="both"/>
        <w:ind w:left="200" w:right="219" w:firstLine="1953"/>
        <w:spacing w:after="0" w:line="244" w:lineRule="auto"/>
        <w:tabs>
          <w:tab w:leader="none" w:pos="2792"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Administrator's actions regarding payment, if taken in good faith, are conclusive and binding on all persons, and payment will fully discharge the Company, any Affiliates, and the Administrator from all liability with respect to the payment.</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21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The Company shall have the right to amend the Program at any time; however, no amendment or termination shall reduce the number of Participant Shares credited to a Participant’s Accounts.</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8.7</w:t>
      </w:r>
      <w:r>
        <w:rPr>
          <w:sz w:val="20"/>
          <w:szCs w:val="20"/>
          <w:color w:val="auto"/>
        </w:rPr>
        <w:tab/>
      </w:r>
      <w:r>
        <w:rPr>
          <w:rFonts w:ascii="Times New Roman" w:cs="Times New Roman" w:eastAsia="Times New Roman" w:hAnsi="Times New Roman"/>
          <w:sz w:val="21"/>
          <w:szCs w:val="21"/>
          <w:b w:val="1"/>
          <w:bCs w:val="1"/>
          <w:u w:val="single" w:color="auto"/>
          <w:color w:val="auto"/>
        </w:rPr>
        <w:t>Termination</w:t>
      </w:r>
    </w:p>
    <w:p>
      <w:pPr>
        <w:spacing w:after="0" w:line="210"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The Company shall have the right to terminate the Program at any time. If the Program is terminated, no additional amounts shall be credited to a Participant’s Account under Section 4.2; however, the Participant’s Account shall continue to be adjusted for dividends under Section 4.3 until the Participant’s benefits are distributed to the Participant as his or her Beneficiary. The Participant shall be entitled to receive the amounts credited to his or her Account upon satisfying the requirements for payment of benefits under the Program, unless the Company elects to make payment at an earlier time in accordance with the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The Company has amended and restated the UFP Industries, Inc. Executive Stock Match Program (“Program”) effective as of the 1st day of January, 2023, and has further amended the Program as of December 6, 2024, as of January 1, 2025, and as of October 23, 2025.</w:t>
      </w:r>
    </w:p>
    <w:p>
      <w:pPr>
        <w:spacing w:after="0" w:line="15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00" w:lineRule="exact"/>
        <w:rPr>
          <w:sz w:val="20"/>
          <w:szCs w:val="20"/>
          <w:color w:val="auto"/>
        </w:rPr>
      </w:pP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-13335</wp:posOffset>
            </wp:positionV>
            <wp:extent cx="266573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85">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-13335</wp:posOffset>
            </wp:positionV>
            <wp:extent cx="2494280"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21810878</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375920</wp:posOffset>
            </wp:positionV>
            <wp:extent cx="5452110" cy="2540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r>
        <w:rPr>
          <w:rFonts w:ascii="Times New Roman" w:cs="Times New Roman" w:eastAsia="Times New Roman" w:hAnsi="Times New Roman"/>
          <w:sz w:val="31"/>
          <w:szCs w:val="31"/>
          <w:b w:val="1"/>
          <w:bCs w:val="1"/>
          <w:u w:val="single" w:color="auto"/>
          <w:color w:val="0000E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136271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8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93" w:lineRule="exact"/>
        <w:rPr>
          <w:sz w:val="20"/>
          <w:szCs w:val="20"/>
          <w:color w:val="auto"/>
        </w:rPr>
      </w:pPr>
    </w:p>
    <w:p>
      <w:pPr>
        <w:ind w:left="320" w:hanging="111"/>
        <w:spacing w:after="0"/>
        <w:tabs>
          <w:tab w:leader="none" w:pos="320" w:val="left"/>
        </w:tabs>
        <w:numPr>
          <w:ilvl w:val="0"/>
          <w:numId w:val="1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Omitted pursuant to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651510</wp:posOffset>
            </wp:positionV>
            <wp:extent cx="5452110" cy="1714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10(g)</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UFP Industries,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Restricted Stock Grant Agreement</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THIS AGREEMENT is made effective as of the ____ day of ___________, </w:t>
      </w:r>
      <w:r>
        <w:rPr>
          <w:rFonts w:ascii="Times New Roman" w:cs="Times New Roman" w:eastAsia="Times New Roman" w:hAnsi="Times New Roman"/>
          <w:sz w:val="20"/>
          <w:szCs w:val="20"/>
          <w:b w:val="1"/>
          <w:bCs w:val="1"/>
          <w:color w:val="auto"/>
        </w:rPr>
        <w:t>«Year of Grant»</w:t>
      </w:r>
      <w:r>
        <w:rPr>
          <w:rFonts w:ascii="Times New Roman" w:cs="Times New Roman" w:eastAsia="Times New Roman" w:hAnsi="Times New Roman"/>
          <w:sz w:val="20"/>
          <w:szCs w:val="20"/>
          <w:color w:val="auto"/>
        </w:rPr>
        <w:t>, between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UFP Industries, Inc.</w:t>
      </w:r>
      <w:r>
        <w:rPr>
          <w:rFonts w:ascii="Times New Roman" w:cs="Times New Roman" w:eastAsia="Times New Roman" w:hAnsi="Times New Roman"/>
          <w:sz w:val="20"/>
          <w:szCs w:val="20"/>
          <w:color w:val="auto"/>
        </w:rPr>
        <w:t>, a Michigan corporation (the "Company"), and</w:t>
      </w:r>
      <w:r>
        <w:rPr>
          <w:rFonts w:ascii="Times New Roman" w:cs="Times New Roman" w:eastAsia="Times New Roman" w:hAnsi="Times New Roman"/>
          <w:sz w:val="20"/>
          <w:szCs w:val="20"/>
          <w:b w:val="1"/>
          <w:bCs w:val="1"/>
          <w:color w:val="auto"/>
        </w:rPr>
        <w:t xml:space="preserve"> «Name1» </w:t>
      </w:r>
      <w:r>
        <w:rPr>
          <w:rFonts w:ascii="Times New Roman" w:cs="Times New Roman" w:eastAsia="Times New Roman" w:hAnsi="Times New Roman"/>
          <w:sz w:val="20"/>
          <w:szCs w:val="20"/>
          <w:color w:val="auto"/>
        </w:rPr>
        <w:t>(the "Employee").</w:t>
      </w:r>
    </w:p>
    <w:p>
      <w:pPr>
        <w:spacing w:after="0" w:line="1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UFP Industries, Inc. Long-Term Stock Incentive Plan as amended and restated (the "Plan") authorizes the award of shares of restricted stock to key employees of the Company upon such terms and conditions as may be determined by the Committee (as defined in the Plan).</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Committee has approved a grant of restricted shares of Company stock to Employee upon the terms and conditions set forth in this agreement (the "Agreement"). The Company and Employee desire to confirm in this Agreement the terms, conditions, and restrictions applicable to the grant of restricted stock.</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intending to be bound, the parties agree as follows:</w:t>
      </w:r>
    </w:p>
    <w:p>
      <w:pPr>
        <w:spacing w:after="0" w:line="131" w:lineRule="exact"/>
        <w:rPr>
          <w:sz w:val="20"/>
          <w:szCs w:val="20"/>
          <w:color w:val="auto"/>
        </w:rPr>
      </w:pPr>
    </w:p>
    <w:p>
      <w:pPr>
        <w:ind w:left="660" w:hanging="655"/>
        <w:spacing w:after="0"/>
        <w:tabs>
          <w:tab w:leader="none" w:pos="66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138" w:lineRule="exact"/>
        <w:rPr>
          <w:rFonts w:ascii="Times New Roman" w:cs="Times New Roman" w:eastAsia="Times New Roman" w:hAnsi="Times New Roman"/>
          <w:sz w:val="20"/>
          <w:szCs w:val="20"/>
          <w:b w:val="1"/>
          <w:bCs w:val="1"/>
          <w:color w:val="auto"/>
        </w:rPr>
      </w:pPr>
    </w:p>
    <w:p>
      <w:pPr>
        <w:ind w:left="1300" w:hanging="648"/>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Approved Early Retirement</w:t>
      </w:r>
      <w:r>
        <w:rPr>
          <w:rFonts w:ascii="Times New Roman" w:cs="Times New Roman" w:eastAsia="Times New Roman" w:hAnsi="Times New Roman"/>
          <w:sz w:val="20"/>
          <w:szCs w:val="20"/>
          <w:color w:val="auto"/>
        </w:rPr>
        <w:t>” means Employee’s termination of employment with the Company or a Subsidiary either (a) before Employee reaches age 65 and such termination is approved as an early retirement by either the Committee or, to the extent authority to grant such approval is delegated by the Committee, the Company’s Chief Executive Officer in its, his, or her absolute discretion, or (b) while the Employee is age 65 or 66.</w:t>
      </w:r>
    </w:p>
    <w:p>
      <w:pPr>
        <w:spacing w:after="0" w:line="198"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 of this Agreement</w:t>
      </w:r>
      <w:r>
        <w:rPr>
          <w:rFonts w:ascii="Times New Roman" w:cs="Times New Roman" w:eastAsia="Times New Roman" w:hAnsi="Times New Roman"/>
          <w:sz w:val="19"/>
          <w:szCs w:val="19"/>
          <w:color w:val="auto"/>
        </w:rPr>
        <w:t>" means the date first written above.</w:t>
      </w:r>
    </w:p>
    <w:p>
      <w:pPr>
        <w:spacing w:after="0" w:line="229" w:lineRule="exact"/>
        <w:rPr>
          <w:rFonts w:ascii="Times New Roman" w:cs="Times New Roman" w:eastAsia="Times New Roman" w:hAnsi="Times New Roman"/>
          <w:sz w:val="20"/>
          <w:szCs w:val="20"/>
          <w:b w:val="1"/>
          <w:bCs w:val="1"/>
          <w:color w:val="auto"/>
        </w:rPr>
      </w:pPr>
    </w:p>
    <w:p>
      <w:pPr>
        <w:ind w:left="1300" w:hanging="648"/>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Lack of Work Separation</w:t>
      </w:r>
      <w:r>
        <w:rPr>
          <w:rFonts w:ascii="Times New Roman" w:cs="Times New Roman" w:eastAsia="Times New Roman" w:hAnsi="Times New Roman"/>
          <w:sz w:val="20"/>
          <w:szCs w:val="20"/>
          <w:color w:val="auto"/>
        </w:rPr>
        <w:t>” means a separation of employment due to an elimination of Employee’s position or insufficient work available for the Employee, absent extenuating circumstances as determined by the Company. By contrast, if Employee is offered a comparable position (as determined by the Company) and Employee rejects the offer, any resulting separation of employment will not be deemed a Lack of Work Separation.</w:t>
      </w:r>
    </w:p>
    <w:p>
      <w:pPr>
        <w:spacing w:after="0" w:line="198" w:lineRule="exact"/>
        <w:rPr>
          <w:rFonts w:ascii="Times New Roman" w:cs="Times New Roman" w:eastAsia="Times New Roman" w:hAnsi="Times New Roman"/>
          <w:sz w:val="20"/>
          <w:szCs w:val="20"/>
          <w:b w:val="1"/>
          <w:bCs w:val="1"/>
          <w:color w:val="auto"/>
        </w:rPr>
      </w:pPr>
    </w:p>
    <w:p>
      <w:pPr>
        <w:ind w:left="1300" w:right="20" w:hanging="648"/>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20"/>
          <w:szCs w:val="20"/>
          <w:u w:val="single" w:color="auto"/>
          <w:color w:val="auto"/>
        </w:rPr>
        <w:t>Restricted Share</w:t>
      </w:r>
      <w:r>
        <w:rPr>
          <w:rFonts w:ascii="Times New Roman" w:cs="Times New Roman" w:eastAsia="Times New Roman" w:hAnsi="Times New Roman"/>
          <w:sz w:val="20"/>
          <w:szCs w:val="20"/>
          <w:color w:val="auto"/>
        </w:rPr>
        <w:t>" means a Share which is subject to the restrictions on sale, pledge or other transfer imposed by Section 3.</w:t>
      </w:r>
    </w:p>
    <w:p>
      <w:pPr>
        <w:spacing w:after="0" w:line="172"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1.5</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Reverted Shares</w:t>
      </w:r>
      <w:r>
        <w:rPr>
          <w:rFonts w:ascii="Times New Roman" w:cs="Times New Roman" w:eastAsia="Times New Roman" w:hAnsi="Times New Roman"/>
          <w:sz w:val="19"/>
          <w:szCs w:val="19"/>
          <w:color w:val="auto"/>
        </w:rPr>
        <w:t>" means Shares which have reverted to the Company pursuant to Section 5.2.</w:t>
      </w:r>
    </w:p>
    <w:p>
      <w:pPr>
        <w:spacing w:after="0" w:line="22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Vested Share</w:t>
      </w:r>
      <w:r>
        <w:rPr>
          <w:rFonts w:ascii="Times New Roman" w:cs="Times New Roman" w:eastAsia="Times New Roman" w:hAnsi="Times New Roman"/>
          <w:sz w:val="19"/>
          <w:szCs w:val="19"/>
          <w:color w:val="auto"/>
        </w:rPr>
        <w:t>" means a Share which is no longer a Restricted Share.</w:t>
      </w:r>
    </w:p>
    <w:p>
      <w:pPr>
        <w:spacing w:after="0" w:line="13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Other capitalized terms used but not specifically defined in this Agreement shall have the same meanings as defined in the Plan.</w:t>
      </w:r>
    </w:p>
    <w:p>
      <w:pPr>
        <w:spacing w:after="0" w:line="74" w:lineRule="exact"/>
        <w:rPr>
          <w:sz w:val="20"/>
          <w:szCs w:val="20"/>
          <w:color w:val="auto"/>
        </w:rPr>
      </w:pPr>
    </w:p>
    <w:p>
      <w:pPr>
        <w:ind w:left="660" w:hanging="655"/>
        <w:spacing w:after="0"/>
        <w:tabs>
          <w:tab w:leader="none" w:pos="66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GRANT AND ACCEPTANCE OF AWARD; TAX ELECTION</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confirms the award to Employee of «Shares» shares of Common Stock (the "Shares") as restricted stock, upon the terms, restrictions, and conditions of this Agreement and the Plan. The award of Shares shall be effective as of the Effective Date of this Agreement.</w:t>
      </w:r>
    </w:p>
    <w:p>
      <w:pPr>
        <w:spacing w:after="0" w:line="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Acceptance</w:t>
      </w:r>
      <w:r>
        <w:rPr>
          <w:rFonts w:ascii="Times New Roman" w:cs="Times New Roman" w:eastAsia="Times New Roman" w:hAnsi="Times New Roman"/>
          <w:sz w:val="20"/>
          <w:szCs w:val="20"/>
          <w:color w:val="auto"/>
        </w:rPr>
        <w:t>. Employee accepts this award of Shares and agrees to hold them subject to the terms, restrictions, and conditions of this Agreement.</w:t>
      </w:r>
    </w:p>
    <w:p>
      <w:pPr>
        <w:spacing w:after="0" w:line="7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Tax Election</w:t>
      </w:r>
      <w:r>
        <w:rPr>
          <w:rFonts w:ascii="Times New Roman" w:cs="Times New Roman" w:eastAsia="Times New Roman" w:hAnsi="Times New Roman"/>
          <w:sz w:val="20"/>
          <w:szCs w:val="20"/>
          <w:color w:val="auto"/>
        </w:rPr>
        <w:t xml:space="preserve">. Employee may elect to be taxed in </w:t>
      </w:r>
      <w:r>
        <w:rPr>
          <w:rFonts w:ascii="Times New Roman" w:cs="Times New Roman" w:eastAsia="Times New Roman" w:hAnsi="Times New Roman"/>
          <w:sz w:val="20"/>
          <w:szCs w:val="20"/>
          <w:b w:val="1"/>
          <w:bCs w:val="1"/>
          <w:color w:val="auto"/>
        </w:rPr>
        <w:t>«Year of Grant»</w:t>
      </w:r>
      <w:r>
        <w:rPr>
          <w:rFonts w:ascii="Times New Roman" w:cs="Times New Roman" w:eastAsia="Times New Roman" w:hAnsi="Times New Roman"/>
          <w:sz w:val="20"/>
          <w:szCs w:val="20"/>
          <w:color w:val="auto"/>
        </w:rPr>
        <w:t xml:space="preserve"> on the fair market value of the Shares awarded by signing an election to be so taxed under Section 83(b) of the Internal Revenue Code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319405</wp:posOffset>
            </wp:positionV>
            <wp:extent cx="5795010" cy="2540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9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129" w:name="page130"/>
    <w:bookmarkEnd w:id="129"/>
    <w:p>
      <w:pPr>
        <w:jc w:val="both"/>
        <w:spacing w:after="0" w:line="253" w:lineRule="auto"/>
        <w:rPr>
          <w:sz w:val="20"/>
          <w:szCs w:val="20"/>
          <w:color w:val="auto"/>
        </w:rPr>
      </w:pPr>
      <w:r>
        <w:rPr>
          <w:rFonts w:ascii="Times New Roman" w:cs="Times New Roman" w:eastAsia="Times New Roman" w:hAnsi="Times New Roman"/>
          <w:sz w:val="20"/>
          <w:szCs w:val="20"/>
          <w:color w:val="auto"/>
        </w:rPr>
        <w:t>filing such election with the Internal Revenue Service within thirty (30) days after the Effective Date of this Agreement. If Employee chooses not to make such an election, Employee will be taxed on the fair market value of the Shares in the year in which the Shares become Vested Shares.</w:t>
      </w:r>
    </w:p>
    <w:p>
      <w:pPr>
        <w:spacing w:after="0" w:line="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parties agree that vesting of the Shares in accordance with this Agreement is subject to the satisfaction of applicable withholding tax or other withholding liabilities under federal, state, and local laws.</w:t>
      </w:r>
    </w:p>
    <w:p>
      <w:pPr>
        <w:spacing w:after="0" w:line="319" w:lineRule="exact"/>
        <w:rPr>
          <w:sz w:val="20"/>
          <w:szCs w:val="20"/>
          <w:color w:val="auto"/>
        </w:rPr>
      </w:pPr>
    </w:p>
    <w:p>
      <w:pPr>
        <w:ind w:left="660" w:hanging="655"/>
        <w:spacing w:after="0"/>
        <w:tabs>
          <w:tab w:leader="none" w:pos="66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RESTRICTIONS ON TRANSFER OF SHARES; LAPSE OF RESTRICTIONS</w:t>
      </w:r>
    </w:p>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Transfer Prohibitions</w:t>
      </w:r>
      <w:r>
        <w:rPr>
          <w:rFonts w:ascii="Times New Roman" w:cs="Times New Roman" w:eastAsia="Times New Roman" w:hAnsi="Times New Roman"/>
          <w:sz w:val="20"/>
          <w:szCs w:val="20"/>
          <w:color w:val="auto"/>
        </w:rPr>
        <w:t>. Employee shall not sell, pledge, or otherwise assign or transfer any Share or any interest in any Share while such Share is a Restricted Share.</w:t>
      </w:r>
    </w:p>
    <w:p>
      <w:pPr>
        <w:spacing w:after="0" w:line="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Every Share shall be a Restricted Share until the restrictions lapse in accordance with the vesting conditions set forth in Section 5.1 or Section 5.4 below.</w:t>
      </w:r>
    </w:p>
    <w:p>
      <w:pPr>
        <w:spacing w:after="0" w:line="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Securities Law Compliance</w:t>
      </w:r>
      <w:r>
        <w:rPr>
          <w:rFonts w:ascii="Times New Roman" w:cs="Times New Roman" w:eastAsia="Times New Roman" w:hAnsi="Times New Roman"/>
          <w:sz w:val="20"/>
          <w:szCs w:val="20"/>
          <w:color w:val="auto"/>
        </w:rPr>
        <w:t>. Employee shall not sell or transfer any Share or any interest in any Share, whether such Share is or is not a Restricted Share, unless either (a) the Company shall consent in writing to such transfer, or (b) the Company shall have received an opinion of counsel satisfactory to the Company to the effect that such transfer will not violate the registration requirements imposed by the Securities Act of 1933 or any other provision of law which the Company shall desire such opinion to cover.</w:t>
      </w:r>
    </w:p>
    <w:p>
      <w:pPr>
        <w:spacing w:after="0" w:line="1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Stop Transfer Instructions</w:t>
      </w:r>
      <w:r>
        <w:rPr>
          <w:rFonts w:ascii="Times New Roman" w:cs="Times New Roman" w:eastAsia="Times New Roman" w:hAnsi="Times New Roman"/>
          <w:sz w:val="20"/>
          <w:szCs w:val="20"/>
          <w:color w:val="auto"/>
        </w:rPr>
        <w:t>. The Company shall have the right to issue instructions to the transfer agent for the shares of the Company, prohibiting transfer of any Shares except in accordance with the requirements of this Agreement.</w:t>
      </w:r>
    </w:p>
    <w:p>
      <w:pPr>
        <w:spacing w:after="0" w:line="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 Except for the restrictions imposed in this Section 3 and unless the Shares have reverted to the Company pursuant to Section 5.2 or Section 5.5 below, Employee shall have all the rights of a shareholder with respect to the Restricted Shares, including the right to vote and to receive any dividends declared and paid thereon.</w:t>
      </w:r>
    </w:p>
    <w:p>
      <w:pPr>
        <w:spacing w:after="0" w:line="95" w:lineRule="exact"/>
        <w:rPr>
          <w:sz w:val="20"/>
          <w:szCs w:val="20"/>
          <w:color w:val="auto"/>
        </w:rPr>
      </w:pPr>
    </w:p>
    <w:p>
      <w:pPr>
        <w:jc w:val="both"/>
        <w:ind w:firstLine="5"/>
        <w:spacing w:after="0" w:line="300" w:lineRule="auto"/>
        <w:tabs>
          <w:tab w:leader="none" w:pos="648" w:val="left"/>
        </w:tabs>
        <w:numPr>
          <w:ilvl w:val="0"/>
          <w:numId w:val="1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ACQUISITION WARRANTIES BY EMPLOYEE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order to induce the Company to issue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deliver the Shares on the terms of this Agreement, Employee warrants to and agrees with the Company as follows:</w:t>
      </w:r>
    </w:p>
    <w:p>
      <w:pPr>
        <w:spacing w:after="0" w:line="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No Participating Interest</w:t>
      </w:r>
      <w:r>
        <w:rPr>
          <w:rFonts w:ascii="Times New Roman" w:cs="Times New Roman" w:eastAsia="Times New Roman" w:hAnsi="Times New Roman"/>
          <w:sz w:val="20"/>
          <w:szCs w:val="20"/>
          <w:color w:val="auto"/>
        </w:rPr>
        <w:t>. Employee is acquiring the Shares for Employee’s own account and has not made any arrangement to convey any interest in the Shares to any person, other than to transfer Reverted Shares to the Company pursuant to Section 5.2 or Section 5.5 below.</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Ability to Evaluate</w:t>
      </w:r>
      <w:r>
        <w:rPr>
          <w:rFonts w:ascii="Times New Roman" w:cs="Times New Roman" w:eastAsia="Times New Roman" w:hAnsi="Times New Roman"/>
          <w:sz w:val="20"/>
          <w:szCs w:val="20"/>
          <w:color w:val="auto"/>
        </w:rPr>
        <w:t>. Because of Employee’s knowledge of and experience in financial and business matters, Employee is capable of evaluating the merits and risks of acquiring the Shares under the conditions set forth in this Agreement.</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Familiarity with Company</w:t>
      </w:r>
      <w:r>
        <w:rPr>
          <w:rFonts w:ascii="Times New Roman" w:cs="Times New Roman" w:eastAsia="Times New Roman" w:hAnsi="Times New Roman"/>
          <w:sz w:val="20"/>
          <w:szCs w:val="20"/>
          <w:color w:val="auto"/>
        </w:rPr>
        <w:t>. Employee is familiar with the business, financial condition, earnings, and prospects of the Company, and confirms that the Company has not made any representation regarding the foregoing matters or the merits of entering into this Agreement or as to the prospective value of the Shares.</w:t>
      </w:r>
    </w:p>
    <w:p>
      <w:pPr>
        <w:spacing w:after="0" w:line="89" w:lineRule="exact"/>
        <w:rPr>
          <w:sz w:val="20"/>
          <w:szCs w:val="20"/>
          <w:color w:val="auto"/>
        </w:rPr>
      </w:pPr>
    </w:p>
    <w:p>
      <w:pPr>
        <w:ind w:left="660" w:hanging="655"/>
        <w:spacing w:after="0"/>
        <w:tabs>
          <w:tab w:leader="none" w:pos="66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AND REALLOCATION</w:t>
      </w:r>
    </w:p>
    <w:p>
      <w:pPr>
        <w:spacing w:after="0" w:line="13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Vesting of Shares</w:t>
      </w:r>
      <w:r>
        <w:rPr>
          <w:rFonts w:ascii="Times New Roman" w:cs="Times New Roman" w:eastAsia="Times New Roman" w:hAnsi="Times New Roman"/>
          <w:sz w:val="20"/>
          <w:szCs w:val="20"/>
          <w:color w:val="auto"/>
        </w:rPr>
        <w:t>. All Shares issued hereunder that have not previously reverted to the Company shall become Vested Shares immediately upon the first to occur of the following:</w:t>
      </w:r>
    </w:p>
    <w:p>
      <w:pPr>
        <w:spacing w:after="0" w:line="78" w:lineRule="exact"/>
        <w:rPr>
          <w:sz w:val="20"/>
          <w:szCs w:val="20"/>
          <w:color w:val="auto"/>
        </w:rPr>
      </w:pPr>
    </w:p>
    <w:p>
      <w:pPr>
        <w:ind w:left="1940" w:hanging="639"/>
        <w:spacing w:after="0"/>
        <w:tabs>
          <w:tab w:leader="none" w:pos="19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death of Employee;</w:t>
      </w:r>
    </w:p>
    <w:p>
      <w:pPr>
        <w:spacing w:after="0" w:line="229" w:lineRule="exact"/>
        <w:rPr>
          <w:rFonts w:ascii="Times New Roman" w:cs="Times New Roman" w:eastAsia="Times New Roman" w:hAnsi="Times New Roman"/>
          <w:sz w:val="20"/>
          <w:szCs w:val="20"/>
          <w:color w:val="auto"/>
        </w:rPr>
      </w:pPr>
    </w:p>
    <w:p>
      <w:pPr>
        <w:ind w:left="1940" w:hanging="639"/>
        <w:spacing w:after="0"/>
        <w:tabs>
          <w:tab w:leader="none" w:pos="19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Disability of Employee;</w:t>
      </w:r>
    </w:p>
    <w:p>
      <w:pPr>
        <w:spacing w:after="0" w:line="229" w:lineRule="exact"/>
        <w:rPr>
          <w:rFonts w:ascii="Times New Roman" w:cs="Times New Roman" w:eastAsia="Times New Roman" w:hAnsi="Times New Roman"/>
          <w:sz w:val="20"/>
          <w:szCs w:val="20"/>
          <w:color w:val="auto"/>
        </w:rPr>
      </w:pPr>
    </w:p>
    <w:p>
      <w:pPr>
        <w:ind w:left="1940" w:hanging="639"/>
        <w:spacing w:after="0"/>
        <w:tabs>
          <w:tab w:leader="none" w:pos="19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five (5) year anniversary of the Effective Date of this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5795010" cy="2603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9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8" w:right="1399" w:bottom="1440" w:gutter="0" w:footer="0" w:header="0"/>
        </w:sectPr>
      </w:pPr>
    </w:p>
    <w:bookmarkStart w:id="130" w:name="page131"/>
    <w:bookmarkEnd w:id="130"/>
    <w:p>
      <w:pPr>
        <w:ind w:left="1940" w:hanging="639"/>
        <w:spacing w:after="0" w:line="268" w:lineRule="auto"/>
        <w:tabs>
          <w:tab w:leader="none" w:pos="1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Employee’s termination of employment with the Company or a Subsidiary on or after the date on which Employee reaches age 67;</w:t>
      </w:r>
    </w:p>
    <w:p>
      <w:pPr>
        <w:spacing w:after="0" w:line="174" w:lineRule="exact"/>
        <w:rPr>
          <w:rFonts w:ascii="Times New Roman" w:cs="Times New Roman" w:eastAsia="Times New Roman" w:hAnsi="Times New Roman"/>
          <w:sz w:val="20"/>
          <w:szCs w:val="20"/>
          <w:color w:val="auto"/>
        </w:rPr>
      </w:pPr>
    </w:p>
    <w:p>
      <w:pPr>
        <w:jc w:val="both"/>
        <w:ind w:left="1940" w:hanging="639"/>
        <w:spacing w:after="0" w:line="254" w:lineRule="auto"/>
        <w:tabs>
          <w:tab w:leader="none" w:pos="1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Employee reaching age 67 if Employee has experienced an Approved Early Retirement or Lack of Work Separation and Employee has fully complied with the covenants and obligations set forth in Section 5.5 and Section 5.6; or</w:t>
      </w:r>
    </w:p>
    <w:p>
      <w:pPr>
        <w:spacing w:after="0" w:line="93" w:lineRule="exact"/>
        <w:rPr>
          <w:rFonts w:ascii="Times New Roman" w:cs="Times New Roman" w:eastAsia="Times New Roman" w:hAnsi="Times New Roman"/>
          <w:sz w:val="20"/>
          <w:szCs w:val="20"/>
          <w:color w:val="auto"/>
        </w:rPr>
      </w:pPr>
    </w:p>
    <w:p>
      <w:pPr>
        <w:ind w:left="1940" w:hanging="639"/>
        <w:spacing w:after="0"/>
        <w:tabs>
          <w:tab w:leader="none" w:pos="19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 Change in Control of the Company (as set forth in Section 13.2 of the Plan).</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Reversion</w:t>
      </w:r>
      <w:r>
        <w:rPr>
          <w:rFonts w:ascii="Times New Roman" w:cs="Times New Roman" w:eastAsia="Times New Roman" w:hAnsi="Times New Roman"/>
          <w:sz w:val="20"/>
          <w:szCs w:val="20"/>
          <w:color w:val="auto"/>
        </w:rPr>
        <w:t>. All Shares that have not become Vested Shares shall automatically revert to the Company at any time Employee shall no longer be employed by the Company or a Subsidiary for any reason whatsoever, except as otherwise provided in Section 5.1 or Section 5.4 of this Agreement.</w:t>
      </w:r>
    </w:p>
    <w:p>
      <w:pPr>
        <w:spacing w:after="0" w:line="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Effect of Reversion</w:t>
      </w:r>
      <w:r>
        <w:rPr>
          <w:rFonts w:ascii="Times New Roman" w:cs="Times New Roman" w:eastAsia="Times New Roman" w:hAnsi="Times New Roman"/>
          <w:sz w:val="20"/>
          <w:szCs w:val="20"/>
          <w:color w:val="auto"/>
        </w:rPr>
        <w:t>. Upon reversion of any Shares (a) absolute ownership thereof shall automatically revert to the Company at that time, (b) such Shares shall be deemed to be "Reverted Shares" for purposes of this Agreement, and (c) all of Employee’s rights and interests in the Shares shall cease at that time. No compensation shall be payable to Employee for Shares which revert to the Company.</w:t>
      </w:r>
    </w:p>
    <w:p>
      <w:pPr>
        <w:spacing w:after="0" w:line="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Approved Early Retirement and Lack of Work Separation</w:t>
      </w:r>
      <w:r>
        <w:rPr>
          <w:rFonts w:ascii="Times New Roman" w:cs="Times New Roman" w:eastAsia="Times New Roman" w:hAnsi="Times New Roman"/>
          <w:sz w:val="20"/>
          <w:szCs w:val="20"/>
          <w:color w:val="auto"/>
        </w:rPr>
        <w:t>. If Employee terminates employment with the Company or a Subsidiary due to an Approved Early Retirement or due to a Lack of Work Separation, those Shares that have not become Vested Shares as of the date of the Approved Early Retirement or Lack of Work Separation shall not revert to the Company and shall remain subject to vesting in accordance with Section 5.1 provided that Employee fully complies with the covenants and obligations of Employee set forth in Sections 5.5 and 5.6 below at all times subsequent to and including the date of Approved Early Retirement or Lack of Work Separation and until the date the Shares become Vested Shares in accordance with Section 5.1.</w:t>
      </w:r>
    </w:p>
    <w:p>
      <w:pPr>
        <w:spacing w:after="0" w:line="1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Covenant Not to Compete; Non-Solicitation</w:t>
      </w:r>
      <w:r>
        <w:rPr>
          <w:rFonts w:ascii="Times New Roman" w:cs="Times New Roman" w:eastAsia="Times New Roman" w:hAnsi="Times New Roman"/>
          <w:sz w:val="19"/>
          <w:szCs w:val="19"/>
          <w:color w:val="auto"/>
        </w:rPr>
        <w:t>.</w:t>
      </w:r>
    </w:p>
    <w:p>
      <w:pPr>
        <w:spacing w:after="0" w:line="135" w:lineRule="exact"/>
        <w:rPr>
          <w:sz w:val="20"/>
          <w:szCs w:val="20"/>
          <w:color w:val="auto"/>
        </w:rPr>
      </w:pPr>
    </w:p>
    <w:p>
      <w:pPr>
        <w:jc w:val="both"/>
        <w:ind w:firstLine="1301"/>
        <w:spacing w:after="0" w:line="243" w:lineRule="auto"/>
        <w:tabs>
          <w:tab w:leader="none" w:pos="194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Employee acknowledges Employee's potential to terminate employment with the Company or a Subsidiary due to an Approved Early Retirement or a Lack of Work Separation prior to the vesting date set forth in Section 5.1(c) and acknowledges and agrees further, that based upon Employee's current health, skills, connections and other factors, including the availability of alternative employment opportunities that may be competitive with the business of the Company, Employee's employment by a competitor of the Company would cause irreparable harm to the Company; consequently, Employee agrees to the following covenants and obligations, from and after the Effective Date of this Agreement until the vesting of the Shares under Section 5.1, as a condition to grant of the Shares under this Agreement:</w:t>
      </w:r>
    </w:p>
    <w:p>
      <w:pPr>
        <w:spacing w:after="0" w:line="108"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0"/>
          <w:szCs w:val="20"/>
          <w:color w:val="auto"/>
        </w:rPr>
        <w:t>Employee agrees that he/she will not, directly or indirectly, either alone or in association with others, for himself/herself or for any other person or entity, either as principal, agent, employee, director, officer, member, stockholder, or in any other capacity: (i) conduct, become engaged in, or interested in, any business that competes, directly or indirectly, with the business of the Company or any of its affiliates in any geographic area in which the Company or any of its affiliates does or has reasonably definitive plans to do a material amount of business, (ii) solicit, divert or take away or attempt to solicit, divert or take away, directly or indirectly, any of the Company's or its affiliates current, prior, or prospective customers; or (iii) solicit or attempt to solicit any person who is employed or engaged to perform services by the Company or its affiliates to leave his or his employment or engagement with Company or its affiliates.</w:t>
      </w:r>
    </w:p>
    <w:p>
      <w:pPr>
        <w:spacing w:after="0" w:line="105" w:lineRule="exact"/>
        <w:rPr>
          <w:sz w:val="20"/>
          <w:szCs w:val="20"/>
          <w:color w:val="auto"/>
        </w:rPr>
      </w:pPr>
    </w:p>
    <w:p>
      <w:pPr>
        <w:jc w:val="both"/>
        <w:ind w:firstLine="1301"/>
        <w:spacing w:after="0" w:line="244" w:lineRule="auto"/>
        <w:tabs>
          <w:tab w:leader="none" w:pos="194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Judicial Determination</w:t>
      </w:r>
      <w:r>
        <w:rPr>
          <w:rFonts w:ascii="Times New Roman" w:cs="Times New Roman" w:eastAsia="Times New Roman" w:hAnsi="Times New Roman"/>
          <w:sz w:val="20"/>
          <w:szCs w:val="20"/>
          <w:color w:val="auto"/>
        </w:rPr>
        <w:t>. The Company and Employee agree that the restrictions set forth in this Section 5.5 are reasonable in light of the nature of the parties’ relationship and are necessary to protect the business and goodwill of the Company. However, should any court of competent jurisdiction determine that these restrictions are unreasonable, then the parties agree that the restrictions will, without further acts of the parties, be modified or amended to conform to the judgment of the court as to what would be reasonable, with the restrictions of this Section 5.5 to be limited in accordance with such judgment to the minimum extent determined to be necessary by the court.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5795010" cy="2540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9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8" w:right="1399" w:bottom="1440" w:gutter="0" w:footer="0" w:header="0"/>
        </w:sectPr>
      </w:pPr>
    </w:p>
    <w:bookmarkStart w:id="131" w:name="page132"/>
    <w:bookmarkEnd w:id="131"/>
    <w:p>
      <w:pPr>
        <w:jc w:val="both"/>
        <w:ind w:firstLine="1301"/>
        <w:spacing w:after="0" w:line="249"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breach of this Section 5.5 by Employee, the Company shall be entitled to injunctive relief and damages, together with any reasonable attorneys' fees or costs incurred as a result of such breach and awarded by the court and that the Shares subject to this Agreement shall immediately be forfeited and become Reverted Shares as provided in Section 5.3 hereof.</w:t>
      </w:r>
    </w:p>
    <w:p>
      <w:pPr>
        <w:spacing w:after="0" w:line="19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In consideration of the benefits to Employee of the ability to continue to allow the Shares to become Vested Shares under Section 5.4 above, and as a condition to such benefits, as of the date of Approved Early Retirement or Lack of Work Separation, as applicable, Employee releases and forever discharges the Company and its Subsidiaries and their respective directors, officers, managers, and agents (collectively, the "Released Parties") from any and all claims, suits, actions, causes of action, cross-claims, counter-claims, demands, debts, damages or liabilities of any nature whatsoever in law and in equity, both past and present and whether known or unknown, suspected, or claimed against the Company or any of the Released Parties which Employee has or may have and which arise out of or are connected with Employee's employment with, or separation or termination of service from, the Company or any Subsidiary under any federal, state or local civil or human rights law, or under any other local, state, or federal law, regulation or ordinance, or under any public policy, contract or tort, or under common law, or arising under any policies, practices or procedures of the Company or any Subsidiary, or any claim for wrongful discharge, retaliation, whistleblowers, breach of contract, or any claim for costs, fees, or other expenses, including attorneys' fees incurred in these matters.</w:t>
      </w:r>
    </w:p>
    <w:p>
      <w:pPr>
        <w:spacing w:after="0" w:line="207" w:lineRule="exact"/>
        <w:rPr>
          <w:sz w:val="20"/>
          <w:szCs w:val="20"/>
          <w:color w:val="auto"/>
        </w:rPr>
      </w:pPr>
    </w:p>
    <w:p>
      <w:pPr>
        <w:ind w:left="660" w:hanging="655"/>
        <w:spacing w:after="0"/>
        <w:tabs>
          <w:tab w:leader="none" w:pos="66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No Right to Employment</w:t>
      </w:r>
      <w:r>
        <w:rPr>
          <w:rFonts w:ascii="Times New Roman" w:cs="Times New Roman" w:eastAsia="Times New Roman" w:hAnsi="Times New Roman"/>
          <w:sz w:val="20"/>
          <w:szCs w:val="20"/>
          <w:color w:val="auto"/>
        </w:rPr>
        <w:t>. This Agreement is not an employment contract. Neither the Plan nor this Agreement or anything else changes the employment status of Employee.</w:t>
      </w:r>
    </w:p>
    <w:p>
      <w:pPr>
        <w:spacing w:after="0" w:line="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Spendthrift</w:t>
      </w:r>
      <w:r>
        <w:rPr>
          <w:rFonts w:ascii="Times New Roman" w:cs="Times New Roman" w:eastAsia="Times New Roman" w:hAnsi="Times New Roman"/>
          <w:sz w:val="20"/>
          <w:szCs w:val="20"/>
          <w:color w:val="auto"/>
        </w:rPr>
        <w:t>. No benefit or interest hereunder is subject in any manner to anticipation, alienation, sale, transfer, assignment, pledge, encumbrance, attachment, or garnishment by creditors of Employee.</w:t>
      </w:r>
    </w:p>
    <w:p>
      <w:pPr>
        <w:spacing w:after="0" w:line="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Whenever possible, each provision of this Agreement shall be interpreted in such manner as to be valid and enforceable, but if any provision of this Agreement shall be held to be prohibited or unenforceable under applicable law (a) such provision shall be deemed amended to accomplish the objectives of the provision as originally written to the fullest extent permitted by law, and (b) all other provisions of this Agreement shall remain in full force and effect.</w:t>
      </w:r>
    </w:p>
    <w:p>
      <w:pPr>
        <w:spacing w:after="0" w:line="1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used in this Agreement are for convenience only, do not constitute a part of this Agreement, and all of the provisions of this Agreement shall be enforced and construed as if no captions had been used.</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Complete Agreement</w:t>
      </w:r>
      <w:r>
        <w:rPr>
          <w:rFonts w:ascii="Times New Roman" w:cs="Times New Roman" w:eastAsia="Times New Roman" w:hAnsi="Times New Roman"/>
          <w:sz w:val="20"/>
          <w:szCs w:val="20"/>
          <w:color w:val="auto"/>
        </w:rPr>
        <w:t>. This Agreement contains the complete agreement between the parties relating in any way to the subject matter of this Agreement, and supersedes any prior understandings, agreements, or representations, written or oral, which may have related to such subject matter in any way.</w:t>
      </w:r>
    </w:p>
    <w:p>
      <w:pPr>
        <w:spacing w:after="0" w:line="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135" w:lineRule="exact"/>
        <w:rPr>
          <w:sz w:val="20"/>
          <w:szCs w:val="20"/>
          <w:color w:val="auto"/>
        </w:rPr>
      </w:pPr>
    </w:p>
    <w:p>
      <w:pPr>
        <w:jc w:val="both"/>
        <w:ind w:firstLine="1301"/>
        <w:spacing w:after="0" w:line="254" w:lineRule="auto"/>
        <w:tabs>
          <w:tab w:leader="none" w:pos="19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Required</w:t>
      </w:r>
      <w:r>
        <w:rPr>
          <w:rFonts w:ascii="Times New Roman" w:cs="Times New Roman" w:eastAsia="Times New Roman" w:hAnsi="Times New Roman"/>
          <w:sz w:val="20"/>
          <w:szCs w:val="20"/>
          <w:color w:val="auto"/>
        </w:rPr>
        <w:t>. Each communication given or delivered under this Agreement must be in writing and may be given by personal delivery or by certified mail. A written communication shall be deemed to have been given on the date it shall be delivered to the address required by this Agreement.</w:t>
      </w:r>
    </w:p>
    <w:p>
      <w:pPr>
        <w:spacing w:after="0" w:line="93" w:lineRule="exact"/>
        <w:rPr>
          <w:rFonts w:ascii="Times New Roman" w:cs="Times New Roman" w:eastAsia="Times New Roman" w:hAnsi="Times New Roman"/>
          <w:sz w:val="20"/>
          <w:szCs w:val="20"/>
          <w:color w:val="auto"/>
        </w:rPr>
      </w:pPr>
    </w:p>
    <w:p>
      <w:pPr>
        <w:ind w:firstLine="1301"/>
        <w:spacing w:after="0" w:line="269" w:lineRule="auto"/>
        <w:tabs>
          <w:tab w:leader="none" w:pos="19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to the Company</w:t>
      </w:r>
      <w:r>
        <w:rPr>
          <w:rFonts w:ascii="Times New Roman" w:cs="Times New Roman" w:eastAsia="Times New Roman" w:hAnsi="Times New Roman"/>
          <w:sz w:val="20"/>
          <w:szCs w:val="20"/>
          <w:color w:val="auto"/>
        </w:rPr>
        <w:t>. Communications to the Company shall be addressed to it at the principal corporate headquarters and marked to the attention of the Company’s General Counsel.</w:t>
      </w:r>
    </w:p>
    <w:p>
      <w:pPr>
        <w:spacing w:after="0" w:line="78" w:lineRule="exact"/>
        <w:rPr>
          <w:rFonts w:ascii="Times New Roman" w:cs="Times New Roman" w:eastAsia="Times New Roman" w:hAnsi="Times New Roman"/>
          <w:sz w:val="20"/>
          <w:szCs w:val="20"/>
          <w:color w:val="auto"/>
        </w:rPr>
      </w:pPr>
    </w:p>
    <w:p>
      <w:pPr>
        <w:jc w:val="both"/>
        <w:ind w:firstLine="1301"/>
        <w:spacing w:after="0" w:line="254" w:lineRule="auto"/>
        <w:tabs>
          <w:tab w:leader="none" w:pos="19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to the Employee</w:t>
      </w:r>
      <w:r>
        <w:rPr>
          <w:rFonts w:ascii="Times New Roman" w:cs="Times New Roman" w:eastAsia="Times New Roman" w:hAnsi="Times New Roman"/>
          <w:sz w:val="20"/>
          <w:szCs w:val="20"/>
          <w:color w:val="auto"/>
        </w:rPr>
        <w:t>. Every communication to Employee shall be addressed to Employee at the address given immediately below Employee’s signature to this Agreement, or to such other address as Employee shall specify to the Company.</w:t>
      </w:r>
    </w:p>
    <w:p>
      <w:pPr>
        <w:spacing w:after="0" w:line="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This Agreement is not assignable by Employee during the Employee’s lifetime. This Agreement shall be binding upon and inure to the benefit of (a) the successors and assigns of the Company, and (b) any person to whom Employee’s rights under this Agreement may pass by reason of Employee’s death.</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5795010" cy="2603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9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8" w:right="1399" w:bottom="1440" w:gutter="0" w:footer="0" w:header="0"/>
        </w:sectPr>
      </w:pPr>
    </w:p>
    <w:bookmarkStart w:id="132" w:name="page133"/>
    <w:bookmarkEnd w:id="132"/>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modified, or terminated only by written agreement between the Company and Employee.</w:t>
      </w:r>
    </w:p>
    <w:p>
      <w:pPr>
        <w:spacing w:after="0" w:line="7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delay or omission in exercising any right hereunder shall operate as a waiver of such right or of any other right hereunder. A waiver upon any one occasion shall not be construed as a bar or waiver of any right or remedy on any other occasion. All of the rights and remedies of the parties hereto, whether evidenced hereby or granted by law, shall be cumulative.</w:t>
      </w:r>
    </w:p>
    <w:p>
      <w:pPr>
        <w:spacing w:after="0" w:line="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Choice of Law</w:t>
      </w:r>
      <w:r>
        <w:rPr>
          <w:rFonts w:ascii="Times New Roman" w:cs="Times New Roman" w:eastAsia="Times New Roman" w:hAnsi="Times New Roman"/>
          <w:sz w:val="20"/>
          <w:szCs w:val="20"/>
          <w:color w:val="auto"/>
        </w:rPr>
        <w:t>. This Agreement shall be deemed to be a contract made under the laws of the State of Michigan, and for all purposes shall be construed in accordance with and governed by the laws of the State of Michigan.</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Effective Date of this Agreement.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EMPLOYEE:</w:t>
            </w: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4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rPr>
              <w:t>UFP INDUSTRIES, INC.:</w:t>
            </w: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2"/>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By​</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«Name1»</w:t>
            </w: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gridSpan w:val="3"/>
            <w:vMerge w:val="restart"/>
          </w:tcPr>
          <w:p>
            <w:pPr>
              <w:ind w:left="660"/>
              <w:spacing w:after="0"/>
              <w:rPr>
                <w:sz w:val="20"/>
                <w:szCs w:val="20"/>
                <w:color w:val="auto"/>
              </w:rPr>
            </w:pPr>
            <w:r>
              <w:rPr>
                <w:rFonts w:ascii="Times New Roman" w:cs="Times New Roman" w:eastAsia="Times New Roman" w:hAnsi="Times New Roman"/>
                <w:sz w:val="20"/>
                <w:szCs w:val="20"/>
                <w:color w:val="auto"/>
              </w:rPr>
              <w:t>Its</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83"/>
        </w:trPr>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0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«Address1»</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«City», «StateProvince» «Account_Number»</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252" w:right="1399" w:bottom="1440" w:gutter="0" w:footer="0" w:header="0"/>
        </w:sectPr>
      </w:pPr>
    </w:p>
    <w:bookmarkStart w:id="133" w:name="page134"/>
    <w:bookmarkEnd w:id="13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700" w:type="dxa"/>
            <w:vAlign w:val="bottom"/>
            <w:gridSpan w:val="3"/>
          </w:tcPr>
          <w:p>
            <w:pPr>
              <w:ind w:left="780"/>
              <w:spacing w:after="0"/>
              <w:rPr>
                <w:sz w:val="20"/>
                <w:szCs w:val="20"/>
                <w:color w:val="auto"/>
              </w:rPr>
            </w:pPr>
            <w:r>
              <w:rPr>
                <w:rFonts w:ascii="Times New Roman" w:cs="Times New Roman" w:eastAsia="Times New Roman" w:hAnsi="Times New Roman"/>
                <w:sz w:val="22"/>
                <w:szCs w:val="22"/>
                <w:b w:val="1"/>
                <w:bCs w:val="1"/>
                <w:color w:val="auto"/>
              </w:rPr>
              <w:t>EXHIBIT 21</w:t>
            </w:r>
          </w:p>
        </w:tc>
      </w:tr>
      <w:tr>
        <w:trPr>
          <w:trHeight w:val="198"/>
        </w:trPr>
        <w:tc>
          <w:tcPr>
            <w:tcW w:w="8080" w:type="dxa"/>
            <w:vAlign w:val="bottom"/>
            <w:gridSpan w:val="5"/>
          </w:tcPr>
          <w:p>
            <w:pPr>
              <w:ind w:left="1980"/>
              <w:spacing w:after="0" w:line="198" w:lineRule="exact"/>
              <w:rPr>
                <w:sz w:val="20"/>
                <w:szCs w:val="20"/>
                <w:color w:val="auto"/>
              </w:rPr>
            </w:pPr>
            <w:r>
              <w:rPr>
                <w:rFonts w:ascii="Times New Roman" w:cs="Times New Roman" w:eastAsia="Times New Roman" w:hAnsi="Times New Roman"/>
                <w:sz w:val="18"/>
                <w:szCs w:val="18"/>
                <w:b w:val="1"/>
                <w:bCs w:val="1"/>
                <w:color w:val="auto"/>
              </w:rPr>
              <w:t>LIST OF REGISTRANT'S SUBSIDIARIES AND AFFILIATES</w:t>
            </w: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0"/>
        </w:trPr>
        <w:tc>
          <w:tcPr>
            <w:tcW w:w="19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11032 Tidewater Trail,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Elizabeth City,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1955 Brokerage,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Endurable,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234 Springs Rd.,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Empaques, S. de R.L. de C.V.</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Mexico</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2875 Needmore Rd.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Factory Built,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621 Hall St.,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Financial Services, Inc.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A1 Mfg. S. de R.L. de C.V.</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Franklinton,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Advantage Label &amp; Packaging, Inc.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Gear,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Aljoma Holding Company,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Global Holdings Limited</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Ardellis Insurance Ltd.</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Bermuda</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Grandview,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Deckorators, Inc.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Granger,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Dempsey Wood Products,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Hampton Holding Company,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Eovations,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Hillsboro,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Ficus Pax Pvt Ltd</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India</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Industries, Inc.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Forestal Universal SA de CV</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International Employment Services,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Idaho Western, Inc.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Idaho</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International,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(China) Display System Co. Ltd.</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China</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Londonderry,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(India) Display Private Ltd.</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India</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Magna,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Amsterdam B.V.</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Netherlands</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McMinnville,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Asia Fixtures Limited</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China</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Mexico Embalaje y Distribution S. de R.L. de C.V.</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Mexico</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Asia Trading Ltd</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China</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Mexico Proyectos,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Corporation</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Middle East Packaging FZE</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United Arab Emirates</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idX Corporation London Limited</w:t>
            </w:r>
          </w:p>
        </w:tc>
        <w:tc>
          <w:tcPr>
            <w:tcW w:w="664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United KingdomUFP Middle East Wood Trading- Sole Proprietorship L.L.C.United Arab Emirates</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idX Mexico S. de R.L. de C.V.</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Milwaukee,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Innov8 Fund I,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Minneota,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Landura,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Texas</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Morrison,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Norpal S. de R.L. de C.V.</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Moultrie,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Atlantic Framing,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NAC,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P1 Catawba Development Company,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Carolina</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Newnan,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Manufacturing of Texas,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New Waverly,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Florida, Inc.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Florida</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Orlando,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Indiana Transportation,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Indiana</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Packaging,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of NE Texas, LP</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Texas</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Palets y Embalajes, S.L.</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Spain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PalletOne of Texas Holdings, Inc.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Palm Beach,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PalletOne, Inc.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Delaware</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Protective Packaging,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Formulation Solutions,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Illinois</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Purchasing, Inc.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Pinelli Universal Chile S.A.</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Rancho Cucamonga,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Pinelli Universal S. de R.L. de C.V.</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Ranson,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Pinelli Universal TKT S. de R.L. de C.V.</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Real Estate,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 Distribution,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Puerto Rico</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Retail,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2"/>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Prowood,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Riverside,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Shawnlee Construction,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RMS,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Shepardville Construction,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Rockingham,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Soluciones en Empaque y Logistica, S.A. de C.V.Mexico</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Rockwell,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SunOne Logistics,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Texas</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Saginaw,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SunOne Transport,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Alabama</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Salisbury,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UBEECO Group Pty Ltd</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Australia</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Schertz,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Tresstar,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Site Built,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Triangle Systems, Inc.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New York</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Structural Packaging,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Mexico Holdings S. de R.L. de C.V.</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Tampa,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UFP Atlantic Division, LLC</w:t>
            </w: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UFP Thomaston, LLC</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203"/>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Auburndale, LLC</w:t>
            </w:r>
          </w:p>
        </w:tc>
        <w:tc>
          <w:tcPr>
            <w:tcW w:w="1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Michigan</w:t>
            </w:r>
          </w:p>
        </w:tc>
        <w:tc>
          <w:tcPr>
            <w:tcW w:w="3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UFP Thornton, LLC</w:t>
            </w: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Michigan</w:t>
            </w:r>
          </w:p>
        </w:tc>
      </w:tr>
      <w:tr>
        <w:trPr>
          <w:trHeight w:val="560"/>
        </w:trPr>
        <w:tc>
          <w:tcPr>
            <w:tcW w:w="1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9680"/>
          </w:cols>
          <w:pgMar w:left="1440" w:top="107" w:right="779" w:bottom="1440" w:gutter="0" w:footer="0" w:header="0"/>
        </w:sectPr>
      </w:pPr>
    </w:p>
    <w:bookmarkStart w:id="134" w:name="page135"/>
    <w:bookmarkEnd w:id="13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UFP Australia Pty Ltd</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Australia</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UFP Transportation, Inc.</w:t>
            </w:r>
          </w:p>
        </w:tc>
        <w:tc>
          <w:tcPr>
            <w:tcW w:w="2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Michigan</w:t>
            </w:r>
          </w:p>
        </w:tc>
      </w:tr>
      <w:tr>
        <w:trPr>
          <w:trHeight w:val="208"/>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Australia Real Estate Pty Ltd</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Australia</w:t>
            </w: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Ventures II, Inc.</w:t>
            </w:r>
          </w:p>
        </w:tc>
        <w:tc>
          <w:tcPr>
            <w:tcW w:w="1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8"/>
                <w:szCs w:val="18"/>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UFP Berlin, LLC</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UFP Warranty Corporation</w:t>
            </w:r>
          </w:p>
        </w:tc>
        <w:tc>
          <w:tcPr>
            <w:tcW w:w="1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Burnsville, LLC</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Washington, LLC</w:t>
            </w:r>
          </w:p>
        </w:tc>
        <w:tc>
          <w:tcPr>
            <w:tcW w:w="1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UFP Canada, Inc.</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UFP Western Division, Inc.</w:t>
            </w:r>
          </w:p>
        </w:tc>
        <w:tc>
          <w:tcPr>
            <w:tcW w:w="1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Chandler, LLC</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UFP Windsor, LLC</w:t>
            </w:r>
          </w:p>
        </w:tc>
        <w:tc>
          <w:tcPr>
            <w:tcW w:w="1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UFP Concrete Forming Solutions, Inc.</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UFP Woodburn, LLC</w:t>
            </w:r>
          </w:p>
        </w:tc>
        <w:tc>
          <w:tcPr>
            <w:tcW w:w="1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Construction, LLC</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Ultra Aluminum Manufacturing, Inc.</w:t>
            </w:r>
          </w:p>
        </w:tc>
        <w:tc>
          <w:tcPr>
            <w:tcW w:w="1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UFP Corrugated, LLC</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Lumber &amp; Reman, LLC</w:t>
            </w:r>
          </w:p>
        </w:tc>
        <w:tc>
          <w:tcPr>
            <w:tcW w:w="1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Alabama</w:t>
            </w:r>
          </w:p>
        </w:tc>
        <w:tc>
          <w:tcPr>
            <w:tcW w:w="920" w:type="dxa"/>
            <w:vAlign w:val="bottom"/>
          </w:tcPr>
          <w:p>
            <w:pPr>
              <w:spacing w:after="0"/>
              <w:rPr>
                <w:sz w:val="17"/>
                <w:szCs w:val="17"/>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Craft and Hobby, LLC</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Universal Forest Products de Mexico S.A. de C.V.Mexico</w:t>
            </w:r>
          </w:p>
        </w:tc>
        <w:tc>
          <w:tcPr>
            <w:tcW w:w="920" w:type="dxa"/>
            <w:vAlign w:val="bottom"/>
          </w:tcPr>
          <w:p>
            <w:pPr>
              <w:spacing w:after="0"/>
              <w:rPr>
                <w:sz w:val="17"/>
                <w:szCs w:val="17"/>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UFP Dallas, LLC</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Universal Forest Products Texas, LLC</w:t>
            </w:r>
          </w:p>
        </w:tc>
        <w:tc>
          <w:tcPr>
            <w:tcW w:w="1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Distribution, LLC</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Universal Showcase ULC</w:t>
            </w:r>
          </w:p>
        </w:tc>
        <w:tc>
          <w:tcPr>
            <w:tcW w:w="1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Canada</w:t>
            </w:r>
          </w:p>
        </w:tc>
        <w:tc>
          <w:tcPr>
            <w:tcW w:w="920" w:type="dxa"/>
            <w:vAlign w:val="bottom"/>
          </w:tcPr>
          <w:p>
            <w:pPr>
              <w:spacing w:after="0"/>
              <w:rPr>
                <w:sz w:val="17"/>
                <w:szCs w:val="17"/>
                <w:color w:val="auto"/>
              </w:rPr>
            </w:pPr>
          </w:p>
        </w:tc>
      </w:tr>
      <w:tr>
        <w:trPr>
          <w:trHeight w:val="20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UFP Eastern Division, Inc.</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Wadpack Pvt. Ltd</w:t>
            </w:r>
          </w:p>
        </w:tc>
        <w:tc>
          <w:tcPr>
            <w:tcW w:w="15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India</w:t>
            </w:r>
          </w:p>
        </w:tc>
        <w:tc>
          <w:tcPr>
            <w:tcW w:w="920" w:type="dxa"/>
            <w:vAlign w:val="bottom"/>
          </w:tcPr>
          <w:p>
            <w:pPr>
              <w:spacing w:after="0"/>
              <w:rPr>
                <w:sz w:val="17"/>
                <w:szCs w:val="17"/>
                <w:color w:val="auto"/>
              </w:rPr>
            </w:pPr>
          </w:p>
        </w:tc>
      </w:tr>
      <w:tr>
        <w:trPr>
          <w:trHeight w:val="20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UFP Edge, LLC</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Michigan</w:t>
            </w: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Yard &amp; Home, LLC</w:t>
            </w:r>
          </w:p>
        </w:tc>
        <w:tc>
          <w:tcPr>
            <w:tcW w:w="1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Michigan</w:t>
            </w:r>
          </w:p>
        </w:tc>
        <w:tc>
          <w:tcPr>
            <w:tcW w:w="920" w:type="dxa"/>
            <w:vAlign w:val="bottom"/>
          </w:tcPr>
          <w:p>
            <w:pPr>
              <w:spacing w:after="0"/>
              <w:rPr>
                <w:sz w:val="17"/>
                <w:szCs w:val="17"/>
                <w:color w:val="auto"/>
              </w:rPr>
            </w:pPr>
          </w:p>
        </w:tc>
      </w:tr>
      <w:tr>
        <w:trPr>
          <w:trHeight w:val="777"/>
        </w:trPr>
        <w:tc>
          <w:tcPr>
            <w:tcW w:w="2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135" w:name="page136"/>
    <w:bookmarkEnd w:id="1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33-84632, 33-60630, 333-150345, 333-156596, 333-255902, 333-274461 and 333-288183 on Form S-8 of our reports dated February 25, 2026, relating to the consolidated financial statements of UFP Industries, Inc. and subsidiaries (the “Company”), and the effectiveness of the Company’s internal control over financial reporting appearing in this Annual Report on Form 10-K for the year ended December 27, 2025.</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2603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6" w:name="page137"/>
    <w:bookmarkEnd w:id="1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D. Schwartz, Jr., certify that:</w:t>
      </w:r>
    </w:p>
    <w:p>
      <w:pPr>
        <w:spacing w:after="0" w:line="171" w:lineRule="exact"/>
        <w:rPr>
          <w:sz w:val="20"/>
          <w:szCs w:val="20"/>
          <w:color w:val="auto"/>
        </w:rPr>
      </w:pPr>
    </w:p>
    <w:p>
      <w:pPr>
        <w:ind w:left="680" w:hanging="630"/>
        <w:spacing w:after="0"/>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UFP Industries, Inc.;</w:t>
      </w:r>
    </w:p>
    <w:p>
      <w:pPr>
        <w:spacing w:after="0" w:line="171"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239" w:hanging="650"/>
        <w:spacing w:after="0" w:line="266" w:lineRule="auto"/>
        <w:tabs>
          <w:tab w:leader="none" w:pos="67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1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ind w:left="1340" w:right="199" w:hanging="642"/>
        <w:spacing w:after="0" w:line="261" w:lineRule="auto"/>
        <w:tabs>
          <w:tab w:leader="none" w:pos="132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1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2"/>
        <w:spacing w:after="0" w:line="261" w:lineRule="auto"/>
        <w:tabs>
          <w:tab w:leader="none" w:pos="132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700" w:right="559" w:hanging="650"/>
        <w:spacing w:after="0" w:line="266" w:lineRule="auto"/>
        <w:tabs>
          <w:tab w:leader="none" w:pos="67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59" w:hanging="642"/>
        <w:spacing w:after="0" w:line="266" w:lineRule="auto"/>
        <w:tabs>
          <w:tab w:leader="none" w:pos="130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119" w:hanging="642"/>
        <w:spacing w:after="0" w:line="282" w:lineRule="auto"/>
        <w:tabs>
          <w:tab w:leader="none" w:pos="131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2026</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D. Schwartz, Jr.</w:t>
            </w: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37" w:name="page138"/>
    <w:bookmarkEnd w:id="1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185" w:lineRule="exact"/>
        <w:rPr>
          <w:sz w:val="20"/>
          <w:szCs w:val="20"/>
          <w:color w:val="auto"/>
        </w:rPr>
      </w:pPr>
    </w:p>
    <w:p>
      <w:pPr>
        <w:ind w:left="680" w:hanging="630"/>
        <w:spacing w:after="0"/>
        <w:tabs>
          <w:tab w:leader="none" w:pos="6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UFP Industries, Inc.;</w:t>
      </w:r>
    </w:p>
    <w:p>
      <w:pPr>
        <w:spacing w:after="0" w:line="198"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68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68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39" w:hanging="650"/>
        <w:spacing w:after="0" w:line="266" w:lineRule="auto"/>
        <w:tabs>
          <w:tab w:leader="none" w:pos="67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40" w:right="79" w:hanging="642"/>
        <w:spacing w:after="0" w:line="261" w:lineRule="auto"/>
        <w:tabs>
          <w:tab w:leader="none" w:pos="131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40" w:right="199" w:hanging="642"/>
        <w:spacing w:after="0" w:line="261" w:lineRule="auto"/>
        <w:tabs>
          <w:tab w:leader="none" w:pos="132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340" w:right="179" w:hanging="642"/>
        <w:spacing w:after="0" w:line="266" w:lineRule="auto"/>
        <w:tabs>
          <w:tab w:leader="none" w:pos="131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340" w:right="139" w:hanging="642"/>
        <w:spacing w:after="0" w:line="261" w:lineRule="auto"/>
        <w:tabs>
          <w:tab w:leader="none" w:pos="132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700" w:right="559" w:hanging="650"/>
        <w:spacing w:after="0" w:line="266" w:lineRule="auto"/>
        <w:tabs>
          <w:tab w:leader="none" w:pos="67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40" w:right="359" w:hanging="642"/>
        <w:spacing w:after="0" w:line="266" w:lineRule="auto"/>
        <w:tabs>
          <w:tab w:leader="none" w:pos="130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340" w:right="119" w:hanging="642"/>
        <w:spacing w:after="0" w:line="282" w:lineRule="auto"/>
        <w:tabs>
          <w:tab w:leader="none" w:pos="131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2026</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1019"/>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8" w:name="page139"/>
    <w:bookmarkEnd w:id="1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 William D. Schwartz, Jr.,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0" w:right="79" w:firstLine="638"/>
        <w:spacing w:after="0" w:line="282" w:lineRule="auto"/>
        <w:tabs>
          <w:tab w:leader="none" w:pos="13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10-K for the year ended December 27, 2025,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42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on Form 10-K for the period ended December 27, 2025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 /s/ William D. Schwartz, Jr.</w:t>
            </w:r>
          </w:p>
        </w:tc>
      </w:tr>
      <w:tr>
        <w:trPr>
          <w:trHeight w:val="191"/>
        </w:trPr>
        <w:tc>
          <w:tcPr>
            <w:tcW w:w="580" w:type="dxa"/>
            <w:vAlign w:val="bottom"/>
          </w:tcPr>
          <w:p>
            <w:pPr>
              <w:spacing w:after="0"/>
              <w:rPr>
                <w:sz w:val="16"/>
                <w:szCs w:val="16"/>
                <w:color w:val="auto"/>
              </w:rPr>
            </w:pPr>
          </w:p>
        </w:tc>
        <w:tc>
          <w:tcPr>
            <w:tcW w:w="348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D. Schwartz, Jr.</w:t>
            </w:r>
          </w:p>
        </w:tc>
      </w:tr>
      <w:tr>
        <w:trPr>
          <w:trHeight w:val="216"/>
        </w:trPr>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8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Its:  Chief Executive Officer and</w:t>
            </w:r>
          </w:p>
        </w:tc>
      </w:tr>
      <w:tr>
        <w:trPr>
          <w:trHeight w:val="234"/>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9" w:name="page140"/>
    <w:bookmarkEnd w:id="1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0" w:right="59" w:firstLine="638"/>
        <w:spacing w:after="0" w:line="282" w:lineRule="auto"/>
        <w:tabs>
          <w:tab w:leader="none" w:pos="142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10-K for the period ended December 27, 2025,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4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on Form 10-K for the period ended December 27, 2025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432"/>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25, 2026</w:t>
            </w: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191"/>
        </w:trPr>
        <w:tc>
          <w:tcPr>
            <w:tcW w:w="480" w:type="dxa"/>
            <w:vAlign w:val="bottom"/>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Its: Chief Financial Officer,</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1)"/>
      <w:numFmt w:val="lowerLetter"/>
      <w:start w:val="1"/>
    </w:lvl>
  </w:abstractNum>
  <w:abstractNum w:abstractNumId="6">
    <w:nsid w:val="4AD084E9"/>
    <w:multiLevelType w:val="hybridMultilevel"/>
    <w:lvl w:ilvl="0">
      <w:lvlJc w:val="left"/>
      <w:lvlText w:val="(%1)"/>
      <w:numFmt w:val="decimal"/>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lvl w:ilvl="1">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lvl w:ilvl="1">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1."/>
      <w:numFmt w:val="upperLetter"/>
      <w:start w:val="1"/>
    </w:lvl>
  </w:abstractNum>
  <w:abstractNum w:abstractNumId="29">
    <w:nsid w:val="A0382C5"/>
    <w:multiLevelType w:val="hybridMultilevel"/>
    <w:lvl w:ilvl="0">
      <w:lvlJc w:val="left"/>
      <w:lvlText w:val="(%1)"/>
      <w:numFmt w:val="lowerRoman"/>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1."/>
      <w:numFmt w:val="upperLetter"/>
      <w:start w:val="2"/>
    </w:lvl>
  </w:abstractNum>
  <w:abstractNum w:abstractNumId="33">
    <w:nsid w:val="68EB2F63"/>
    <w:multiLevelType w:val="hybridMultilevel"/>
    <w:lvl w:ilvl="0">
      <w:lvlJc w:val="left"/>
      <w:lvlText w:val="%1."/>
      <w:numFmt w:val="upperLetter"/>
      <w:start w:val="3"/>
    </w:lvl>
  </w:abstractNum>
  <w:abstractNum w:abstractNumId="34">
    <w:nsid w:val="4962813B"/>
    <w:multiLevelType w:val="hybridMultilevel"/>
    <w:lvl w:ilvl="0">
      <w:lvlJc w:val="left"/>
      <w:lvlText w:val="%1."/>
      <w:numFmt w:val="upperLetter"/>
      <w:start w:val="4"/>
    </w:lvl>
  </w:abstractNum>
  <w:abstractNum w:abstractNumId="35">
    <w:nsid w:val="60B6DF70"/>
    <w:multiLevelType w:val="hybridMultilevel"/>
    <w:lvl w:ilvl="0">
      <w:lvlJc w:val="left"/>
      <w:lvlText w:val="%1."/>
      <w:numFmt w:val="upperLetter"/>
      <w:start w:val="5"/>
    </w:lvl>
  </w:abstractNum>
  <w:abstractNum w:abstractNumId="36">
    <w:nsid w:val="6A5EE64"/>
    <w:multiLevelType w:val="hybridMultilevel"/>
    <w:lvl w:ilvl="0">
      <w:lvlJc w:val="left"/>
      <w:lvlText w:val="%1."/>
      <w:numFmt w:val="upperLetter"/>
      <w:start w:val="6"/>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1."/>
      <w:numFmt w:val="upperLetter"/>
      <w:start w:val="7"/>
    </w:lvl>
  </w:abstractNum>
  <w:abstractNum w:abstractNumId="39">
    <w:nsid w:val="1A27709E"/>
    <w:multiLevelType w:val="hybridMultilevel"/>
    <w:lvl w:ilvl="0">
      <w:lvlJc w:val="left"/>
      <w:lvlText w:val="%1."/>
      <w:numFmt w:val="upperLetter"/>
      <w:start w:val="8"/>
    </w:lvl>
  </w:abstractNum>
  <w:abstractNum w:abstractNumId="40">
    <w:nsid w:val="71EA1109"/>
    <w:multiLevelType w:val="hybridMultilevel"/>
    <w:lvl w:ilvl="0">
      <w:lvlJc w:val="left"/>
      <w:lvlText w:val="%1."/>
      <w:numFmt w:val="upperLetter"/>
      <w:start w:val="9"/>
    </w:lvl>
  </w:abstractNum>
  <w:abstractNum w:abstractNumId="41">
    <w:nsid w:val="100F59DC"/>
    <w:multiLevelType w:val="hybridMultilevel"/>
    <w:lvl w:ilvl="0">
      <w:lvlJc w:val="left"/>
      <w:lvlText w:val="%1."/>
      <w:numFmt w:val="upperLetter"/>
      <w:start w:val="10"/>
    </w:lvl>
  </w:abstractNum>
  <w:abstractNum w:abstractNumId="42">
    <w:nsid w:val="7FB7E0AA"/>
    <w:multiLevelType w:val="hybridMultilevel"/>
    <w:lvl w:ilvl="0">
      <w:lvlJc w:val="left"/>
      <w:lvlText w:val="%1."/>
      <w:numFmt w:val="upperLetter"/>
      <w:start w:val="11"/>
    </w:lvl>
  </w:abstractNum>
  <w:abstractNum w:abstractNumId="43">
    <w:nsid w:val="6EB5BD4"/>
    <w:multiLevelType w:val="hybridMultilevel"/>
    <w:lvl w:ilvl="0">
      <w:lvlJc w:val="left"/>
      <w:lvlText w:val="%1."/>
      <w:numFmt w:val="upperLetter"/>
      <w:start w:val="12"/>
    </w:lvl>
  </w:abstractNum>
  <w:abstractNum w:abstractNumId="44">
    <w:nsid w:val="6F6DD9AC"/>
    <w:multiLevelType w:val="hybridMultilevel"/>
    <w:lvl w:ilvl="0">
      <w:lvlJc w:val="left"/>
      <w:lvlText w:val="%1."/>
      <w:numFmt w:val="upperLetter"/>
      <w:start w:val="13"/>
    </w:lvl>
  </w:abstractNum>
  <w:abstractNum w:abstractNumId="45">
    <w:nsid w:val="94211F2"/>
    <w:multiLevelType w:val="hybridMultilevel"/>
    <w:lvl w:ilvl="0">
      <w:lvlJc w:val="left"/>
      <w:lvlText w:val="%1."/>
      <w:numFmt w:val="upperLetter"/>
      <w:start w:val="14"/>
    </w:lvl>
  </w:abstractNum>
  <w:abstractNum w:abstractNumId="46">
    <w:nsid w:val="885E1B"/>
    <w:multiLevelType w:val="hybridMultilevel"/>
    <w:lvl w:ilvl="0">
      <w:lvlJc w:val="left"/>
      <w:lvlText w:val="%1."/>
      <w:numFmt w:val="upperLetter"/>
      <w:start w:val="15"/>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lowerLetter"/>
      <w:start w:val="1"/>
    </w:lvl>
    <w:lvl w:ilvl="1">
      <w:lvlJc w:val="left"/>
      <w:lvlText w:val="%2."/>
      <w:numFmt w:val="decimal"/>
      <w:start w:val="2"/>
    </w:lvl>
  </w:abstractNum>
  <w:abstractNum w:abstractNumId="49">
    <w:nsid w:val="1716703B"/>
    <w:multiLevelType w:val="hybridMultilevel"/>
    <w:lvl w:ilvl="0">
      <w:lvlJc w:val="left"/>
      <w:lvlText w:val="3"/>
      <w:numFmt w:val="bullet"/>
      <w:start w:val="1"/>
    </w:lvl>
    <w:lvl w:ilvl="1">
      <w:lvlJc w:val="left"/>
      <w:lvlText w:val="(%2)"/>
      <w:numFmt w:val="lowerLetter"/>
      <w:start w:val="1"/>
    </w:lvl>
  </w:abstractNum>
  <w:abstractNum w:abstractNumId="50">
    <w:nsid w:val="14E17E33"/>
    <w:multiLevelType w:val="hybridMultilevel"/>
    <w:lvl w:ilvl="0">
      <w:lvlJc w:val="left"/>
      <w:lvlText w:val="4"/>
      <w:numFmt w:val="bullet"/>
      <w:start w:val="1"/>
    </w:lvl>
    <w:lvl w:ilvl="1">
      <w:lvlJc w:val="left"/>
      <w:lvlText w:val="(%2)"/>
      <w:numFmt w:val="lowerLetter"/>
      <w:start w:val="1"/>
    </w:lvl>
  </w:abstractNum>
  <w:abstractNum w:abstractNumId="51">
    <w:nsid w:val="3222E7C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2">
    <w:nsid w:val="74DE0EE3"/>
    <w:multiLevelType w:val="hybridMultilevel"/>
    <w:lvl w:ilvl="0">
      <w:lvlJc w:val="left"/>
      <w:lvlText w:val="%1"/>
      <w:numFmt w:val="decimal"/>
      <w:start w:val="19"/>
    </w:lvl>
  </w:abstractNum>
  <w:abstractNum w:abstractNumId="53">
    <w:nsid w:val="68EBC550"/>
    <w:multiLevelType w:val="hybridMultilevel"/>
    <w:lvl w:ilvl="0">
      <w:lvlJc w:val="left"/>
      <w:lvlText w:val="%1"/>
      <w:numFmt w:val="decimal"/>
      <w:start w:val="21"/>
    </w:lvl>
  </w:abstractNum>
  <w:abstractNum w:abstractNumId="54">
    <w:nsid w:val="2DF6D648"/>
    <w:multiLevelType w:val="hybridMultilevel"/>
    <w:lvl w:ilvl="0">
      <w:lvlJc w:val="left"/>
      <w:lvlText w:val="%1"/>
      <w:numFmt w:val="decimal"/>
      <w:start w:val="23"/>
    </w:lvl>
  </w:abstractNum>
  <w:abstractNum w:abstractNumId="55">
    <w:nsid w:val="46B7D447"/>
    <w:multiLevelType w:val="hybridMultilevel"/>
    <w:lvl w:ilvl="0">
      <w:lvlJc w:val="left"/>
      <w:lvlText w:val="%1"/>
      <w:numFmt w:val="decimal"/>
      <w:start w:val="31"/>
    </w:lvl>
    <w:lvl w:ilvl="1">
      <w:lvlJc w:val="left"/>
      <w:lvlText w:val="(%2)"/>
      <w:numFmt w:val="lowerLetter"/>
      <w:start w:val="1"/>
    </w:lvl>
  </w:abstractNum>
  <w:abstractNum w:abstractNumId="56">
    <w:nsid w:val="4A2AC315"/>
    <w:multiLevelType w:val="hybridMultilevel"/>
    <w:lvl w:ilvl="0">
      <w:lvlJc w:val="left"/>
      <w:lvlText w:val="%1"/>
      <w:numFmt w:val="decimal"/>
      <w:start w:val="97"/>
    </w:lvl>
  </w:abstractNum>
  <w:abstractNum w:abstractNumId="57">
    <w:nsid w:val="39EE015C"/>
    <w:multiLevelType w:val="hybridMultilevel"/>
    <w:lvl w:ilvl="0">
      <w:lvlJc w:val="left"/>
      <w:lvlText w:val="%1"/>
      <w:numFmt w:val="decimal"/>
      <w:start w:val="101"/>
    </w:lvl>
  </w:abstractNum>
  <w:abstractNum w:abstractNumId="58">
    <w:nsid w:val="57FC4FBB"/>
    <w:multiLevelType w:val="hybridMultilevel"/>
    <w:lvl w:ilvl="0">
      <w:lvlJc w:val="left"/>
      <w:lvlText w:val="*"/>
      <w:numFmt w:val="bullet"/>
      <w:start w:val="1"/>
    </w:lvl>
    <w:lvl w:ilvl="1">
      <w:lvlJc w:val="left"/>
      <w:lvlText w:val="%2"/>
      <w:numFmt w:val="decimal"/>
      <w:start w:val="104"/>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1)"/>
      <w:numFmt w:val="lowerLetter"/>
      <w:start w:val="1"/>
    </w:lvl>
    <w:lvl w:ilvl="1">
      <w:lvlJc w:val="left"/>
      <w:lvlText w:val="(%2)"/>
      <w:numFmt w:val="decimal"/>
      <w:start w:val="1"/>
    </w:lvl>
  </w:abstractNum>
  <w:abstractNum w:abstractNumId="61">
    <w:nsid w:val="60EF0119"/>
    <w:multiLevelType w:val="hybridMultilevel"/>
    <w:lvl w:ilvl="0">
      <w:lvlJc w:val="left"/>
      <w:lvlText w:val="(%1)"/>
      <w:numFmt w:val="lowerLetter"/>
      <w:start w:val="8"/>
    </w:lvl>
    <w:lvl w:ilvl="1">
      <w:lvlJc w:val="left"/>
      <w:lvlText w:val="(%2)"/>
      <w:numFmt w:val="decimal"/>
      <w:start w:val="1"/>
    </w:lvl>
  </w:abstractNum>
  <w:abstractNum w:abstractNumId="62">
    <w:nsid w:val="26F324BA"/>
    <w:multiLevelType w:val="hybridMultilevel"/>
    <w:lvl w:ilvl="0">
      <w:lvlJc w:val="left"/>
      <w:lvlText w:val="(%1)"/>
      <w:numFmt w:val="lowerLetter"/>
      <w:start w:val="13"/>
    </w:lvl>
    <w:lvl w:ilvl="1">
      <w:lvlJc w:val="left"/>
      <w:lvlText w:val="(%2)"/>
      <w:numFmt w:val="decimal"/>
      <w:start w:val="1"/>
    </w:lvl>
  </w:abstractNum>
  <w:abstractNum w:abstractNumId="63">
    <w:nsid w:val="7F01579B"/>
    <w:multiLevelType w:val="hybridMultilevel"/>
    <w:lvl w:ilvl="0">
      <w:lvlJc w:val="left"/>
      <w:lvlText w:val="(%1)"/>
      <w:numFmt w:val="lowerLetter"/>
      <w:start w:val="17"/>
    </w:lvl>
  </w:abstractNum>
  <w:abstractNum w:abstractNumId="64">
    <w:nsid w:val="49DA307D"/>
    <w:multiLevelType w:val="hybridMultilevel"/>
    <w:lvl w:ilvl="0">
      <w:lvlJc w:val="left"/>
      <w:lvlText w:val="%1"/>
      <w:numFmt w:val="lowerLetter"/>
      <w:start w:val="1"/>
    </w:lvl>
    <w:lvl w:ilvl="1">
      <w:lvlJc w:val="left"/>
      <w:lvlText w:val="(%2)"/>
      <w:numFmt w:val="decimal"/>
      <w:start w:val="1"/>
    </w:lvl>
  </w:abstractNum>
  <w:abstractNum w:abstractNumId="65">
    <w:nsid w:val="7055A5F5"/>
    <w:multiLevelType w:val="hybridMultilevel"/>
    <w:lvl w:ilvl="0">
      <w:lvlJc w:val="left"/>
      <w:lvlText w:val="(%1)"/>
      <w:numFmt w:val="lowerLetter"/>
      <w:start w:val="22"/>
    </w:lvl>
    <w:lvl w:ilvl="1">
      <w:lvlJc w:val="left"/>
      <w:lvlText w:val="(%2)"/>
      <w:numFmt w:val="decimal"/>
      <w:start w:val="1"/>
    </w:lvl>
  </w:abstractNum>
  <w:abstractNum w:abstractNumId="66">
    <w:nsid w:val="5FB8370B"/>
    <w:multiLevelType w:val="hybridMultilevel"/>
    <w:lvl w:ilvl="0">
      <w:lvlJc w:val="left"/>
      <w:lvlText w:val="(%1)"/>
      <w:numFmt w:val="lowerLetter"/>
      <w:start w:val="24"/>
    </w:lvl>
    <w:lvl w:ilvl="1">
      <w:lvlJc w:val="left"/>
      <w:lvlText w:val="(%2)"/>
      <w:numFmt w:val="decimal"/>
      <w:start w:val="1"/>
    </w:lvl>
  </w:abstractNum>
  <w:abstractNum w:abstractNumId="67">
    <w:nsid w:val="50801EE1"/>
    <w:multiLevelType w:val="hybridMultilevel"/>
    <w:lvl w:ilvl="0">
      <w:lvlJc w:val="left"/>
      <w:lvlText w:val="(%1)"/>
      <w:numFmt w:val="lowerLetter"/>
      <w:start w:val="27"/>
    </w:lvl>
  </w:abstractNum>
  <w:abstractNum w:abstractNumId="68">
    <w:nsid w:val="488AC1A"/>
    <w:multiLevelType w:val="hybridMultilevel"/>
    <w:lvl w:ilvl="0">
      <w:lvlJc w:val="left"/>
      <w:lvlText w:val="(%1)"/>
      <w:numFmt w:val="lowerLetter"/>
      <w:start w:val="1"/>
    </w:lvl>
    <w:lvl w:ilvl="1">
      <w:lvlJc w:val="left"/>
      <w:lvlText w:val="(%2)"/>
      <w:numFmt w:val="decimal"/>
      <w:start w:val="1"/>
    </w:lvl>
  </w:abstractNum>
  <w:abstractNum w:abstractNumId="69">
    <w:nsid w:val="5FB8011C"/>
    <w:multiLevelType w:val="hybridMultilevel"/>
    <w:lvl w:ilvl="0">
      <w:lvlJc w:val="left"/>
      <w:lvlText w:val="(%1)"/>
      <w:numFmt w:val="lowerLetter"/>
      <w:start w:val="5"/>
    </w:lvl>
    <w:lvl w:ilvl="1">
      <w:lvlJc w:val="left"/>
      <w:lvlText w:val="(%2)"/>
      <w:numFmt w:val="decimal"/>
      <w:start w:val="1"/>
    </w:lvl>
  </w:abstractNum>
  <w:abstractNum w:abstractNumId="70">
    <w:nsid w:val="6AA78F7F"/>
    <w:multiLevelType w:val="hybridMultilevel"/>
    <w:lvl w:ilvl="0">
      <w:lvlJc w:val="left"/>
      <w:lvlText w:val="(%1)"/>
      <w:numFmt w:val="lowerLetter"/>
      <w:start w:val="7"/>
    </w:lvl>
  </w:abstractNum>
  <w:abstractNum w:abstractNumId="71">
    <w:nsid w:val="7672BD23"/>
    <w:multiLevelType w:val="hybridMultilevel"/>
    <w:lvl w:ilvl="0">
      <w:lvlJc w:val="left"/>
      <w:lvlText w:val="(%1)"/>
      <w:numFmt w:val="lowerLetter"/>
      <w:start w:val="1"/>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1)"/>
      <w:numFmt w:val="lowerLetter"/>
      <w:start w:val="2"/>
    </w:lvl>
    <w:lvl w:ilvl="1">
      <w:lvlJc w:val="left"/>
      <w:lvlText w:val="(%2)"/>
      <w:numFmt w:val="decimal"/>
      <w:start w:val="1"/>
    </w:lvl>
  </w:abstractNum>
  <w:abstractNum w:abstractNumId="75">
    <w:nsid w:val="5F3534A4"/>
    <w:multiLevelType w:val="hybridMultilevel"/>
    <w:lvl w:ilvl="0">
      <w:lvlJc w:val="left"/>
      <w:lvlText w:val="(%1)"/>
      <w:numFmt w:val="decimal"/>
      <w:start w:val="2"/>
    </w:lvl>
  </w:abstractNum>
  <w:abstractNum w:abstractNumId="76">
    <w:nsid w:val="73A1821B"/>
    <w:multiLevelType w:val="hybridMultilevel"/>
    <w:lvl w:ilvl="0">
      <w:lvlJc w:val="left"/>
      <w:lvlText w:val="(%1)"/>
      <w:numFmt w:val="lowerLetter"/>
      <w:start w:val="4"/>
    </w:lvl>
  </w:abstractNum>
  <w:abstractNum w:abstractNumId="77">
    <w:nsid w:val="7DE67713"/>
    <w:multiLevelType w:val="hybridMultilevel"/>
    <w:lvl w:ilvl="0">
      <w:lvlJc w:val="left"/>
      <w:lvlText w:val="(%1)"/>
      <w:numFmt w:val="lowerLetter"/>
      <w:start w:val="1"/>
    </w:lvl>
  </w:abstractNum>
  <w:abstractNum w:abstractNumId="78">
    <w:nsid w:val="555C55B5"/>
    <w:multiLevelType w:val="hybridMultilevel"/>
    <w:lvl w:ilvl="0">
      <w:lvlJc w:val="left"/>
      <w:lvlText w:val="(%1)"/>
      <w:numFmt w:val="lowerLetter"/>
      <w:start w:val="4"/>
    </w:lvl>
  </w:abstractNum>
  <w:abstractNum w:abstractNumId="79">
    <w:nsid w:val="3FA62ACA"/>
    <w:multiLevelType w:val="hybridMultilevel"/>
    <w:lvl w:ilvl="0">
      <w:lvlJc w:val="left"/>
      <w:lvlText w:val="(%1)"/>
      <w:numFmt w:val="lowerLetter"/>
      <w:start w:val="1"/>
    </w:lvl>
    <w:lvl w:ilvl="1">
      <w:lvlJc w:val="left"/>
      <w:lvlText w:val="(%2)"/>
      <w:numFmt w:val="decimal"/>
      <w:start w:val="1"/>
    </w:lvl>
  </w:abstractNum>
  <w:abstractNum w:abstractNumId="80">
    <w:nsid w:val="14FCE74E"/>
    <w:multiLevelType w:val="hybridMultilevel"/>
    <w:lvl w:ilvl="0">
      <w:lvlJc w:val="left"/>
      <w:lvlText w:val="(%1)"/>
      <w:numFmt w:val="lowerLetter"/>
      <w:start w:val="3"/>
    </w:lvl>
    <w:lvl w:ilvl="1">
      <w:lvlJc w:val="left"/>
      <w:lvlText w:val="(%2)"/>
      <w:numFmt w:val="decimal"/>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1)"/>
      <w:numFmt w:val="lowerLetter"/>
      <w:start w:val="1"/>
    </w:lvl>
  </w:abstractNum>
  <w:abstractNum w:abstractNumId="83">
    <w:nsid w:val="9DAF632"/>
    <w:multiLevelType w:val="hybridMultilevel"/>
    <w:lvl w:ilvl="0">
      <w:lvlJc w:val="left"/>
      <w:lvlText w:val="(%1)"/>
      <w:numFmt w:val="lowerLetter"/>
      <w:start w:val="1"/>
    </w:lvl>
  </w:abstractNum>
  <w:abstractNum w:abstractNumId="84">
    <w:nsid w:val="53299938"/>
    <w:multiLevelType w:val="hybridMultilevel"/>
    <w:lvl w:ilvl="0">
      <w:lvlJc w:val="left"/>
      <w:lvlText w:val="(%1)"/>
      <w:numFmt w:val="lowerLetter"/>
      <w:start w:val="5"/>
    </w:lvl>
  </w:abstractNum>
  <w:abstractNum w:abstractNumId="85">
    <w:nsid w:val="1FBFE8E0"/>
    <w:multiLevelType w:val="hybridMultilevel"/>
    <w:lvl w:ilvl="0">
      <w:lvlJc w:val="left"/>
      <w:lvlText w:val="(%1)"/>
      <w:numFmt w:val="lowerLetter"/>
      <w:start w:val="1"/>
    </w:lvl>
  </w:abstractNum>
  <w:abstractNum w:abstractNumId="86">
    <w:nsid w:val="5092CA79"/>
    <w:multiLevelType w:val="hybridMultilevel"/>
    <w:lvl w:ilvl="0">
      <w:lvlJc w:val="left"/>
      <w:lvlText w:val="(%1)"/>
      <w:numFmt w:val="lowerLetter"/>
      <w:start w:val="2"/>
    </w:lvl>
  </w:abstractNum>
  <w:abstractNum w:abstractNumId="87">
    <w:nsid w:val="1D545C4D"/>
    <w:multiLevelType w:val="hybridMultilevel"/>
    <w:lvl w:ilvl="0">
      <w:lvlJc w:val="left"/>
      <w:lvlText w:val="(%1)"/>
      <w:numFmt w:val="decimal"/>
      <w:start w:val="1"/>
    </w:lvl>
  </w:abstractNum>
  <w:abstractNum w:abstractNumId="88">
    <w:nsid w:val="59ADEA3D"/>
    <w:multiLevelType w:val="hybridMultilevel"/>
    <w:lvl w:ilvl="0">
      <w:lvlJc w:val="left"/>
      <w:lvlText w:val="(%1)"/>
      <w:numFmt w:val="lowerLetter"/>
      <w:start w:val="1"/>
    </w:lvl>
  </w:abstractNum>
  <w:abstractNum w:abstractNumId="89">
    <w:nsid w:val="288F1A34"/>
    <w:multiLevelType w:val="hybridMultilevel"/>
    <w:lvl w:ilvl="0">
      <w:lvlJc w:val="left"/>
      <w:lvlText w:val="(%1)"/>
      <w:numFmt w:val="lowerLetter"/>
      <w:start w:val="1"/>
    </w:lvl>
  </w:abstractNum>
  <w:abstractNum w:abstractNumId="90">
    <w:nsid w:val="2A155DBC"/>
    <w:multiLevelType w:val="hybridMultilevel"/>
    <w:lvl w:ilvl="0">
      <w:lvlJc w:val="left"/>
      <w:lvlText w:val="(%1)"/>
      <w:numFmt w:val="lowerLetter"/>
      <w:start w:val="1"/>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lowerLetter"/>
      <w:start w:val="1"/>
    </w:lvl>
  </w:abstractNum>
  <w:abstractNum w:abstractNumId="93">
    <w:nsid w:val="51088277"/>
    <w:multiLevelType w:val="hybridMultilevel"/>
    <w:lvl w:ilvl="0">
      <w:lvlJc w:val="left"/>
      <w:lvlText w:val="(%1)"/>
      <w:numFmt w:val="lowerLetter"/>
      <w:start w:val="1"/>
    </w:lvl>
  </w:abstractNum>
  <w:abstractNum w:abstractNumId="94">
    <w:nsid w:val="1CA0C5FA"/>
    <w:multiLevelType w:val="hybridMultilevel"/>
    <w:lvl w:ilvl="0">
      <w:lvlJc w:val="left"/>
      <w:lvlText w:val="(%1)"/>
      <w:numFmt w:val="lowerLetter"/>
      <w:start w:val="2"/>
    </w:lvl>
  </w:abstractNum>
  <w:abstractNum w:abstractNumId="95">
    <w:nsid w:val="53584BCB"/>
    <w:multiLevelType w:val="hybridMultilevel"/>
    <w:lvl w:ilvl="0">
      <w:lvlJc w:val="left"/>
      <w:lvlText w:val="(%1)"/>
      <w:numFmt w:val="lowerLetter"/>
      <w:start w:val="1"/>
    </w:lvl>
    <w:lvl w:ilvl="1">
      <w:lvlJc w:val="left"/>
      <w:lvlText w:val="(%2)"/>
      <w:numFmt w:val="decimal"/>
      <w:start w:val="1"/>
    </w:lvl>
  </w:abstractNum>
  <w:abstractNum w:abstractNumId="96">
    <w:nsid w:val="415E286C"/>
    <w:multiLevelType w:val="hybridMultilevel"/>
    <w:lvl w:ilvl="0">
      <w:lvlJc w:val="left"/>
      <w:lvlText w:val="(%1)"/>
      <w:numFmt w:val="lowerLetter"/>
      <w:start w:val="1"/>
    </w:lvl>
  </w:abstractNum>
  <w:abstractNum w:abstractNumId="97">
    <w:nsid w:val="7C58FD05"/>
    <w:multiLevelType w:val="hybridMultilevel"/>
    <w:lvl w:ilvl="0">
      <w:lvlJc w:val="left"/>
      <w:lvlText w:val="(%1)"/>
      <w:numFmt w:val="lowerLetter"/>
      <w:start w:val="2"/>
    </w:lvl>
  </w:abstractNum>
  <w:abstractNum w:abstractNumId="98">
    <w:nsid w:val="23D86AAC"/>
    <w:multiLevelType w:val="hybridMultilevel"/>
    <w:lvl w:ilvl="0">
      <w:lvlJc w:val="left"/>
      <w:lvlText w:val="(%1)"/>
      <w:numFmt w:val="lowerLetter"/>
      <w:start w:val="1"/>
    </w:lvl>
  </w:abstractNum>
  <w:abstractNum w:abstractNumId="99">
    <w:nsid w:val="45E6D486"/>
    <w:multiLevelType w:val="hybridMultilevel"/>
    <w:lvl w:ilvl="0">
      <w:lvlJc w:val="left"/>
      <w:lvlText w:val="(%1)"/>
      <w:numFmt w:val="lowerLetter"/>
      <w:start w:val="1"/>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1)"/>
      <w:numFmt w:val="lowerLetter"/>
      <w:start w:val="1"/>
    </w:lvl>
  </w:abstractNum>
  <w:abstractNum w:abstractNumId="102">
    <w:nsid w:val="3C5991AA"/>
    <w:multiLevelType w:val="hybridMultilevel"/>
    <w:lvl w:ilvl="0">
      <w:lvlJc w:val="left"/>
      <w:lvlText w:val="(%1)"/>
      <w:numFmt w:val="lowerLetter"/>
      <w:start w:val="3"/>
    </w:lvl>
  </w:abstractNum>
  <w:abstractNum w:abstractNumId="103">
    <w:nsid w:val="4BD8591A"/>
    <w:multiLevelType w:val="hybridMultilevel"/>
    <w:lvl w:ilvl="0">
      <w:lvlJc w:val="left"/>
      <w:lvlText w:val="(%1)"/>
      <w:numFmt w:val="lowerLetter"/>
      <w:start w:val="1"/>
    </w:lvl>
  </w:abstractNum>
  <w:abstractNum w:abstractNumId="104">
    <w:nsid w:val="78DF6A55"/>
    <w:multiLevelType w:val="hybridMultilevel"/>
    <w:lvl w:ilvl="0">
      <w:lvlJc w:val="left"/>
      <w:lvlText w:val="(%1)"/>
      <w:numFmt w:val="lowerLetter"/>
      <w:start w:val="1"/>
    </w:lvl>
  </w:abstractNum>
  <w:abstractNum w:abstractNumId="105">
    <w:nsid w:val="39B7AAA2"/>
    <w:multiLevelType w:val="hybridMultilevel"/>
    <w:lvl w:ilvl="0">
      <w:lvlJc w:val="left"/>
      <w:lvlText w:val="(%1)"/>
      <w:numFmt w:val="lowerLetter"/>
      <w:start w:val="3"/>
    </w:lvl>
  </w:abstractNum>
  <w:abstractNum w:abstractNumId="106">
    <w:nsid w:val="2B0D8DBE"/>
    <w:multiLevelType w:val="hybridMultilevel"/>
    <w:lvl w:ilvl="0">
      <w:lvlJc w:val="left"/>
      <w:lvlText w:val="(%1)"/>
      <w:numFmt w:val="lowerLetter"/>
      <w:start w:val="2"/>
    </w:lvl>
  </w:abstractNum>
  <w:abstractNum w:abstractNumId="107">
    <w:nsid w:val="6C80EC70"/>
    <w:multiLevelType w:val="hybridMultilevel"/>
    <w:lvl w:ilvl="0">
      <w:lvlJc w:val="left"/>
      <w:lvlText w:val="(%1)"/>
      <w:numFmt w:val="lowerLetter"/>
      <w:start w:val="1"/>
    </w:lvl>
  </w:abstractNum>
  <w:abstractNum w:abstractNumId="108">
    <w:nsid w:val="379E21B5"/>
    <w:multiLevelType w:val="hybridMultilevel"/>
    <w:lvl w:ilvl="0">
      <w:lvlJc w:val="left"/>
      <w:lvlText w:val="(%1)"/>
      <w:numFmt w:val="lowerLetter"/>
      <w:start w:val="6"/>
    </w:lvl>
  </w:abstractNum>
  <w:abstractNum w:abstractNumId="109">
    <w:nsid w:val="69E373"/>
    <w:multiLevelType w:val="hybridMultilevel"/>
    <w:lvl w:ilvl="0">
      <w:lvlJc w:val="left"/>
      <w:lvlText w:val="1"/>
      <w:numFmt w:val="bullet"/>
      <w:start w:val="1"/>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1."/>
      <w:numFmt w:val="decimal"/>
      <w:start w:val="2"/>
    </w:lvl>
  </w:abstractNum>
  <w:abstractNum w:abstractNumId="112">
    <w:nsid w:val="6AA7B75C"/>
    <w:multiLevelType w:val="hybridMultilevel"/>
    <w:lvl w:ilvl="0">
      <w:lvlJc w:val="left"/>
      <w:lvlText w:val="%1."/>
      <w:numFmt w:val="decimal"/>
      <w:start w:val="3"/>
    </w:lvl>
  </w:abstractNum>
  <w:abstractNum w:abstractNumId="113">
    <w:nsid w:val="1DF029D3"/>
    <w:multiLevelType w:val="hybridMultilevel"/>
    <w:lvl w:ilvl="0">
      <w:lvlJc w:val="left"/>
      <w:lvlText w:val="%1."/>
      <w:numFmt w:val="decimal"/>
      <w:start w:val="4"/>
    </w:lvl>
  </w:abstractNum>
  <w:abstractNum w:abstractNumId="114">
    <w:nsid w:val="5675FF36"/>
    <w:multiLevelType w:val="hybridMultilevel"/>
    <w:lvl w:ilvl="0">
      <w:lvlJc w:val="left"/>
      <w:lvlText w:val="%1."/>
      <w:numFmt w:val="decimal"/>
      <w:start w:val="5"/>
    </w:lvl>
  </w:abstractNum>
  <w:abstractNum w:abstractNumId="115">
    <w:nsid w:val="3DD15094"/>
    <w:multiLevelType w:val="hybridMultilevel"/>
    <w:lvl w:ilvl="0">
      <w:lvlJc w:val="left"/>
      <w:lvlText w:val="(%1)"/>
      <w:numFmt w:val="lowerLetter"/>
      <w:start w:val="1"/>
    </w:lvl>
  </w:abstractNum>
  <w:abstractNum w:abstractNumId="116">
    <w:nsid w:val="3DB012B3"/>
    <w:multiLevelType w:val="hybridMultilevel"/>
    <w:lvl w:ilvl="0">
      <w:lvlJc w:val="left"/>
      <w:lvlText w:val="(%1)"/>
      <w:numFmt w:val="lowerLetter"/>
      <w:start w:val="4"/>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lowerLetter"/>
      <w:start w:val="2"/>
    </w:lvl>
  </w:abstractNum>
  <w:abstractNum w:abstractNumId="119">
    <w:nsid w:val="175DFCF0"/>
    <w:multiLevelType w:val="hybridMultilevel"/>
    <w:lvl w:ilvl="0">
      <w:lvlJc w:val="left"/>
      <w:lvlText w:val="(%1)"/>
      <w:numFmt w:val="lowerLetter"/>
      <w:start w:val="3"/>
    </w:lvl>
  </w:abstractNum>
  <w:abstractNum w:abstractNumId="120">
    <w:nsid w:val="4F97E3E4"/>
    <w:multiLevelType w:val="hybridMultilevel"/>
    <w:lvl w:ilvl="0">
      <w:lvlJc w:val="left"/>
      <w:lvlText w:val="%1."/>
      <w:numFmt w:val="decimal"/>
      <w:start w:val="6"/>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png"/><Relationship Id="rId673" Type="http://schemas.openxmlformats.org/officeDocument/2006/relationships/image" Target="media/image654.png"/><Relationship Id="rId674" Type="http://schemas.openxmlformats.org/officeDocument/2006/relationships/image" Target="media/image655.png"/><Relationship Id="rId675" Type="http://schemas.openxmlformats.org/officeDocument/2006/relationships/image" Target="media/image656.png"/><Relationship Id="rId676" Type="http://schemas.openxmlformats.org/officeDocument/2006/relationships/image" Target="media/image657.png"/><Relationship Id="rId677" Type="http://schemas.openxmlformats.org/officeDocument/2006/relationships/image" Target="media/image658.png"/><Relationship Id="rId678" Type="http://schemas.openxmlformats.org/officeDocument/2006/relationships/image" Target="media/image659.png"/><Relationship Id="rId679" Type="http://schemas.openxmlformats.org/officeDocument/2006/relationships/image" Target="media/image660.png"/><Relationship Id="rId680" Type="http://schemas.openxmlformats.org/officeDocument/2006/relationships/image" Target="media/image661.png"/><Relationship Id="rId681" Type="http://schemas.openxmlformats.org/officeDocument/2006/relationships/image" Target="media/image662.png"/><Relationship Id="rId682" Type="http://schemas.openxmlformats.org/officeDocument/2006/relationships/image" Target="media/image663.png"/><Relationship Id="rId683" Type="http://schemas.openxmlformats.org/officeDocument/2006/relationships/image" Target="media/image664.png"/><Relationship Id="rId684" Type="http://schemas.openxmlformats.org/officeDocument/2006/relationships/image" Target="media/image665.png"/><Relationship Id="rId685" Type="http://schemas.openxmlformats.org/officeDocument/2006/relationships/image" Target="media/image666.png"/><Relationship Id="rId686" Type="http://schemas.openxmlformats.org/officeDocument/2006/relationships/image" Target="media/image667.png"/><Relationship Id="rId687" Type="http://schemas.openxmlformats.org/officeDocument/2006/relationships/image" Target="media/image668.png"/><Relationship Id="rId688" Type="http://schemas.openxmlformats.org/officeDocument/2006/relationships/image" Target="media/image669.png"/><Relationship Id="rId689" Type="http://schemas.openxmlformats.org/officeDocument/2006/relationships/image" Target="media/image670.png"/><Relationship Id="rId690" Type="http://schemas.openxmlformats.org/officeDocument/2006/relationships/image" Target="media/image671.png"/><Relationship Id="rId691" Type="http://schemas.openxmlformats.org/officeDocument/2006/relationships/image" Target="media/image672.png"/><Relationship Id="rId692" Type="http://schemas.openxmlformats.org/officeDocument/2006/relationships/image" Target="media/image673.png"/><Relationship Id="rId693" Type="http://schemas.openxmlformats.org/officeDocument/2006/relationships/image" Target="media/image674.png"/><Relationship Id="rId694" Type="http://schemas.openxmlformats.org/officeDocument/2006/relationships/image" Target="media/image675.png"/><Relationship Id="rId695" Type="http://schemas.openxmlformats.org/officeDocument/2006/relationships/image" Target="media/image676.png"/><Relationship Id="rId696" Type="http://schemas.openxmlformats.org/officeDocument/2006/relationships/image" Target="media/image677.png"/><Relationship Id="rId697" Type="http://schemas.openxmlformats.org/officeDocument/2006/relationships/image" Target="media/image678.png"/><Relationship Id="rId698" Type="http://schemas.openxmlformats.org/officeDocument/2006/relationships/image" Target="media/image679.png"/><Relationship Id="rId699" Type="http://schemas.openxmlformats.org/officeDocument/2006/relationships/image" Target="media/image680.png"/><Relationship Id="rId700" Type="http://schemas.openxmlformats.org/officeDocument/2006/relationships/image" Target="media/image681.png"/><Relationship Id="rId701" Type="http://schemas.openxmlformats.org/officeDocument/2006/relationships/image" Target="media/image682.png"/><Relationship Id="rId702" Type="http://schemas.openxmlformats.org/officeDocument/2006/relationships/image" Target="media/image683.png"/><Relationship Id="rId703" Type="http://schemas.openxmlformats.org/officeDocument/2006/relationships/image" Target="media/image684.png"/><Relationship Id="rId704" Type="http://schemas.openxmlformats.org/officeDocument/2006/relationships/image" Target="media/image685.png"/><Relationship Id="rId705" Type="http://schemas.openxmlformats.org/officeDocument/2006/relationships/image" Target="media/image686.png"/><Relationship Id="rId706" Type="http://schemas.openxmlformats.org/officeDocument/2006/relationships/image" Target="media/image687.png"/><Relationship Id="rId707" Type="http://schemas.openxmlformats.org/officeDocument/2006/relationships/image" Target="media/image688.png"/><Relationship Id="rId708" Type="http://schemas.openxmlformats.org/officeDocument/2006/relationships/image" Target="media/image689.png"/><Relationship Id="rId709" Type="http://schemas.openxmlformats.org/officeDocument/2006/relationships/image" Target="media/image690.png"/><Relationship Id="rId710" Type="http://schemas.openxmlformats.org/officeDocument/2006/relationships/image" Target="media/image691.png"/><Relationship Id="rId711" Type="http://schemas.openxmlformats.org/officeDocument/2006/relationships/image" Target="media/image692.png"/><Relationship Id="rId712" Type="http://schemas.openxmlformats.org/officeDocument/2006/relationships/image" Target="media/image693.png"/><Relationship Id="rId713" Type="http://schemas.openxmlformats.org/officeDocument/2006/relationships/image" Target="media/image694.png"/><Relationship Id="rId714" Type="http://schemas.openxmlformats.org/officeDocument/2006/relationships/image" Target="media/image695.png"/><Relationship Id="rId715" Type="http://schemas.openxmlformats.org/officeDocument/2006/relationships/image" Target="media/image696.png"/><Relationship Id="rId716" Type="http://schemas.openxmlformats.org/officeDocument/2006/relationships/image" Target="media/image697.png"/><Relationship Id="rId717" Type="http://schemas.openxmlformats.org/officeDocument/2006/relationships/image" Target="media/image698.png"/><Relationship Id="rId718" Type="http://schemas.openxmlformats.org/officeDocument/2006/relationships/image" Target="media/image699.png"/><Relationship Id="rId719" Type="http://schemas.openxmlformats.org/officeDocument/2006/relationships/image" Target="media/image700.png"/><Relationship Id="rId720" Type="http://schemas.openxmlformats.org/officeDocument/2006/relationships/image" Target="media/image701.png"/><Relationship Id="rId721" Type="http://schemas.openxmlformats.org/officeDocument/2006/relationships/image" Target="media/image702.png"/><Relationship Id="rId722" Type="http://schemas.openxmlformats.org/officeDocument/2006/relationships/image" Target="media/image703.png"/><Relationship Id="rId723" Type="http://schemas.openxmlformats.org/officeDocument/2006/relationships/image" Target="media/image704.png"/><Relationship Id="rId724" Type="http://schemas.openxmlformats.org/officeDocument/2006/relationships/image" Target="media/image705.png"/><Relationship Id="rId725" Type="http://schemas.openxmlformats.org/officeDocument/2006/relationships/image" Target="media/image706.png"/><Relationship Id="rId726" Type="http://schemas.openxmlformats.org/officeDocument/2006/relationships/image" Target="media/image707.png"/><Relationship Id="rId727" Type="http://schemas.openxmlformats.org/officeDocument/2006/relationships/image" Target="media/image708.png"/><Relationship Id="rId728" Type="http://schemas.openxmlformats.org/officeDocument/2006/relationships/image" Target="media/image709.png"/><Relationship Id="rId729" Type="http://schemas.openxmlformats.org/officeDocument/2006/relationships/image" Target="media/image710.png"/><Relationship Id="rId730" Type="http://schemas.openxmlformats.org/officeDocument/2006/relationships/image" Target="media/image711.png"/><Relationship Id="rId731" Type="http://schemas.openxmlformats.org/officeDocument/2006/relationships/image" Target="media/image712.png"/><Relationship Id="rId732" Type="http://schemas.openxmlformats.org/officeDocument/2006/relationships/image" Target="media/image713.png"/><Relationship Id="rId733" Type="http://schemas.openxmlformats.org/officeDocument/2006/relationships/image" Target="media/image714.png"/><Relationship Id="rId734" Type="http://schemas.openxmlformats.org/officeDocument/2006/relationships/image" Target="media/image715.png"/><Relationship Id="rId735" Type="http://schemas.openxmlformats.org/officeDocument/2006/relationships/image" Target="media/image716.png"/><Relationship Id="rId736" Type="http://schemas.openxmlformats.org/officeDocument/2006/relationships/image" Target="media/image717.png"/><Relationship Id="rId737" Type="http://schemas.openxmlformats.org/officeDocument/2006/relationships/image" Target="media/image718.png"/><Relationship Id="rId738" Type="http://schemas.openxmlformats.org/officeDocument/2006/relationships/image" Target="media/image719.png"/><Relationship Id="rId739" Type="http://schemas.openxmlformats.org/officeDocument/2006/relationships/image" Target="media/image720.png"/><Relationship Id="rId740" Type="http://schemas.openxmlformats.org/officeDocument/2006/relationships/image" Target="media/image721.png"/><Relationship Id="rId741" Type="http://schemas.openxmlformats.org/officeDocument/2006/relationships/image" Target="media/image722.png"/><Relationship Id="rId742" Type="http://schemas.openxmlformats.org/officeDocument/2006/relationships/image" Target="media/image723.png"/><Relationship Id="rId743" Type="http://schemas.openxmlformats.org/officeDocument/2006/relationships/image" Target="media/image724.png"/><Relationship Id="rId744" Type="http://schemas.openxmlformats.org/officeDocument/2006/relationships/image" Target="media/image725.png"/><Relationship Id="rId745" Type="http://schemas.openxmlformats.org/officeDocument/2006/relationships/image" Target="media/image726.png"/><Relationship Id="rId746" Type="http://schemas.openxmlformats.org/officeDocument/2006/relationships/image" Target="media/image727.png"/><Relationship Id="rId747" Type="http://schemas.openxmlformats.org/officeDocument/2006/relationships/image" Target="media/image728.png"/><Relationship Id="rId748" Type="http://schemas.openxmlformats.org/officeDocument/2006/relationships/image" Target="media/image729.png"/><Relationship Id="rId749" Type="http://schemas.openxmlformats.org/officeDocument/2006/relationships/image" Target="media/image730.png"/><Relationship Id="rId750" Type="http://schemas.openxmlformats.org/officeDocument/2006/relationships/image" Target="media/image731.png"/><Relationship Id="rId751" Type="http://schemas.openxmlformats.org/officeDocument/2006/relationships/image" Target="media/image732.png"/><Relationship Id="rId752" Type="http://schemas.openxmlformats.org/officeDocument/2006/relationships/image" Target="media/image733.png"/><Relationship Id="rId753" Type="http://schemas.openxmlformats.org/officeDocument/2006/relationships/image" Target="media/image734.png"/><Relationship Id="rId754" Type="http://schemas.openxmlformats.org/officeDocument/2006/relationships/image" Target="media/image735.png"/><Relationship Id="rId755" Type="http://schemas.openxmlformats.org/officeDocument/2006/relationships/image" Target="media/image736.png"/><Relationship Id="rId756" Type="http://schemas.openxmlformats.org/officeDocument/2006/relationships/image" Target="media/image737.png"/><Relationship Id="rId757" Type="http://schemas.openxmlformats.org/officeDocument/2006/relationships/image" Target="media/image738.png"/><Relationship Id="rId758" Type="http://schemas.openxmlformats.org/officeDocument/2006/relationships/image" Target="media/image739.png"/><Relationship Id="rId759" Type="http://schemas.openxmlformats.org/officeDocument/2006/relationships/image" Target="media/image740.png"/><Relationship Id="rId760" Type="http://schemas.openxmlformats.org/officeDocument/2006/relationships/image" Target="media/image741.png"/><Relationship Id="rId761" Type="http://schemas.openxmlformats.org/officeDocument/2006/relationships/image" Target="media/image742.png"/><Relationship Id="rId762" Type="http://schemas.openxmlformats.org/officeDocument/2006/relationships/image" Target="media/image743.png"/><Relationship Id="rId763" Type="http://schemas.openxmlformats.org/officeDocument/2006/relationships/image" Target="media/image744.png"/><Relationship Id="rId764" Type="http://schemas.openxmlformats.org/officeDocument/2006/relationships/image" Target="media/image745.png"/><Relationship Id="rId765" Type="http://schemas.openxmlformats.org/officeDocument/2006/relationships/image" Target="media/image746.png"/><Relationship Id="rId766" Type="http://schemas.openxmlformats.org/officeDocument/2006/relationships/image" Target="media/image747.png"/><Relationship Id="rId767" Type="http://schemas.openxmlformats.org/officeDocument/2006/relationships/image" Target="media/image748.png"/><Relationship Id="rId768" Type="http://schemas.openxmlformats.org/officeDocument/2006/relationships/image" Target="media/image749.png"/><Relationship Id="rId769" Type="http://schemas.openxmlformats.org/officeDocument/2006/relationships/image" Target="media/image750.png"/><Relationship Id="rId770" Type="http://schemas.openxmlformats.org/officeDocument/2006/relationships/image" Target="media/image751.png"/><Relationship Id="rId771" Type="http://schemas.openxmlformats.org/officeDocument/2006/relationships/image" Target="media/image752.png"/><Relationship Id="rId772" Type="http://schemas.openxmlformats.org/officeDocument/2006/relationships/image" Target="media/image753.png"/><Relationship Id="rId773" Type="http://schemas.openxmlformats.org/officeDocument/2006/relationships/image" Target="media/image754.png"/><Relationship Id="rId774" Type="http://schemas.openxmlformats.org/officeDocument/2006/relationships/image" Target="media/image755.png"/><Relationship Id="rId775" Type="http://schemas.openxmlformats.org/officeDocument/2006/relationships/image" Target="media/image756.png"/><Relationship Id="rId776" Type="http://schemas.openxmlformats.org/officeDocument/2006/relationships/image" Target="media/image757.png"/><Relationship Id="rId777" Type="http://schemas.openxmlformats.org/officeDocument/2006/relationships/image" Target="media/image758.png"/><Relationship Id="rId778" Type="http://schemas.openxmlformats.org/officeDocument/2006/relationships/image" Target="media/image759.png"/><Relationship Id="rId779" Type="http://schemas.openxmlformats.org/officeDocument/2006/relationships/image" Target="media/image760.png"/><Relationship Id="rId780" Type="http://schemas.openxmlformats.org/officeDocument/2006/relationships/image" Target="media/image761.png"/><Relationship Id="rId781" Type="http://schemas.openxmlformats.org/officeDocument/2006/relationships/image" Target="media/image762.png"/><Relationship Id="rId782" Type="http://schemas.openxmlformats.org/officeDocument/2006/relationships/image" Target="media/image763.png"/><Relationship Id="rId783" Type="http://schemas.openxmlformats.org/officeDocument/2006/relationships/image" Target="media/image764.png"/><Relationship Id="rId784" Type="http://schemas.openxmlformats.org/officeDocument/2006/relationships/image" Target="media/image765.png"/><Relationship Id="rId785" Type="http://schemas.openxmlformats.org/officeDocument/2006/relationships/image" Target="media/image766.png"/><Relationship Id="rId786" Type="http://schemas.openxmlformats.org/officeDocument/2006/relationships/image" Target="media/image767.png"/><Relationship Id="rId787" Type="http://schemas.openxmlformats.org/officeDocument/2006/relationships/image" Target="media/image768.png"/><Relationship Id="rId788" Type="http://schemas.openxmlformats.org/officeDocument/2006/relationships/image" Target="media/image769.png"/><Relationship Id="rId789" Type="http://schemas.openxmlformats.org/officeDocument/2006/relationships/image" Target="media/image770.png"/><Relationship Id="rId790" Type="http://schemas.openxmlformats.org/officeDocument/2006/relationships/image" Target="media/image771.png"/><Relationship Id="rId791" Type="http://schemas.openxmlformats.org/officeDocument/2006/relationships/image" Target="media/image772.png"/><Relationship Id="rId792" Type="http://schemas.openxmlformats.org/officeDocument/2006/relationships/image" Target="media/image773.png"/><Relationship Id="rId793" Type="http://schemas.openxmlformats.org/officeDocument/2006/relationships/image" Target="media/image774.png"/><Relationship Id="rId794" Type="http://schemas.openxmlformats.org/officeDocument/2006/relationships/image" Target="media/image775.png"/><Relationship Id="rId795" Type="http://schemas.openxmlformats.org/officeDocument/2006/relationships/image" Target="media/image776.png"/><Relationship Id="rId796" Type="http://schemas.openxmlformats.org/officeDocument/2006/relationships/image" Target="media/image777.png"/><Relationship Id="rId797" Type="http://schemas.openxmlformats.org/officeDocument/2006/relationships/image" Target="media/image778.png"/><Relationship Id="rId798" Type="http://schemas.openxmlformats.org/officeDocument/2006/relationships/image" Target="media/image779.png"/><Relationship Id="rId799" Type="http://schemas.openxmlformats.org/officeDocument/2006/relationships/image" Target="media/image780.png"/><Relationship Id="rId800" Type="http://schemas.openxmlformats.org/officeDocument/2006/relationships/image" Target="media/image781.png"/><Relationship Id="rId801" Type="http://schemas.openxmlformats.org/officeDocument/2006/relationships/image" Target="media/image782.png"/><Relationship Id="rId802" Type="http://schemas.openxmlformats.org/officeDocument/2006/relationships/image" Target="media/image783.png"/><Relationship Id="rId803" Type="http://schemas.openxmlformats.org/officeDocument/2006/relationships/image" Target="media/image784.png"/><Relationship Id="rId804" Type="http://schemas.openxmlformats.org/officeDocument/2006/relationships/image" Target="media/image785.png"/><Relationship Id="rId805" Type="http://schemas.openxmlformats.org/officeDocument/2006/relationships/image" Target="media/image786.png"/><Relationship Id="rId806" Type="http://schemas.openxmlformats.org/officeDocument/2006/relationships/image" Target="media/image787.png"/><Relationship Id="rId807" Type="http://schemas.openxmlformats.org/officeDocument/2006/relationships/image" Target="media/image788.png"/><Relationship Id="rId808" Type="http://schemas.openxmlformats.org/officeDocument/2006/relationships/image" Target="media/image789.png"/><Relationship Id="rId809" Type="http://schemas.openxmlformats.org/officeDocument/2006/relationships/image" Target="media/image790.png"/><Relationship Id="rId810" Type="http://schemas.openxmlformats.org/officeDocument/2006/relationships/image" Target="media/image791.png"/><Relationship Id="rId811" Type="http://schemas.openxmlformats.org/officeDocument/2006/relationships/image" Target="media/image792.png"/><Relationship Id="rId812" Type="http://schemas.openxmlformats.org/officeDocument/2006/relationships/image" Target="media/image793.png"/><Relationship Id="rId813" Type="http://schemas.openxmlformats.org/officeDocument/2006/relationships/image" Target="media/image794.png"/><Relationship Id="rId814" Type="http://schemas.openxmlformats.org/officeDocument/2006/relationships/image" Target="media/image795.png"/><Relationship Id="rId815" Type="http://schemas.openxmlformats.org/officeDocument/2006/relationships/image" Target="media/image796.png"/><Relationship Id="rId816" Type="http://schemas.openxmlformats.org/officeDocument/2006/relationships/image" Target="media/image797.png"/><Relationship Id="rId817" Type="http://schemas.openxmlformats.org/officeDocument/2006/relationships/image" Target="media/image798.png"/><Relationship Id="rId818" Type="http://schemas.openxmlformats.org/officeDocument/2006/relationships/image" Target="media/image799.png"/><Relationship Id="rId819" Type="http://schemas.openxmlformats.org/officeDocument/2006/relationships/image" Target="media/image800.png"/><Relationship Id="rId820" Type="http://schemas.openxmlformats.org/officeDocument/2006/relationships/image" Target="media/image801.png"/><Relationship Id="rId821" Type="http://schemas.openxmlformats.org/officeDocument/2006/relationships/image" Target="media/image802.png"/><Relationship Id="rId822" Type="http://schemas.openxmlformats.org/officeDocument/2006/relationships/image" Target="media/image803.png"/><Relationship Id="rId823" Type="http://schemas.openxmlformats.org/officeDocument/2006/relationships/image" Target="media/image804.png"/><Relationship Id="rId824" Type="http://schemas.openxmlformats.org/officeDocument/2006/relationships/image" Target="media/image805.png"/><Relationship Id="rId825" Type="http://schemas.openxmlformats.org/officeDocument/2006/relationships/image" Target="media/image806.png"/><Relationship Id="rId826" Type="http://schemas.openxmlformats.org/officeDocument/2006/relationships/image" Target="media/image807.png"/><Relationship Id="rId827" Type="http://schemas.openxmlformats.org/officeDocument/2006/relationships/image" Target="media/image808.png"/><Relationship Id="rId828" Type="http://schemas.openxmlformats.org/officeDocument/2006/relationships/image" Target="media/image809.png"/><Relationship Id="rId829" Type="http://schemas.openxmlformats.org/officeDocument/2006/relationships/image" Target="media/image810.png"/><Relationship Id="rId830" Type="http://schemas.openxmlformats.org/officeDocument/2006/relationships/image" Target="media/image811.png"/><Relationship Id="rId831" Type="http://schemas.openxmlformats.org/officeDocument/2006/relationships/image" Target="media/image812.png"/><Relationship Id="rId832" Type="http://schemas.openxmlformats.org/officeDocument/2006/relationships/image" Target="media/image813.png"/><Relationship Id="rId833" Type="http://schemas.openxmlformats.org/officeDocument/2006/relationships/image" Target="media/image814.png"/><Relationship Id="rId834" Type="http://schemas.openxmlformats.org/officeDocument/2006/relationships/image" Target="media/image815.png"/><Relationship Id="rId835" Type="http://schemas.openxmlformats.org/officeDocument/2006/relationships/image" Target="media/image816.png"/><Relationship Id="rId836" Type="http://schemas.openxmlformats.org/officeDocument/2006/relationships/image" Target="media/image817.png"/><Relationship Id="rId837" Type="http://schemas.openxmlformats.org/officeDocument/2006/relationships/image" Target="media/image818.png"/><Relationship Id="rId838" Type="http://schemas.openxmlformats.org/officeDocument/2006/relationships/image" Target="media/image819.png"/><Relationship Id="rId839" Type="http://schemas.openxmlformats.org/officeDocument/2006/relationships/image" Target="media/image820.png"/><Relationship Id="rId840" Type="http://schemas.openxmlformats.org/officeDocument/2006/relationships/image" Target="media/image821.png"/><Relationship Id="rId841" Type="http://schemas.openxmlformats.org/officeDocument/2006/relationships/image" Target="media/image822.png"/><Relationship Id="rId842" Type="http://schemas.openxmlformats.org/officeDocument/2006/relationships/image" Target="media/image823.png"/><Relationship Id="rId843" Type="http://schemas.openxmlformats.org/officeDocument/2006/relationships/image" Target="media/image824.png"/><Relationship Id="rId844" Type="http://schemas.openxmlformats.org/officeDocument/2006/relationships/image" Target="media/image825.png"/><Relationship Id="rId845" Type="http://schemas.openxmlformats.org/officeDocument/2006/relationships/image" Target="media/image826.png"/><Relationship Id="rId846" Type="http://schemas.openxmlformats.org/officeDocument/2006/relationships/image" Target="media/image827.png"/><Relationship Id="rId847" Type="http://schemas.openxmlformats.org/officeDocument/2006/relationships/image" Target="media/image828.png"/><Relationship Id="rId848" Type="http://schemas.openxmlformats.org/officeDocument/2006/relationships/image" Target="media/image829.png"/><Relationship Id="rId849" Type="http://schemas.openxmlformats.org/officeDocument/2006/relationships/image" Target="media/image830.png"/><Relationship Id="rId850" Type="http://schemas.openxmlformats.org/officeDocument/2006/relationships/image" Target="media/image831.png"/><Relationship Id="rId851" Type="http://schemas.openxmlformats.org/officeDocument/2006/relationships/image" Target="media/image832.png"/><Relationship Id="rId852" Type="http://schemas.openxmlformats.org/officeDocument/2006/relationships/image" Target="media/image833.png"/><Relationship Id="rId853" Type="http://schemas.openxmlformats.org/officeDocument/2006/relationships/image" Target="media/image834.png"/><Relationship Id="rId854" Type="http://schemas.openxmlformats.org/officeDocument/2006/relationships/image" Target="media/image835.png"/><Relationship Id="rId855" Type="http://schemas.openxmlformats.org/officeDocument/2006/relationships/image" Target="media/image836.png"/><Relationship Id="rId856" Type="http://schemas.openxmlformats.org/officeDocument/2006/relationships/image" Target="media/image837.png"/><Relationship Id="rId857" Type="http://schemas.openxmlformats.org/officeDocument/2006/relationships/image" Target="media/image838.png"/><Relationship Id="rId858" Type="http://schemas.openxmlformats.org/officeDocument/2006/relationships/image" Target="media/image839.png"/><Relationship Id="rId859" Type="http://schemas.openxmlformats.org/officeDocument/2006/relationships/image" Target="media/image840.png"/><Relationship Id="rId860" Type="http://schemas.openxmlformats.org/officeDocument/2006/relationships/image" Target="media/image841.png"/><Relationship Id="rId861" Type="http://schemas.openxmlformats.org/officeDocument/2006/relationships/image" Target="media/image842.png"/><Relationship Id="rId862" Type="http://schemas.openxmlformats.org/officeDocument/2006/relationships/image" Target="media/image843.png"/><Relationship Id="rId863" Type="http://schemas.openxmlformats.org/officeDocument/2006/relationships/image" Target="media/image844.png"/><Relationship Id="rId864" Type="http://schemas.openxmlformats.org/officeDocument/2006/relationships/image" Target="media/image845.png"/><Relationship Id="rId865" Type="http://schemas.openxmlformats.org/officeDocument/2006/relationships/image" Target="media/image846.png"/><Relationship Id="rId866" Type="http://schemas.openxmlformats.org/officeDocument/2006/relationships/image" Target="media/image847.png"/><Relationship Id="rId867" Type="http://schemas.openxmlformats.org/officeDocument/2006/relationships/image" Target="media/image848.png"/><Relationship Id="rId868" Type="http://schemas.openxmlformats.org/officeDocument/2006/relationships/image" Target="media/image849.png"/><Relationship Id="rId869" Type="http://schemas.openxmlformats.org/officeDocument/2006/relationships/image" Target="media/image850.png"/><Relationship Id="rId870" Type="http://schemas.openxmlformats.org/officeDocument/2006/relationships/image" Target="media/image851.png"/><Relationship Id="rId871" Type="http://schemas.openxmlformats.org/officeDocument/2006/relationships/image" Target="media/image852.png"/><Relationship Id="rId872" Type="http://schemas.openxmlformats.org/officeDocument/2006/relationships/image" Target="media/image853.png"/><Relationship Id="rId873" Type="http://schemas.openxmlformats.org/officeDocument/2006/relationships/image" Target="media/image854.png"/><Relationship Id="rId874" Type="http://schemas.openxmlformats.org/officeDocument/2006/relationships/image" Target="media/image855.png"/><Relationship Id="rId875" Type="http://schemas.openxmlformats.org/officeDocument/2006/relationships/image" Target="media/image856.png"/><Relationship Id="rId876" Type="http://schemas.openxmlformats.org/officeDocument/2006/relationships/image" Target="media/image857.png"/><Relationship Id="rId877" Type="http://schemas.openxmlformats.org/officeDocument/2006/relationships/image" Target="media/image858.png"/><Relationship Id="rId878" Type="http://schemas.openxmlformats.org/officeDocument/2006/relationships/image" Target="media/image859.png"/><Relationship Id="rId879" Type="http://schemas.openxmlformats.org/officeDocument/2006/relationships/image" Target="media/image860.png"/><Relationship Id="rId880" Type="http://schemas.openxmlformats.org/officeDocument/2006/relationships/image" Target="media/image861.png"/><Relationship Id="rId881" Type="http://schemas.openxmlformats.org/officeDocument/2006/relationships/image" Target="media/image862.png"/><Relationship Id="rId882" Type="http://schemas.openxmlformats.org/officeDocument/2006/relationships/image" Target="media/image863.png"/><Relationship Id="rId883" Type="http://schemas.openxmlformats.org/officeDocument/2006/relationships/image" Target="media/image864.png"/><Relationship Id="rId884" Type="http://schemas.openxmlformats.org/officeDocument/2006/relationships/image" Target="media/image865.png"/><Relationship Id="rId885" Type="http://schemas.openxmlformats.org/officeDocument/2006/relationships/image" Target="media/image866.png"/><Relationship Id="rId886" Type="http://schemas.openxmlformats.org/officeDocument/2006/relationships/image" Target="media/image867.png"/><Relationship Id="rId887" Type="http://schemas.openxmlformats.org/officeDocument/2006/relationships/image" Target="media/image868.png"/><Relationship Id="rId888" Type="http://schemas.openxmlformats.org/officeDocument/2006/relationships/image" Target="media/image869.png"/><Relationship Id="rId889" Type="http://schemas.openxmlformats.org/officeDocument/2006/relationships/image" Target="media/image870.png"/><Relationship Id="rId890" Type="http://schemas.openxmlformats.org/officeDocument/2006/relationships/image" Target="media/image871.png"/><Relationship Id="rId891" Type="http://schemas.openxmlformats.org/officeDocument/2006/relationships/image" Target="media/image872.png"/><Relationship Id="rId892" Type="http://schemas.openxmlformats.org/officeDocument/2006/relationships/image" Target="media/image873.png"/><Relationship Id="rId893" Type="http://schemas.openxmlformats.org/officeDocument/2006/relationships/image" Target="media/image874.png"/><Relationship Id="rId894" Type="http://schemas.openxmlformats.org/officeDocument/2006/relationships/image" Target="media/image875.png"/><Relationship Id="rId895" Type="http://schemas.openxmlformats.org/officeDocument/2006/relationships/image" Target="media/image876.png"/><Relationship Id="rId896" Type="http://schemas.openxmlformats.org/officeDocument/2006/relationships/image" Target="media/image877.png"/><Relationship Id="rId897" Type="http://schemas.openxmlformats.org/officeDocument/2006/relationships/image" Target="media/image878.png"/><Relationship Id="rId898" Type="http://schemas.openxmlformats.org/officeDocument/2006/relationships/image" Target="media/image879.png"/><Relationship Id="rId899" Type="http://schemas.openxmlformats.org/officeDocument/2006/relationships/image" Target="media/image880.png"/><Relationship Id="rId900" Type="http://schemas.openxmlformats.org/officeDocument/2006/relationships/image" Target="media/image881.png"/><Relationship Id="rId901" Type="http://schemas.openxmlformats.org/officeDocument/2006/relationships/image" Target="media/image882.png"/><Relationship Id="rId902" Type="http://schemas.openxmlformats.org/officeDocument/2006/relationships/image" Target="media/image883.png"/><Relationship Id="rId903" Type="http://schemas.openxmlformats.org/officeDocument/2006/relationships/image" Target="media/image884.png"/><Relationship Id="rId904" Type="http://schemas.openxmlformats.org/officeDocument/2006/relationships/image" Target="media/image885.png"/><Relationship Id="rId905" Type="http://schemas.openxmlformats.org/officeDocument/2006/relationships/image" Target="media/image886.png"/><Relationship Id="rId906" Type="http://schemas.openxmlformats.org/officeDocument/2006/relationships/image" Target="media/image887.png"/><Relationship Id="rId907" Type="http://schemas.openxmlformats.org/officeDocument/2006/relationships/image" Target="media/image888.png"/><Relationship Id="rId908" Type="http://schemas.openxmlformats.org/officeDocument/2006/relationships/image" Target="media/image889.png"/><Relationship Id="rId909" Type="http://schemas.openxmlformats.org/officeDocument/2006/relationships/image" Target="media/image890.png"/><Relationship Id="rId910" Type="http://schemas.openxmlformats.org/officeDocument/2006/relationships/image" Target="media/image891.png"/><Relationship Id="rId911" Type="http://schemas.openxmlformats.org/officeDocument/2006/relationships/image" Target="media/image892.png"/><Relationship Id="rId912" Type="http://schemas.openxmlformats.org/officeDocument/2006/relationships/image" Target="media/image893.png"/><Relationship Id="rId913" Type="http://schemas.openxmlformats.org/officeDocument/2006/relationships/image" Target="media/image894.png"/><Relationship Id="rId914" Type="http://schemas.openxmlformats.org/officeDocument/2006/relationships/image" Target="media/image895.png"/><Relationship Id="rId915" Type="http://schemas.openxmlformats.org/officeDocument/2006/relationships/image" Target="media/image896.png"/><Relationship Id="rId916" Type="http://schemas.openxmlformats.org/officeDocument/2006/relationships/image" Target="media/image897.png"/><Relationship Id="rId917" Type="http://schemas.openxmlformats.org/officeDocument/2006/relationships/image" Target="media/image898.png"/><Relationship Id="rId918" Type="http://schemas.openxmlformats.org/officeDocument/2006/relationships/image" Target="media/image899.png"/><Relationship Id="rId919" Type="http://schemas.openxmlformats.org/officeDocument/2006/relationships/image" Target="media/image900.png"/><Relationship Id="rId920" Type="http://schemas.openxmlformats.org/officeDocument/2006/relationships/image" Target="media/image901.png"/><Relationship Id="rId921" Type="http://schemas.openxmlformats.org/officeDocument/2006/relationships/image" Target="media/image902.png"/><Relationship Id="rId922" Type="http://schemas.openxmlformats.org/officeDocument/2006/relationships/image" Target="media/image903.png"/><Relationship Id="rId923" Type="http://schemas.openxmlformats.org/officeDocument/2006/relationships/image" Target="media/image904.png"/><Relationship Id="rId924" Type="http://schemas.openxmlformats.org/officeDocument/2006/relationships/image" Target="media/image905.png"/><Relationship Id="rId925" Type="http://schemas.openxmlformats.org/officeDocument/2006/relationships/image" Target="media/image906.png"/><Relationship Id="rId926" Type="http://schemas.openxmlformats.org/officeDocument/2006/relationships/image" Target="media/image907.png"/><Relationship Id="rId927" Type="http://schemas.openxmlformats.org/officeDocument/2006/relationships/image" Target="media/image908.png"/><Relationship Id="rId928" Type="http://schemas.openxmlformats.org/officeDocument/2006/relationships/image" Target="media/image909.png"/><Relationship Id="rId929" Type="http://schemas.openxmlformats.org/officeDocument/2006/relationships/image" Target="media/image910.png"/><Relationship Id="rId930" Type="http://schemas.openxmlformats.org/officeDocument/2006/relationships/image" Target="media/image911.png"/><Relationship Id="rId931" Type="http://schemas.openxmlformats.org/officeDocument/2006/relationships/image" Target="media/image912.png"/><Relationship Id="rId932" Type="http://schemas.openxmlformats.org/officeDocument/2006/relationships/image" Target="media/image913.png"/><Relationship Id="rId933" Type="http://schemas.openxmlformats.org/officeDocument/2006/relationships/image" Target="media/image914.png"/><Relationship Id="rId934" Type="http://schemas.openxmlformats.org/officeDocument/2006/relationships/image" Target="media/image915.png"/><Relationship Id="rId935" Type="http://schemas.openxmlformats.org/officeDocument/2006/relationships/image" Target="media/image916.png"/><Relationship Id="rId936" Type="http://schemas.openxmlformats.org/officeDocument/2006/relationships/image" Target="media/image917.png"/><Relationship Id="rId937" Type="http://schemas.openxmlformats.org/officeDocument/2006/relationships/image" Target="media/image918.png"/><Relationship Id="rId938" Type="http://schemas.openxmlformats.org/officeDocument/2006/relationships/image" Target="media/image919.png"/><Relationship Id="rId939" Type="http://schemas.openxmlformats.org/officeDocument/2006/relationships/image" Target="media/image920.png"/><Relationship Id="rId940" Type="http://schemas.openxmlformats.org/officeDocument/2006/relationships/image" Target="media/image921.png"/><Relationship Id="rId941" Type="http://schemas.openxmlformats.org/officeDocument/2006/relationships/image" Target="media/image922.png"/><Relationship Id="rId942" Type="http://schemas.openxmlformats.org/officeDocument/2006/relationships/image" Target="media/image923.png"/><Relationship Id="rId943" Type="http://schemas.openxmlformats.org/officeDocument/2006/relationships/image" Target="media/image924.png"/><Relationship Id="rId944" Type="http://schemas.openxmlformats.org/officeDocument/2006/relationships/image" Target="media/image925.png"/><Relationship Id="rId945" Type="http://schemas.openxmlformats.org/officeDocument/2006/relationships/image" Target="media/image926.png"/><Relationship Id="rId946" Type="http://schemas.openxmlformats.org/officeDocument/2006/relationships/image" Target="media/image927.png"/><Relationship Id="rId947" Type="http://schemas.openxmlformats.org/officeDocument/2006/relationships/image" Target="media/image928.png"/><Relationship Id="rId948" Type="http://schemas.openxmlformats.org/officeDocument/2006/relationships/image" Target="media/image929.png"/><Relationship Id="rId949" Type="http://schemas.openxmlformats.org/officeDocument/2006/relationships/image" Target="media/image930.png"/><Relationship Id="rId950" Type="http://schemas.openxmlformats.org/officeDocument/2006/relationships/image" Target="media/image931.png"/><Relationship Id="rId951" Type="http://schemas.openxmlformats.org/officeDocument/2006/relationships/image" Target="media/image932.png"/><Relationship Id="rId952" Type="http://schemas.openxmlformats.org/officeDocument/2006/relationships/image" Target="media/image933.png"/><Relationship Id="rId953" Type="http://schemas.openxmlformats.org/officeDocument/2006/relationships/image" Target="media/image934.png"/><Relationship Id="rId954" Type="http://schemas.openxmlformats.org/officeDocument/2006/relationships/image" Target="media/image935.png"/><Relationship Id="rId955" Type="http://schemas.openxmlformats.org/officeDocument/2006/relationships/image" Target="media/image936.png"/><Relationship Id="rId956" Type="http://schemas.openxmlformats.org/officeDocument/2006/relationships/image" Target="media/image937.png"/><Relationship Id="rId957" Type="http://schemas.openxmlformats.org/officeDocument/2006/relationships/image" Target="media/image938.png"/><Relationship Id="rId958" Type="http://schemas.openxmlformats.org/officeDocument/2006/relationships/image" Target="media/image939.png"/><Relationship Id="rId959" Type="http://schemas.openxmlformats.org/officeDocument/2006/relationships/image" Target="media/image940.png"/><Relationship Id="rId960" Type="http://schemas.openxmlformats.org/officeDocument/2006/relationships/image" Target="media/image941.png"/><Relationship Id="rId961" Type="http://schemas.openxmlformats.org/officeDocument/2006/relationships/image" Target="media/image942.png"/><Relationship Id="rId962" Type="http://schemas.openxmlformats.org/officeDocument/2006/relationships/image" Target="media/image943.png"/><Relationship Id="rId963" Type="http://schemas.openxmlformats.org/officeDocument/2006/relationships/image" Target="media/image944.png"/><Relationship Id="rId964" Type="http://schemas.openxmlformats.org/officeDocument/2006/relationships/image" Target="media/image945.png"/><Relationship Id="rId965" Type="http://schemas.openxmlformats.org/officeDocument/2006/relationships/image" Target="media/image946.png"/><Relationship Id="rId966" Type="http://schemas.openxmlformats.org/officeDocument/2006/relationships/image" Target="media/image947.png"/><Relationship Id="rId967" Type="http://schemas.openxmlformats.org/officeDocument/2006/relationships/image" Target="media/image948.png"/><Relationship Id="rId968" Type="http://schemas.openxmlformats.org/officeDocument/2006/relationships/image" Target="media/image949.png"/><Relationship Id="rId969" Type="http://schemas.openxmlformats.org/officeDocument/2006/relationships/image" Target="media/image950.png"/><Relationship Id="rId970" Type="http://schemas.openxmlformats.org/officeDocument/2006/relationships/image" Target="media/image951.png"/><Relationship Id="rId971" Type="http://schemas.openxmlformats.org/officeDocument/2006/relationships/image" Target="media/image952.png"/><Relationship Id="rId972" Type="http://schemas.openxmlformats.org/officeDocument/2006/relationships/image" Target="media/image953.png"/><Relationship Id="rId973" Type="http://schemas.openxmlformats.org/officeDocument/2006/relationships/image" Target="media/image954.png"/><Relationship Id="rId974" Type="http://schemas.openxmlformats.org/officeDocument/2006/relationships/image" Target="media/image955.png"/><Relationship Id="rId975" Type="http://schemas.openxmlformats.org/officeDocument/2006/relationships/image" Target="media/image956.png"/><Relationship Id="rId976" Type="http://schemas.openxmlformats.org/officeDocument/2006/relationships/image" Target="media/image957.png"/><Relationship Id="rId977" Type="http://schemas.openxmlformats.org/officeDocument/2006/relationships/image" Target="media/image958.png"/><Relationship Id="rId978" Type="http://schemas.openxmlformats.org/officeDocument/2006/relationships/image" Target="media/image959.png"/><Relationship Id="rId979" Type="http://schemas.openxmlformats.org/officeDocument/2006/relationships/image" Target="media/image960.png"/><Relationship Id="rId980" Type="http://schemas.openxmlformats.org/officeDocument/2006/relationships/image" Target="media/image961.png"/><Relationship Id="rId981" Type="http://schemas.openxmlformats.org/officeDocument/2006/relationships/image" Target="media/image962.png"/><Relationship Id="rId982" Type="http://schemas.openxmlformats.org/officeDocument/2006/relationships/image" Target="media/image963.png"/><Relationship Id="rId983" Type="http://schemas.openxmlformats.org/officeDocument/2006/relationships/image" Target="media/image964.png"/><Relationship Id="rId984" Type="http://schemas.openxmlformats.org/officeDocument/2006/relationships/image" Target="media/image965.png"/><Relationship Id="rId985" Type="http://schemas.openxmlformats.org/officeDocument/2006/relationships/image" Target="media/image966.png"/><Relationship Id="rId986" Type="http://schemas.openxmlformats.org/officeDocument/2006/relationships/image" Target="media/image967.png"/><Relationship Id="rId987" Type="http://schemas.openxmlformats.org/officeDocument/2006/relationships/image" Target="media/image968.png"/><Relationship Id="rId988" Type="http://schemas.openxmlformats.org/officeDocument/2006/relationships/image" Target="media/image969.png"/><Relationship Id="rId989" Type="http://schemas.openxmlformats.org/officeDocument/2006/relationships/image" Target="media/image970.png"/><Relationship Id="rId990" Type="http://schemas.openxmlformats.org/officeDocument/2006/relationships/image" Target="media/image971.png"/><Relationship Id="rId991" Type="http://schemas.openxmlformats.org/officeDocument/2006/relationships/image" Target="media/image972.png"/><Relationship Id="rId992" Type="http://schemas.openxmlformats.org/officeDocument/2006/relationships/image" Target="media/image973.png"/><Relationship Id="rId993" Type="http://schemas.openxmlformats.org/officeDocument/2006/relationships/image" Target="media/image974.png"/><Relationship Id="rId994" Type="http://schemas.openxmlformats.org/officeDocument/2006/relationships/image" Target="media/image975.png"/><Relationship Id="rId995" Type="http://schemas.openxmlformats.org/officeDocument/2006/relationships/image" Target="media/image976.png"/><Relationship Id="rId996" Type="http://schemas.openxmlformats.org/officeDocument/2006/relationships/image" Target="media/image977.png"/><Relationship Id="rId997" Type="http://schemas.openxmlformats.org/officeDocument/2006/relationships/image" Target="media/image978.png"/><Relationship Id="rId998" Type="http://schemas.openxmlformats.org/officeDocument/2006/relationships/image" Target="media/image979.png"/><Relationship Id="rId999" Type="http://schemas.openxmlformats.org/officeDocument/2006/relationships/image" Target="media/image980.png"/><Relationship Id="rId1000" Type="http://schemas.openxmlformats.org/officeDocument/2006/relationships/image" Target="media/image981.png"/><Relationship Id="rId1001" Type="http://schemas.openxmlformats.org/officeDocument/2006/relationships/image" Target="media/image982.png"/><Relationship Id="rId1002" Type="http://schemas.openxmlformats.org/officeDocument/2006/relationships/image" Target="media/image983.png"/><Relationship Id="rId1003" Type="http://schemas.openxmlformats.org/officeDocument/2006/relationships/image" Target="media/image984.png"/><Relationship Id="rId1004" Type="http://schemas.openxmlformats.org/officeDocument/2006/relationships/image" Target="media/image985.png"/><Relationship Id="rId1005" Type="http://schemas.openxmlformats.org/officeDocument/2006/relationships/image" Target="media/image986.png"/><Relationship Id="rId1006" Type="http://schemas.openxmlformats.org/officeDocument/2006/relationships/image" Target="media/image987.png"/><Relationship Id="rId1007" Type="http://schemas.openxmlformats.org/officeDocument/2006/relationships/image" Target="media/image988.png"/><Relationship Id="rId1008" Type="http://schemas.openxmlformats.org/officeDocument/2006/relationships/image" Target="media/image989.png"/><Relationship Id="rId1009" Type="http://schemas.openxmlformats.org/officeDocument/2006/relationships/image" Target="media/image990.png"/><Relationship Id="rId1010" Type="http://schemas.openxmlformats.org/officeDocument/2006/relationships/image" Target="media/image991.png"/><Relationship Id="rId1011" Type="http://schemas.openxmlformats.org/officeDocument/2006/relationships/image" Target="media/image992.png"/><Relationship Id="rId1012" Type="http://schemas.openxmlformats.org/officeDocument/2006/relationships/image" Target="media/image993.png"/><Relationship Id="rId1013" Type="http://schemas.openxmlformats.org/officeDocument/2006/relationships/image" Target="media/image994.png"/><Relationship Id="rId1014" Type="http://schemas.openxmlformats.org/officeDocument/2006/relationships/image" Target="media/image995.png"/><Relationship Id="rId1015" Type="http://schemas.openxmlformats.org/officeDocument/2006/relationships/image" Target="media/image996.png"/><Relationship Id="rId1016" Type="http://schemas.openxmlformats.org/officeDocument/2006/relationships/image" Target="media/image997.png"/><Relationship Id="rId1017" Type="http://schemas.openxmlformats.org/officeDocument/2006/relationships/image" Target="media/image998.png"/><Relationship Id="rId1018" Type="http://schemas.openxmlformats.org/officeDocument/2006/relationships/image" Target="media/image999.png"/><Relationship Id="rId1019" Type="http://schemas.openxmlformats.org/officeDocument/2006/relationships/image" Target="media/image1000.png"/><Relationship Id="rId1020" Type="http://schemas.openxmlformats.org/officeDocument/2006/relationships/image" Target="media/image1001.png"/><Relationship Id="rId1021" Type="http://schemas.openxmlformats.org/officeDocument/2006/relationships/image" Target="media/image1002.png"/><Relationship Id="rId1022" Type="http://schemas.openxmlformats.org/officeDocument/2006/relationships/image" Target="media/image1003.png"/><Relationship Id="rId1023" Type="http://schemas.openxmlformats.org/officeDocument/2006/relationships/image" Target="media/image1004.png"/><Relationship Id="rId1024" Type="http://schemas.openxmlformats.org/officeDocument/2006/relationships/image" Target="media/image1005.png"/><Relationship Id="rId1025" Type="http://schemas.openxmlformats.org/officeDocument/2006/relationships/image" Target="media/image1006.png"/><Relationship Id="rId1026" Type="http://schemas.openxmlformats.org/officeDocument/2006/relationships/image" Target="media/image1007.png"/><Relationship Id="rId1027" Type="http://schemas.openxmlformats.org/officeDocument/2006/relationships/image" Target="media/image1008.png"/><Relationship Id="rId1028" Type="http://schemas.openxmlformats.org/officeDocument/2006/relationships/image" Target="media/image1009.png"/><Relationship Id="rId1029" Type="http://schemas.openxmlformats.org/officeDocument/2006/relationships/image" Target="media/image1010.png"/><Relationship Id="rId1030" Type="http://schemas.openxmlformats.org/officeDocument/2006/relationships/image" Target="media/image1011.png"/><Relationship Id="rId1031" Type="http://schemas.openxmlformats.org/officeDocument/2006/relationships/image" Target="media/image1012.png"/><Relationship Id="rId1032" Type="http://schemas.openxmlformats.org/officeDocument/2006/relationships/image" Target="media/image1013.png"/><Relationship Id="rId1033" Type="http://schemas.openxmlformats.org/officeDocument/2006/relationships/image" Target="media/image1014.png"/><Relationship Id="rId1034" Type="http://schemas.openxmlformats.org/officeDocument/2006/relationships/image" Target="media/image1015.png"/><Relationship Id="rId1035" Type="http://schemas.openxmlformats.org/officeDocument/2006/relationships/image" Target="media/image1016.png"/><Relationship Id="rId1036" Type="http://schemas.openxmlformats.org/officeDocument/2006/relationships/image" Target="media/image1017.png"/><Relationship Id="rId1037" Type="http://schemas.openxmlformats.org/officeDocument/2006/relationships/image" Target="media/image1018.png"/><Relationship Id="rId1038" Type="http://schemas.openxmlformats.org/officeDocument/2006/relationships/image" Target="media/image1019.png"/><Relationship Id="rId1039" Type="http://schemas.openxmlformats.org/officeDocument/2006/relationships/image" Target="media/image1020.png"/><Relationship Id="rId1040" Type="http://schemas.openxmlformats.org/officeDocument/2006/relationships/image" Target="media/image1021.png"/><Relationship Id="rId1041" Type="http://schemas.openxmlformats.org/officeDocument/2006/relationships/image" Target="media/image1022.png"/><Relationship Id="rId1042" Type="http://schemas.openxmlformats.org/officeDocument/2006/relationships/image" Target="media/image1023.png"/><Relationship Id="rId1043" Type="http://schemas.openxmlformats.org/officeDocument/2006/relationships/image" Target="media/image1024.png"/><Relationship Id="rId1044" Type="http://schemas.openxmlformats.org/officeDocument/2006/relationships/image" Target="media/image1025.png"/><Relationship Id="rId1045" Type="http://schemas.openxmlformats.org/officeDocument/2006/relationships/image" Target="media/image1026.png"/><Relationship Id="rId1046" Type="http://schemas.openxmlformats.org/officeDocument/2006/relationships/image" Target="media/image1027.png"/><Relationship Id="rId1047" Type="http://schemas.openxmlformats.org/officeDocument/2006/relationships/image" Target="media/image1028.png"/><Relationship Id="rId1048" Type="http://schemas.openxmlformats.org/officeDocument/2006/relationships/image" Target="media/image1029.png"/><Relationship Id="rId1049" Type="http://schemas.openxmlformats.org/officeDocument/2006/relationships/image" Target="media/image1030.png"/><Relationship Id="rId1050" Type="http://schemas.openxmlformats.org/officeDocument/2006/relationships/image" Target="media/image1031.png"/><Relationship Id="rId1051" Type="http://schemas.openxmlformats.org/officeDocument/2006/relationships/image" Target="media/image1032.png"/><Relationship Id="rId1052" Type="http://schemas.openxmlformats.org/officeDocument/2006/relationships/image" Target="media/image1033.png"/><Relationship Id="rId1053" Type="http://schemas.openxmlformats.org/officeDocument/2006/relationships/image" Target="media/image1034.png"/><Relationship Id="rId1054" Type="http://schemas.openxmlformats.org/officeDocument/2006/relationships/image" Target="media/image1035.png"/><Relationship Id="rId1055" Type="http://schemas.openxmlformats.org/officeDocument/2006/relationships/image" Target="media/image1036.png"/><Relationship Id="rId1056" Type="http://schemas.openxmlformats.org/officeDocument/2006/relationships/image" Target="media/image1037.png"/><Relationship Id="rId1057" Type="http://schemas.openxmlformats.org/officeDocument/2006/relationships/image" Target="media/image1038.png"/><Relationship Id="rId1058" Type="http://schemas.openxmlformats.org/officeDocument/2006/relationships/image" Target="media/image1039.png"/><Relationship Id="rId1059" Type="http://schemas.openxmlformats.org/officeDocument/2006/relationships/image" Target="media/image1040.png"/><Relationship Id="rId1060" Type="http://schemas.openxmlformats.org/officeDocument/2006/relationships/image" Target="media/image1041.png"/><Relationship Id="rId1061" Type="http://schemas.openxmlformats.org/officeDocument/2006/relationships/image" Target="media/image1042.png"/><Relationship Id="rId1062" Type="http://schemas.openxmlformats.org/officeDocument/2006/relationships/image" Target="media/image1043.png"/><Relationship Id="rId1063" Type="http://schemas.openxmlformats.org/officeDocument/2006/relationships/image" Target="media/image1044.png"/><Relationship Id="rId1064" Type="http://schemas.openxmlformats.org/officeDocument/2006/relationships/image" Target="media/image1045.png"/><Relationship Id="rId1065" Type="http://schemas.openxmlformats.org/officeDocument/2006/relationships/image" Target="media/image1046.png"/><Relationship Id="rId1066" Type="http://schemas.openxmlformats.org/officeDocument/2006/relationships/image" Target="media/image1047.png"/><Relationship Id="rId1067" Type="http://schemas.openxmlformats.org/officeDocument/2006/relationships/image" Target="media/image1048.png"/><Relationship Id="rId1068" Type="http://schemas.openxmlformats.org/officeDocument/2006/relationships/image" Target="media/image1049.png"/><Relationship Id="rId1069" Type="http://schemas.openxmlformats.org/officeDocument/2006/relationships/image" Target="media/image1050.png"/><Relationship Id="rId1070" Type="http://schemas.openxmlformats.org/officeDocument/2006/relationships/image" Target="media/image1051.png"/><Relationship Id="rId1071" Type="http://schemas.openxmlformats.org/officeDocument/2006/relationships/image" Target="media/image1052.png"/><Relationship Id="rId1072" Type="http://schemas.openxmlformats.org/officeDocument/2006/relationships/image" Target="media/image1053.png"/><Relationship Id="rId1073" Type="http://schemas.openxmlformats.org/officeDocument/2006/relationships/image" Target="media/image1054.png"/><Relationship Id="rId1074" Type="http://schemas.openxmlformats.org/officeDocument/2006/relationships/image" Target="media/image1055.png"/><Relationship Id="rId1075" Type="http://schemas.openxmlformats.org/officeDocument/2006/relationships/image" Target="media/image1056.png"/><Relationship Id="rId1076" Type="http://schemas.openxmlformats.org/officeDocument/2006/relationships/image" Target="media/image1057.png"/><Relationship Id="rId1077" Type="http://schemas.openxmlformats.org/officeDocument/2006/relationships/image" Target="media/image1058.png"/><Relationship Id="rId1078" Type="http://schemas.openxmlformats.org/officeDocument/2006/relationships/image" Target="media/image1059.png"/><Relationship Id="rId1079" Type="http://schemas.openxmlformats.org/officeDocument/2006/relationships/image" Target="media/image1060.png"/><Relationship Id="rId1080" Type="http://schemas.openxmlformats.org/officeDocument/2006/relationships/image" Target="media/image1061.png"/><Relationship Id="rId1081" Type="http://schemas.openxmlformats.org/officeDocument/2006/relationships/image" Target="media/image1062.png"/><Relationship Id="rId1082" Type="http://schemas.openxmlformats.org/officeDocument/2006/relationships/image" Target="media/image1063.png"/><Relationship Id="rId1083" Type="http://schemas.openxmlformats.org/officeDocument/2006/relationships/image" Target="media/image1064.png"/><Relationship Id="rId1084" Type="http://schemas.openxmlformats.org/officeDocument/2006/relationships/image" Target="media/image1065.png"/><Relationship Id="rId1085" Type="http://schemas.openxmlformats.org/officeDocument/2006/relationships/image" Target="media/image1066.png"/><Relationship Id="rId1086" Type="http://schemas.openxmlformats.org/officeDocument/2006/relationships/image" Target="media/image1067.png"/><Relationship Id="rId1087" Type="http://schemas.openxmlformats.org/officeDocument/2006/relationships/image" Target="media/image1068.png"/><Relationship Id="rId1088" Type="http://schemas.openxmlformats.org/officeDocument/2006/relationships/image" Target="media/image1069.png"/><Relationship Id="rId1089" Type="http://schemas.openxmlformats.org/officeDocument/2006/relationships/image" Target="media/image1070.png"/><Relationship Id="rId1090" Type="http://schemas.openxmlformats.org/officeDocument/2006/relationships/image" Target="media/image1071.png"/><Relationship Id="rId1091" Type="http://schemas.openxmlformats.org/officeDocument/2006/relationships/image" Target="media/image1072.png"/><Relationship Id="rId1092" Type="http://schemas.openxmlformats.org/officeDocument/2006/relationships/image" Target="media/image1073.png"/><Relationship Id="rId1093" Type="http://schemas.openxmlformats.org/officeDocument/2006/relationships/image" Target="media/image1074.png"/><Relationship Id="rId1094" Type="http://schemas.openxmlformats.org/officeDocument/2006/relationships/image" Target="media/image1075.png"/><Relationship Id="rId1095" Type="http://schemas.openxmlformats.org/officeDocument/2006/relationships/image" Target="media/image1076.png"/><Relationship Id="rId1096" Type="http://schemas.openxmlformats.org/officeDocument/2006/relationships/image" Target="media/image1077.png"/><Relationship Id="rId1097" Type="http://schemas.openxmlformats.org/officeDocument/2006/relationships/image" Target="media/image1078.png"/><Relationship Id="rId1098" Type="http://schemas.openxmlformats.org/officeDocument/2006/relationships/image" Target="media/image1079.png"/><Relationship Id="rId1099" Type="http://schemas.openxmlformats.org/officeDocument/2006/relationships/image" Target="media/image1080.png"/><Relationship Id="rId1100" Type="http://schemas.openxmlformats.org/officeDocument/2006/relationships/image" Target="media/image1081.png"/><Relationship Id="rId1101" Type="http://schemas.openxmlformats.org/officeDocument/2006/relationships/image" Target="media/image1082.png"/><Relationship Id="rId1102" Type="http://schemas.openxmlformats.org/officeDocument/2006/relationships/image" Target="media/image1083.png"/><Relationship Id="rId1103" Type="http://schemas.openxmlformats.org/officeDocument/2006/relationships/image" Target="media/image1084.png"/><Relationship Id="rId1104" Type="http://schemas.openxmlformats.org/officeDocument/2006/relationships/image" Target="media/image1085.png"/><Relationship Id="rId1105" Type="http://schemas.openxmlformats.org/officeDocument/2006/relationships/image" Target="media/image1086.png"/><Relationship Id="rId1106" Type="http://schemas.openxmlformats.org/officeDocument/2006/relationships/image" Target="media/image1087.png"/><Relationship Id="rId1107" Type="http://schemas.openxmlformats.org/officeDocument/2006/relationships/image" Target="media/image1088.png"/><Relationship Id="rId1108" Type="http://schemas.openxmlformats.org/officeDocument/2006/relationships/image" Target="media/image1089.png"/><Relationship Id="rId1109" Type="http://schemas.openxmlformats.org/officeDocument/2006/relationships/image" Target="media/image1090.png"/><Relationship Id="rId1110" Type="http://schemas.openxmlformats.org/officeDocument/2006/relationships/image" Target="media/image1091.png"/><Relationship Id="rId1111" Type="http://schemas.openxmlformats.org/officeDocument/2006/relationships/image" Target="media/image1092.png"/><Relationship Id="rId1112" Type="http://schemas.openxmlformats.org/officeDocument/2006/relationships/image" Target="media/image1093.png"/><Relationship Id="rId1113" Type="http://schemas.openxmlformats.org/officeDocument/2006/relationships/image" Target="media/image1094.png"/><Relationship Id="rId1114" Type="http://schemas.openxmlformats.org/officeDocument/2006/relationships/image" Target="media/image1095.png"/><Relationship Id="rId1115" Type="http://schemas.openxmlformats.org/officeDocument/2006/relationships/image" Target="media/image1096.png"/><Relationship Id="rId1116" Type="http://schemas.openxmlformats.org/officeDocument/2006/relationships/image" Target="media/image1097.png"/><Relationship Id="rId1117" Type="http://schemas.openxmlformats.org/officeDocument/2006/relationships/image" Target="media/image1098.png"/><Relationship Id="rId1118" Type="http://schemas.openxmlformats.org/officeDocument/2006/relationships/image" Target="media/image1099.png"/><Relationship Id="rId1119" Type="http://schemas.openxmlformats.org/officeDocument/2006/relationships/image" Target="media/image1100.png"/><Relationship Id="rId1120" Type="http://schemas.openxmlformats.org/officeDocument/2006/relationships/image" Target="media/image1101.png"/><Relationship Id="rId1121" Type="http://schemas.openxmlformats.org/officeDocument/2006/relationships/image" Target="media/image1102.png"/><Relationship Id="rId1122" Type="http://schemas.openxmlformats.org/officeDocument/2006/relationships/image" Target="media/image1103.png"/><Relationship Id="rId1123" Type="http://schemas.openxmlformats.org/officeDocument/2006/relationships/image" Target="media/image1104.png"/><Relationship Id="rId1124" Type="http://schemas.openxmlformats.org/officeDocument/2006/relationships/image" Target="media/image1105.png"/><Relationship Id="rId1125" Type="http://schemas.openxmlformats.org/officeDocument/2006/relationships/image" Target="media/image1106.png"/><Relationship Id="rId1126" Type="http://schemas.openxmlformats.org/officeDocument/2006/relationships/image" Target="media/image1107.png"/><Relationship Id="rId1127" Type="http://schemas.openxmlformats.org/officeDocument/2006/relationships/image" Target="media/image1108.png"/><Relationship Id="rId1128" Type="http://schemas.openxmlformats.org/officeDocument/2006/relationships/image" Target="media/image1109.png"/><Relationship Id="rId1129" Type="http://schemas.openxmlformats.org/officeDocument/2006/relationships/image" Target="media/image1110.png"/><Relationship Id="rId1130" Type="http://schemas.openxmlformats.org/officeDocument/2006/relationships/image" Target="media/image1111.png"/><Relationship Id="rId1131" Type="http://schemas.openxmlformats.org/officeDocument/2006/relationships/image" Target="media/image1112.png"/><Relationship Id="rId1132" Type="http://schemas.openxmlformats.org/officeDocument/2006/relationships/image" Target="media/image1113.png"/><Relationship Id="rId1133" Type="http://schemas.openxmlformats.org/officeDocument/2006/relationships/image" Target="media/image1114.png"/><Relationship Id="rId1134" Type="http://schemas.openxmlformats.org/officeDocument/2006/relationships/image" Target="media/image1115.png"/><Relationship Id="rId1135" Type="http://schemas.openxmlformats.org/officeDocument/2006/relationships/image" Target="media/image1116.png"/><Relationship Id="rId1136" Type="http://schemas.openxmlformats.org/officeDocument/2006/relationships/image" Target="media/image1117.png"/><Relationship Id="rId1137" Type="http://schemas.openxmlformats.org/officeDocument/2006/relationships/image" Target="media/image1118.png"/><Relationship Id="rId1138" Type="http://schemas.openxmlformats.org/officeDocument/2006/relationships/image" Target="media/image1119.png"/><Relationship Id="rId1139" Type="http://schemas.openxmlformats.org/officeDocument/2006/relationships/image" Target="media/image1120.png"/><Relationship Id="rId1140" Type="http://schemas.openxmlformats.org/officeDocument/2006/relationships/image" Target="media/image1121.png"/><Relationship Id="rId1141" Type="http://schemas.openxmlformats.org/officeDocument/2006/relationships/image" Target="media/image1122.png"/><Relationship Id="rId1142" Type="http://schemas.openxmlformats.org/officeDocument/2006/relationships/image" Target="media/image1123.png"/><Relationship Id="rId1143" Type="http://schemas.openxmlformats.org/officeDocument/2006/relationships/image" Target="media/image1124.png"/><Relationship Id="rId1144" Type="http://schemas.openxmlformats.org/officeDocument/2006/relationships/image" Target="media/image1125.png"/><Relationship Id="rId1145" Type="http://schemas.openxmlformats.org/officeDocument/2006/relationships/image" Target="media/image1126.png"/><Relationship Id="rId1146" Type="http://schemas.openxmlformats.org/officeDocument/2006/relationships/image" Target="media/image1127.png"/><Relationship Id="rId1147" Type="http://schemas.openxmlformats.org/officeDocument/2006/relationships/image" Target="media/image1128.png"/><Relationship Id="rId1148" Type="http://schemas.openxmlformats.org/officeDocument/2006/relationships/image" Target="media/image1129.png"/><Relationship Id="rId1149" Type="http://schemas.openxmlformats.org/officeDocument/2006/relationships/image" Target="media/image1130.png"/><Relationship Id="rId1150" Type="http://schemas.openxmlformats.org/officeDocument/2006/relationships/image" Target="media/image1131.png"/><Relationship Id="rId1151" Type="http://schemas.openxmlformats.org/officeDocument/2006/relationships/image" Target="media/image1132.png"/><Relationship Id="rId1152" Type="http://schemas.openxmlformats.org/officeDocument/2006/relationships/image" Target="media/image1133.png"/><Relationship Id="rId1153" Type="http://schemas.openxmlformats.org/officeDocument/2006/relationships/image" Target="media/image1134.png"/><Relationship Id="rId1154" Type="http://schemas.openxmlformats.org/officeDocument/2006/relationships/image" Target="media/image1135.png"/><Relationship Id="rId1155" Type="http://schemas.openxmlformats.org/officeDocument/2006/relationships/image" Target="media/image1136.png"/><Relationship Id="rId1156" Type="http://schemas.openxmlformats.org/officeDocument/2006/relationships/image" Target="media/image1137.png"/><Relationship Id="rId1157" Type="http://schemas.openxmlformats.org/officeDocument/2006/relationships/image" Target="media/image1138.png"/><Relationship Id="rId1158" Type="http://schemas.openxmlformats.org/officeDocument/2006/relationships/image" Target="media/image1139.png"/><Relationship Id="rId1159" Type="http://schemas.openxmlformats.org/officeDocument/2006/relationships/image" Target="media/image1140.png"/><Relationship Id="rId1160" Type="http://schemas.openxmlformats.org/officeDocument/2006/relationships/image" Target="media/image1141.png"/><Relationship Id="rId1161" Type="http://schemas.openxmlformats.org/officeDocument/2006/relationships/image" Target="media/image1142.png"/><Relationship Id="rId1162" Type="http://schemas.openxmlformats.org/officeDocument/2006/relationships/image" Target="media/image1143.png"/><Relationship Id="rId1163" Type="http://schemas.openxmlformats.org/officeDocument/2006/relationships/image" Target="media/image1144.png"/><Relationship Id="rId1164" Type="http://schemas.openxmlformats.org/officeDocument/2006/relationships/image" Target="media/image1145.png"/><Relationship Id="rId1165" Type="http://schemas.openxmlformats.org/officeDocument/2006/relationships/image" Target="media/image1146.png"/><Relationship Id="rId1166" Type="http://schemas.openxmlformats.org/officeDocument/2006/relationships/image" Target="media/image1147.png"/><Relationship Id="rId1167" Type="http://schemas.openxmlformats.org/officeDocument/2006/relationships/image" Target="media/image1148.png"/><Relationship Id="rId1168" Type="http://schemas.openxmlformats.org/officeDocument/2006/relationships/image" Target="media/image1149.png"/><Relationship Id="rId1169" Type="http://schemas.openxmlformats.org/officeDocument/2006/relationships/image" Target="media/image1150.png"/><Relationship Id="rId1170" Type="http://schemas.openxmlformats.org/officeDocument/2006/relationships/image" Target="media/image1151.png"/><Relationship Id="rId1171" Type="http://schemas.openxmlformats.org/officeDocument/2006/relationships/image" Target="media/image1152.png"/><Relationship Id="rId1172" Type="http://schemas.openxmlformats.org/officeDocument/2006/relationships/image" Target="media/image1153.png"/><Relationship Id="rId1173" Type="http://schemas.openxmlformats.org/officeDocument/2006/relationships/image" Target="media/image1154.png"/><Relationship Id="rId1174" Type="http://schemas.openxmlformats.org/officeDocument/2006/relationships/image" Target="media/image1155.png"/><Relationship Id="rId1175" Type="http://schemas.openxmlformats.org/officeDocument/2006/relationships/image" Target="media/image1156.png"/><Relationship Id="rId1176" Type="http://schemas.openxmlformats.org/officeDocument/2006/relationships/image" Target="media/image1157.png"/><Relationship Id="rId1177" Type="http://schemas.openxmlformats.org/officeDocument/2006/relationships/image" Target="media/image1158.png"/><Relationship Id="rId1178" Type="http://schemas.openxmlformats.org/officeDocument/2006/relationships/image" Target="media/image1159.png"/><Relationship Id="rId1179" Type="http://schemas.openxmlformats.org/officeDocument/2006/relationships/image" Target="media/image1160.png"/><Relationship Id="rId1180" Type="http://schemas.openxmlformats.org/officeDocument/2006/relationships/image" Target="media/image1161.png"/><Relationship Id="rId1181" Type="http://schemas.openxmlformats.org/officeDocument/2006/relationships/image" Target="media/image1162.png"/><Relationship Id="rId1182" Type="http://schemas.openxmlformats.org/officeDocument/2006/relationships/image" Target="media/image1163.png"/><Relationship Id="rId1183" Type="http://schemas.openxmlformats.org/officeDocument/2006/relationships/image" Target="media/image1164.png"/><Relationship Id="rId1184" Type="http://schemas.openxmlformats.org/officeDocument/2006/relationships/image" Target="media/image1165.png"/><Relationship Id="rId1185" Type="http://schemas.openxmlformats.org/officeDocument/2006/relationships/image" Target="media/image1166.png"/><Relationship Id="rId1186" Type="http://schemas.openxmlformats.org/officeDocument/2006/relationships/image" Target="media/image1167.png"/><Relationship Id="rId1187" Type="http://schemas.openxmlformats.org/officeDocument/2006/relationships/image" Target="media/image1168.png"/><Relationship Id="rId1188" Type="http://schemas.openxmlformats.org/officeDocument/2006/relationships/image" Target="media/image1169.png"/><Relationship Id="rId1189" Type="http://schemas.openxmlformats.org/officeDocument/2006/relationships/image" Target="media/image1170.png"/><Relationship Id="rId1190" Type="http://schemas.openxmlformats.org/officeDocument/2006/relationships/image" Target="media/image1171.png"/><Relationship Id="rId1191" Type="http://schemas.openxmlformats.org/officeDocument/2006/relationships/image" Target="media/image1172.png"/><Relationship Id="rId1192" Type="http://schemas.openxmlformats.org/officeDocument/2006/relationships/image" Target="media/image1173.png"/><Relationship Id="rId1193" Type="http://schemas.openxmlformats.org/officeDocument/2006/relationships/image" Target="media/image1174.png"/><Relationship Id="rId1194" Type="http://schemas.openxmlformats.org/officeDocument/2006/relationships/image" Target="media/image1175.png"/><Relationship Id="rId1195" Type="http://schemas.openxmlformats.org/officeDocument/2006/relationships/image" Target="media/image1176.png"/><Relationship Id="rId1196" Type="http://schemas.openxmlformats.org/officeDocument/2006/relationships/image" Target="media/image1177.png"/><Relationship Id="rId1197" Type="http://schemas.openxmlformats.org/officeDocument/2006/relationships/image" Target="media/image1178.png"/><Relationship Id="rId1198" Type="http://schemas.openxmlformats.org/officeDocument/2006/relationships/image" Target="media/image1179.png"/><Relationship Id="rId1199" Type="http://schemas.openxmlformats.org/officeDocument/2006/relationships/image" Target="media/image1180.png"/><Relationship Id="rId1200" Type="http://schemas.openxmlformats.org/officeDocument/2006/relationships/image" Target="media/image1181.png"/><Relationship Id="rId1201" Type="http://schemas.openxmlformats.org/officeDocument/2006/relationships/image" Target="media/image1182.png"/><Relationship Id="rId1202" Type="http://schemas.openxmlformats.org/officeDocument/2006/relationships/image" Target="media/image1183.png"/><Relationship Id="rId1203" Type="http://schemas.openxmlformats.org/officeDocument/2006/relationships/image" Target="media/image1184.png"/><Relationship Id="rId1204" Type="http://schemas.openxmlformats.org/officeDocument/2006/relationships/image" Target="media/image1185.png"/><Relationship Id="rId1205" Type="http://schemas.openxmlformats.org/officeDocument/2006/relationships/image" Target="media/image1186.png"/><Relationship Id="rId1206" Type="http://schemas.openxmlformats.org/officeDocument/2006/relationships/image" Target="media/image1187.png"/><Relationship Id="rId1207" Type="http://schemas.openxmlformats.org/officeDocument/2006/relationships/image" Target="media/image1188.png"/><Relationship Id="rId1208" Type="http://schemas.openxmlformats.org/officeDocument/2006/relationships/image" Target="media/image1189.png"/><Relationship Id="rId1209" Type="http://schemas.openxmlformats.org/officeDocument/2006/relationships/image" Target="media/image1190.png"/><Relationship Id="rId1210" Type="http://schemas.openxmlformats.org/officeDocument/2006/relationships/image" Target="media/image1191.png"/><Relationship Id="rId1211" Type="http://schemas.openxmlformats.org/officeDocument/2006/relationships/image" Target="media/image1192.png"/><Relationship Id="rId1212" Type="http://schemas.openxmlformats.org/officeDocument/2006/relationships/image" Target="media/image1193.png"/><Relationship Id="rId1213" Type="http://schemas.openxmlformats.org/officeDocument/2006/relationships/image" Target="media/image1194.png"/><Relationship Id="rId1214" Type="http://schemas.openxmlformats.org/officeDocument/2006/relationships/image" Target="media/image1195.png"/><Relationship Id="rId1215" Type="http://schemas.openxmlformats.org/officeDocument/2006/relationships/image" Target="media/image1196.png"/><Relationship Id="rId1216" Type="http://schemas.openxmlformats.org/officeDocument/2006/relationships/image" Target="media/image1197.png"/><Relationship Id="rId1217" Type="http://schemas.openxmlformats.org/officeDocument/2006/relationships/image" Target="media/image1198.png"/><Relationship Id="rId1218" Type="http://schemas.openxmlformats.org/officeDocument/2006/relationships/image" Target="media/image1199.png"/><Relationship Id="rId1219" Type="http://schemas.openxmlformats.org/officeDocument/2006/relationships/image" Target="media/image1200.png"/><Relationship Id="rId1220" Type="http://schemas.openxmlformats.org/officeDocument/2006/relationships/image" Target="media/image1201.png"/><Relationship Id="rId1221" Type="http://schemas.openxmlformats.org/officeDocument/2006/relationships/image" Target="media/image1202.png"/><Relationship Id="rId1222" Type="http://schemas.openxmlformats.org/officeDocument/2006/relationships/image" Target="media/image1203.png"/><Relationship Id="rId1223" Type="http://schemas.openxmlformats.org/officeDocument/2006/relationships/image" Target="media/image1204.png"/><Relationship Id="rId1224" Type="http://schemas.openxmlformats.org/officeDocument/2006/relationships/image" Target="media/image1205.png"/><Relationship Id="rId1225" Type="http://schemas.openxmlformats.org/officeDocument/2006/relationships/image" Target="media/image1206.png"/><Relationship Id="rId1226" Type="http://schemas.openxmlformats.org/officeDocument/2006/relationships/image" Target="media/image1207.png"/><Relationship Id="rId1227" Type="http://schemas.openxmlformats.org/officeDocument/2006/relationships/image" Target="media/image1208.png"/><Relationship Id="rId1228" Type="http://schemas.openxmlformats.org/officeDocument/2006/relationships/image" Target="media/image1209.png"/><Relationship Id="rId1229" Type="http://schemas.openxmlformats.org/officeDocument/2006/relationships/image" Target="media/image1210.png"/><Relationship Id="rId1230" Type="http://schemas.openxmlformats.org/officeDocument/2006/relationships/image" Target="media/image1211.png"/><Relationship Id="rId1231" Type="http://schemas.openxmlformats.org/officeDocument/2006/relationships/image" Target="media/image1212.png"/><Relationship Id="rId1232" Type="http://schemas.openxmlformats.org/officeDocument/2006/relationships/image" Target="media/image1213.png"/><Relationship Id="rId1233" Type="http://schemas.openxmlformats.org/officeDocument/2006/relationships/image" Target="media/image1214.png"/><Relationship Id="rId1234" Type="http://schemas.openxmlformats.org/officeDocument/2006/relationships/image" Target="media/image1215.png"/><Relationship Id="rId1235" Type="http://schemas.openxmlformats.org/officeDocument/2006/relationships/image" Target="media/image1216.png"/><Relationship Id="rId1236" Type="http://schemas.openxmlformats.org/officeDocument/2006/relationships/image" Target="media/image1217.png"/><Relationship Id="rId1237" Type="http://schemas.openxmlformats.org/officeDocument/2006/relationships/image" Target="media/image1218.png"/><Relationship Id="rId1238" Type="http://schemas.openxmlformats.org/officeDocument/2006/relationships/image" Target="media/image1219.png"/><Relationship Id="rId1239" Type="http://schemas.openxmlformats.org/officeDocument/2006/relationships/image" Target="media/image1220.png"/><Relationship Id="rId1240" Type="http://schemas.openxmlformats.org/officeDocument/2006/relationships/image" Target="media/image1221.png"/><Relationship Id="rId1241" Type="http://schemas.openxmlformats.org/officeDocument/2006/relationships/image" Target="media/image1222.png"/><Relationship Id="rId1242" Type="http://schemas.openxmlformats.org/officeDocument/2006/relationships/image" Target="media/image1223.png"/><Relationship Id="rId1243" Type="http://schemas.openxmlformats.org/officeDocument/2006/relationships/image" Target="media/image1224.png"/><Relationship Id="rId1244" Type="http://schemas.openxmlformats.org/officeDocument/2006/relationships/image" Target="media/image1225.png"/><Relationship Id="rId1245" Type="http://schemas.openxmlformats.org/officeDocument/2006/relationships/image" Target="media/image1226.png"/><Relationship Id="rId1246" Type="http://schemas.openxmlformats.org/officeDocument/2006/relationships/image" Target="media/image1227.png"/><Relationship Id="rId1247" Type="http://schemas.openxmlformats.org/officeDocument/2006/relationships/image" Target="media/image1228.png"/><Relationship Id="rId1248" Type="http://schemas.openxmlformats.org/officeDocument/2006/relationships/image" Target="media/image1229.png"/><Relationship Id="rId1249" Type="http://schemas.openxmlformats.org/officeDocument/2006/relationships/image" Target="media/image1230.png"/><Relationship Id="rId1250" Type="http://schemas.openxmlformats.org/officeDocument/2006/relationships/image" Target="media/image1231.png"/><Relationship Id="rId1251" Type="http://schemas.openxmlformats.org/officeDocument/2006/relationships/image" Target="media/image1232.png"/><Relationship Id="rId1252" Type="http://schemas.openxmlformats.org/officeDocument/2006/relationships/image" Target="media/image1233.png"/><Relationship Id="rId1253" Type="http://schemas.openxmlformats.org/officeDocument/2006/relationships/image" Target="media/image1234.png"/><Relationship Id="rId1254" Type="http://schemas.openxmlformats.org/officeDocument/2006/relationships/image" Target="media/image1235.png"/><Relationship Id="rId1255" Type="http://schemas.openxmlformats.org/officeDocument/2006/relationships/image" Target="media/image1236.png"/><Relationship Id="rId1256" Type="http://schemas.openxmlformats.org/officeDocument/2006/relationships/image" Target="media/image1237.png"/><Relationship Id="rId1257" Type="http://schemas.openxmlformats.org/officeDocument/2006/relationships/image" Target="media/image1238.png"/><Relationship Id="rId1258" Type="http://schemas.openxmlformats.org/officeDocument/2006/relationships/image" Target="media/image1239.png"/><Relationship Id="rId1259" Type="http://schemas.openxmlformats.org/officeDocument/2006/relationships/image" Target="media/image1240.png"/><Relationship Id="rId1260" Type="http://schemas.openxmlformats.org/officeDocument/2006/relationships/image" Target="media/image1241.png"/><Relationship Id="rId1261" Type="http://schemas.openxmlformats.org/officeDocument/2006/relationships/image" Target="media/image1242.png"/><Relationship Id="rId1262" Type="http://schemas.openxmlformats.org/officeDocument/2006/relationships/image" Target="media/image1243.png"/><Relationship Id="rId1263" Type="http://schemas.openxmlformats.org/officeDocument/2006/relationships/image" Target="media/image1244.png"/><Relationship Id="rId1264" Type="http://schemas.openxmlformats.org/officeDocument/2006/relationships/image" Target="media/image1245.png"/><Relationship Id="rId1265" Type="http://schemas.openxmlformats.org/officeDocument/2006/relationships/image" Target="media/image1246.png"/><Relationship Id="rId1266" Type="http://schemas.openxmlformats.org/officeDocument/2006/relationships/image" Target="media/image1247.png"/><Relationship Id="rId1267" Type="http://schemas.openxmlformats.org/officeDocument/2006/relationships/image" Target="media/image1248.png"/><Relationship Id="rId1268" Type="http://schemas.openxmlformats.org/officeDocument/2006/relationships/image" Target="media/image1249.png"/><Relationship Id="rId1269" Type="http://schemas.openxmlformats.org/officeDocument/2006/relationships/image" Target="media/image1250.png"/><Relationship Id="rId1270" Type="http://schemas.openxmlformats.org/officeDocument/2006/relationships/image" Target="media/image1251.png"/><Relationship Id="rId1271" Type="http://schemas.openxmlformats.org/officeDocument/2006/relationships/image" Target="media/image1252.png"/><Relationship Id="rId1272" Type="http://schemas.openxmlformats.org/officeDocument/2006/relationships/image" Target="media/image1253.png"/><Relationship Id="rId1273" Type="http://schemas.openxmlformats.org/officeDocument/2006/relationships/image" Target="media/image1254.png"/><Relationship Id="rId1274" Type="http://schemas.openxmlformats.org/officeDocument/2006/relationships/image" Target="media/image1255.png"/><Relationship Id="rId1275" Type="http://schemas.openxmlformats.org/officeDocument/2006/relationships/image" Target="media/image1256.png"/><Relationship Id="rId1276" Type="http://schemas.openxmlformats.org/officeDocument/2006/relationships/image" Target="media/image1257.png"/><Relationship Id="rId1277" Type="http://schemas.openxmlformats.org/officeDocument/2006/relationships/image" Target="media/image1258.png"/><Relationship Id="rId1278" Type="http://schemas.openxmlformats.org/officeDocument/2006/relationships/image" Target="media/image1259.png"/><Relationship Id="rId1279" Type="http://schemas.openxmlformats.org/officeDocument/2006/relationships/image" Target="media/image1260.png"/><Relationship Id="rId1280" Type="http://schemas.openxmlformats.org/officeDocument/2006/relationships/image" Target="media/image1261.png"/><Relationship Id="rId1281" Type="http://schemas.openxmlformats.org/officeDocument/2006/relationships/image" Target="media/image1262.png"/><Relationship Id="rId1282" Type="http://schemas.openxmlformats.org/officeDocument/2006/relationships/image" Target="media/image1263.png"/><Relationship Id="rId1283" Type="http://schemas.openxmlformats.org/officeDocument/2006/relationships/image" Target="media/image1264.png"/><Relationship Id="rId1284" Type="http://schemas.openxmlformats.org/officeDocument/2006/relationships/image" Target="media/image1265.png"/><Relationship Id="rId1285" Type="http://schemas.openxmlformats.org/officeDocument/2006/relationships/image" Target="media/image1266.png"/><Relationship Id="rId1286" Type="http://schemas.openxmlformats.org/officeDocument/2006/relationships/image" Target="media/image1267.png"/><Relationship Id="rId1287" Type="http://schemas.openxmlformats.org/officeDocument/2006/relationships/image" Target="media/image1268.png"/><Relationship Id="rId1288" Type="http://schemas.openxmlformats.org/officeDocument/2006/relationships/image" Target="media/image1269.png"/><Relationship Id="rId1289" Type="http://schemas.openxmlformats.org/officeDocument/2006/relationships/image" Target="media/image1270.png"/><Relationship Id="rId1290" Type="http://schemas.openxmlformats.org/officeDocument/2006/relationships/image" Target="media/image1271.png"/><Relationship Id="rId1291" Type="http://schemas.openxmlformats.org/officeDocument/2006/relationships/image" Target="media/image1272.png"/><Relationship Id="rId1292" Type="http://schemas.openxmlformats.org/officeDocument/2006/relationships/image" Target="media/image1273.png"/><Relationship Id="rId1293" Type="http://schemas.openxmlformats.org/officeDocument/2006/relationships/image" Target="media/image1274.png"/><Relationship Id="rId1294" Type="http://schemas.openxmlformats.org/officeDocument/2006/relationships/image" Target="media/image1275.png"/><Relationship Id="rId1295" Type="http://schemas.openxmlformats.org/officeDocument/2006/relationships/image" Target="media/image1276.png"/><Relationship Id="rId1296" Type="http://schemas.openxmlformats.org/officeDocument/2006/relationships/image" Target="media/image1277.png"/><Relationship Id="rId1297" Type="http://schemas.openxmlformats.org/officeDocument/2006/relationships/image" Target="media/image1278.png"/><Relationship Id="rId1298" Type="http://schemas.openxmlformats.org/officeDocument/2006/relationships/image" Target="media/image1279.png"/><Relationship Id="rId1299" Type="http://schemas.openxmlformats.org/officeDocument/2006/relationships/image" Target="media/image1280.png"/><Relationship Id="rId1300" Type="http://schemas.openxmlformats.org/officeDocument/2006/relationships/image" Target="media/image1281.png"/><Relationship Id="rId1301" Type="http://schemas.openxmlformats.org/officeDocument/2006/relationships/image" Target="media/image1282.png"/><Relationship Id="rId1302" Type="http://schemas.openxmlformats.org/officeDocument/2006/relationships/image" Target="media/image1283.png"/><Relationship Id="rId1303" Type="http://schemas.openxmlformats.org/officeDocument/2006/relationships/image" Target="media/image1284.png"/><Relationship Id="rId1304" Type="http://schemas.openxmlformats.org/officeDocument/2006/relationships/image" Target="media/image1285.png"/><Relationship Id="rId1305" Type="http://schemas.openxmlformats.org/officeDocument/2006/relationships/image" Target="media/image1286.png"/><Relationship Id="rId1306" Type="http://schemas.openxmlformats.org/officeDocument/2006/relationships/image" Target="media/image1287.png"/><Relationship Id="rId1307" Type="http://schemas.openxmlformats.org/officeDocument/2006/relationships/image" Target="media/image1288.png"/><Relationship Id="rId1308" Type="http://schemas.openxmlformats.org/officeDocument/2006/relationships/image" Target="media/image1289.png"/><Relationship Id="rId1309" Type="http://schemas.openxmlformats.org/officeDocument/2006/relationships/image" Target="media/image1290.png"/><Relationship Id="rId1310" Type="http://schemas.openxmlformats.org/officeDocument/2006/relationships/image" Target="media/image1291.png"/><Relationship Id="rId1311" Type="http://schemas.openxmlformats.org/officeDocument/2006/relationships/image" Target="media/image1292.png"/><Relationship Id="rId1312" Type="http://schemas.openxmlformats.org/officeDocument/2006/relationships/image" Target="media/image1293.png"/><Relationship Id="rId1313" Type="http://schemas.openxmlformats.org/officeDocument/2006/relationships/image" Target="media/image1294.png"/><Relationship Id="rId1314" Type="http://schemas.openxmlformats.org/officeDocument/2006/relationships/image" Target="media/image1295.png"/><Relationship Id="rId1315" Type="http://schemas.openxmlformats.org/officeDocument/2006/relationships/image" Target="media/image1296.png"/><Relationship Id="rId1316" Type="http://schemas.openxmlformats.org/officeDocument/2006/relationships/image" Target="media/image1297.png"/><Relationship Id="rId1317" Type="http://schemas.openxmlformats.org/officeDocument/2006/relationships/image" Target="media/image1298.png"/><Relationship Id="rId1318" Type="http://schemas.openxmlformats.org/officeDocument/2006/relationships/image" Target="media/image1299.png"/><Relationship Id="rId1319" Type="http://schemas.openxmlformats.org/officeDocument/2006/relationships/image" Target="media/image1300.png"/><Relationship Id="rId1320" Type="http://schemas.openxmlformats.org/officeDocument/2006/relationships/image" Target="media/image1301.png"/><Relationship Id="rId1321" Type="http://schemas.openxmlformats.org/officeDocument/2006/relationships/image" Target="media/image1302.png"/><Relationship Id="rId1322" Type="http://schemas.openxmlformats.org/officeDocument/2006/relationships/image" Target="media/image1303.png"/><Relationship Id="rId1323" Type="http://schemas.openxmlformats.org/officeDocument/2006/relationships/image" Target="media/image1304.png"/><Relationship Id="rId1324" Type="http://schemas.openxmlformats.org/officeDocument/2006/relationships/image" Target="media/image1305.png"/><Relationship Id="rId1325" Type="http://schemas.openxmlformats.org/officeDocument/2006/relationships/image" Target="media/image1306.png"/><Relationship Id="rId1326" Type="http://schemas.openxmlformats.org/officeDocument/2006/relationships/image" Target="media/image1307.png"/><Relationship Id="rId1327" Type="http://schemas.openxmlformats.org/officeDocument/2006/relationships/image" Target="media/image1308.png"/><Relationship Id="rId1328" Type="http://schemas.openxmlformats.org/officeDocument/2006/relationships/image" Target="media/image1309.png"/><Relationship Id="rId1329" Type="http://schemas.openxmlformats.org/officeDocument/2006/relationships/image" Target="media/image1310.png"/><Relationship Id="rId1330" Type="http://schemas.openxmlformats.org/officeDocument/2006/relationships/image" Target="media/image1311.png"/><Relationship Id="rId1331" Type="http://schemas.openxmlformats.org/officeDocument/2006/relationships/image" Target="media/image1312.png"/><Relationship Id="rId1332" Type="http://schemas.openxmlformats.org/officeDocument/2006/relationships/image" Target="media/image1313.png"/><Relationship Id="rId1333" Type="http://schemas.openxmlformats.org/officeDocument/2006/relationships/image" Target="media/image1314.png"/><Relationship Id="rId1334" Type="http://schemas.openxmlformats.org/officeDocument/2006/relationships/image" Target="media/image1315.png"/><Relationship Id="rId1335" Type="http://schemas.openxmlformats.org/officeDocument/2006/relationships/image" Target="media/image1316.png"/><Relationship Id="rId1336" Type="http://schemas.openxmlformats.org/officeDocument/2006/relationships/image" Target="media/image1317.png"/><Relationship Id="rId1337" Type="http://schemas.openxmlformats.org/officeDocument/2006/relationships/image" Target="media/image1318.png"/><Relationship Id="rId1338" Type="http://schemas.openxmlformats.org/officeDocument/2006/relationships/image" Target="media/image1319.png"/><Relationship Id="rId1339" Type="http://schemas.openxmlformats.org/officeDocument/2006/relationships/image" Target="media/image1320.png"/><Relationship Id="rId1340" Type="http://schemas.openxmlformats.org/officeDocument/2006/relationships/image" Target="media/image1321.png"/><Relationship Id="rId1341" Type="http://schemas.openxmlformats.org/officeDocument/2006/relationships/image" Target="media/image1322.png"/><Relationship Id="rId1342" Type="http://schemas.openxmlformats.org/officeDocument/2006/relationships/image" Target="media/image1323.png"/><Relationship Id="rId1343" Type="http://schemas.openxmlformats.org/officeDocument/2006/relationships/image" Target="media/image1324.png"/><Relationship Id="rId1344" Type="http://schemas.openxmlformats.org/officeDocument/2006/relationships/image" Target="media/image1325.png"/><Relationship Id="rId1345" Type="http://schemas.openxmlformats.org/officeDocument/2006/relationships/image" Target="media/image1326.png"/><Relationship Id="rId1346" Type="http://schemas.openxmlformats.org/officeDocument/2006/relationships/image" Target="media/image1327.png"/><Relationship Id="rId1347" Type="http://schemas.openxmlformats.org/officeDocument/2006/relationships/image" Target="media/image1328.png"/><Relationship Id="rId1348" Type="http://schemas.openxmlformats.org/officeDocument/2006/relationships/image" Target="media/image1329.png"/><Relationship Id="rId1349" Type="http://schemas.openxmlformats.org/officeDocument/2006/relationships/image" Target="media/image1330.png"/><Relationship Id="rId1350" Type="http://schemas.openxmlformats.org/officeDocument/2006/relationships/image" Target="media/image1331.png"/><Relationship Id="rId1351" Type="http://schemas.openxmlformats.org/officeDocument/2006/relationships/image" Target="media/image1332.png"/><Relationship Id="rId1352" Type="http://schemas.openxmlformats.org/officeDocument/2006/relationships/image" Target="media/image1333.png"/><Relationship Id="rId1353" Type="http://schemas.openxmlformats.org/officeDocument/2006/relationships/image" Target="media/image1334.png"/><Relationship Id="rId1354" Type="http://schemas.openxmlformats.org/officeDocument/2006/relationships/image" Target="media/image1335.png"/><Relationship Id="rId1355" Type="http://schemas.openxmlformats.org/officeDocument/2006/relationships/image" Target="media/image1336.png"/><Relationship Id="rId1356" Type="http://schemas.openxmlformats.org/officeDocument/2006/relationships/image" Target="media/image1337.png"/><Relationship Id="rId1357" Type="http://schemas.openxmlformats.org/officeDocument/2006/relationships/image" Target="media/image1338.png"/><Relationship Id="rId1358" Type="http://schemas.openxmlformats.org/officeDocument/2006/relationships/image" Target="media/image1339.png"/><Relationship Id="rId1359" Type="http://schemas.openxmlformats.org/officeDocument/2006/relationships/image" Target="media/image1340.png"/><Relationship Id="rId1360" Type="http://schemas.openxmlformats.org/officeDocument/2006/relationships/image" Target="media/image1341.png"/><Relationship Id="rId1361" Type="http://schemas.openxmlformats.org/officeDocument/2006/relationships/image" Target="media/image1342.png"/><Relationship Id="rId1362" Type="http://schemas.openxmlformats.org/officeDocument/2006/relationships/image" Target="media/image1343.png"/><Relationship Id="rId1363" Type="http://schemas.openxmlformats.org/officeDocument/2006/relationships/image" Target="media/image1344.png"/><Relationship Id="rId1364" Type="http://schemas.openxmlformats.org/officeDocument/2006/relationships/image" Target="media/image1345.png"/><Relationship Id="rId1365" Type="http://schemas.openxmlformats.org/officeDocument/2006/relationships/image" Target="media/image1346.png"/><Relationship Id="rId1366" Type="http://schemas.openxmlformats.org/officeDocument/2006/relationships/image" Target="media/image1347.png"/><Relationship Id="rId1367" Type="http://schemas.openxmlformats.org/officeDocument/2006/relationships/image" Target="media/image1348.png"/><Relationship Id="rId1368" Type="http://schemas.openxmlformats.org/officeDocument/2006/relationships/image" Target="media/image1349.png"/><Relationship Id="rId1369" Type="http://schemas.openxmlformats.org/officeDocument/2006/relationships/image" Target="media/image1350.png"/><Relationship Id="rId1370" Type="http://schemas.openxmlformats.org/officeDocument/2006/relationships/image" Target="media/image1351.png"/><Relationship Id="rId1371" Type="http://schemas.openxmlformats.org/officeDocument/2006/relationships/image" Target="media/image1352.png"/><Relationship Id="rId1372" Type="http://schemas.openxmlformats.org/officeDocument/2006/relationships/image" Target="media/image1353.png"/><Relationship Id="rId1373" Type="http://schemas.openxmlformats.org/officeDocument/2006/relationships/image" Target="media/image1354.png"/><Relationship Id="rId1374" Type="http://schemas.openxmlformats.org/officeDocument/2006/relationships/image" Target="media/image1355.png"/><Relationship Id="rId1375" Type="http://schemas.openxmlformats.org/officeDocument/2006/relationships/image" Target="media/image1356.png"/><Relationship Id="rId1376" Type="http://schemas.openxmlformats.org/officeDocument/2006/relationships/image" Target="media/image1357.png"/><Relationship Id="rId1377" Type="http://schemas.openxmlformats.org/officeDocument/2006/relationships/image" Target="media/image1358.png"/><Relationship Id="rId1378" Type="http://schemas.openxmlformats.org/officeDocument/2006/relationships/image" Target="media/image1359.png"/><Relationship Id="rId1379" Type="http://schemas.openxmlformats.org/officeDocument/2006/relationships/image" Target="media/image1360.png"/><Relationship Id="rId1380" Type="http://schemas.openxmlformats.org/officeDocument/2006/relationships/image" Target="media/image1361.png"/><Relationship Id="rId1381" Type="http://schemas.openxmlformats.org/officeDocument/2006/relationships/image" Target="media/image1362.png"/><Relationship Id="rId1382" Type="http://schemas.openxmlformats.org/officeDocument/2006/relationships/image" Target="media/image1363.png"/><Relationship Id="rId1383" Type="http://schemas.openxmlformats.org/officeDocument/2006/relationships/image" Target="media/image1364.png"/><Relationship Id="rId1384" Type="http://schemas.openxmlformats.org/officeDocument/2006/relationships/image" Target="media/image1365.png"/><Relationship Id="rId1385" Type="http://schemas.openxmlformats.org/officeDocument/2006/relationships/image" Target="media/image1366.png"/><Relationship Id="rId1386" Type="http://schemas.openxmlformats.org/officeDocument/2006/relationships/image" Target="media/image1367.png"/><Relationship Id="rId1387" Type="http://schemas.openxmlformats.org/officeDocument/2006/relationships/image" Target="media/image1368.png"/><Relationship Id="rId1388" Type="http://schemas.openxmlformats.org/officeDocument/2006/relationships/image" Target="media/image1369.png"/><Relationship Id="rId1389" Type="http://schemas.openxmlformats.org/officeDocument/2006/relationships/image" Target="media/image1370.png"/><Relationship Id="rId1390" Type="http://schemas.openxmlformats.org/officeDocument/2006/relationships/image" Target="media/image1371.png"/><Relationship Id="rId1391" Type="http://schemas.openxmlformats.org/officeDocument/2006/relationships/image" Target="media/image1372.png"/><Relationship Id="rId1392" Type="http://schemas.openxmlformats.org/officeDocument/2006/relationships/image" Target="media/image1373.png"/><Relationship Id="rId1393" Type="http://schemas.openxmlformats.org/officeDocument/2006/relationships/image" Target="media/image1374.png"/><Relationship Id="rId1394" Type="http://schemas.openxmlformats.org/officeDocument/2006/relationships/image" Target="media/image1375.png"/><Relationship Id="rId1395" Type="http://schemas.openxmlformats.org/officeDocument/2006/relationships/image" Target="media/image1376.png"/><Relationship Id="rId1396" Type="http://schemas.openxmlformats.org/officeDocument/2006/relationships/image" Target="media/image1377.png"/><Relationship Id="rId1397" Type="http://schemas.openxmlformats.org/officeDocument/2006/relationships/image" Target="media/image1378.png"/><Relationship Id="rId1398" Type="http://schemas.openxmlformats.org/officeDocument/2006/relationships/image" Target="media/image1379.png"/><Relationship Id="rId1399" Type="http://schemas.openxmlformats.org/officeDocument/2006/relationships/image" Target="media/image1380.png"/><Relationship Id="rId1400" Type="http://schemas.openxmlformats.org/officeDocument/2006/relationships/image" Target="media/image1381.png"/><Relationship Id="rId1401" Type="http://schemas.openxmlformats.org/officeDocument/2006/relationships/image" Target="media/image1382.png"/><Relationship Id="rId1402" Type="http://schemas.openxmlformats.org/officeDocument/2006/relationships/image" Target="media/image1383.png"/><Relationship Id="rId1403" Type="http://schemas.openxmlformats.org/officeDocument/2006/relationships/image" Target="media/image1384.png"/><Relationship Id="rId1404" Type="http://schemas.openxmlformats.org/officeDocument/2006/relationships/image" Target="media/image1385.png"/><Relationship Id="rId1405" Type="http://schemas.openxmlformats.org/officeDocument/2006/relationships/image" Target="media/image1386.png"/><Relationship Id="rId1406" Type="http://schemas.openxmlformats.org/officeDocument/2006/relationships/image" Target="media/image1387.png"/><Relationship Id="rId1407" Type="http://schemas.openxmlformats.org/officeDocument/2006/relationships/image" Target="media/image1388.png"/><Relationship Id="rId1408" Type="http://schemas.openxmlformats.org/officeDocument/2006/relationships/image" Target="media/image1389.png"/><Relationship Id="rId1409" Type="http://schemas.openxmlformats.org/officeDocument/2006/relationships/image" Target="media/image1390.png"/><Relationship Id="rId1410" Type="http://schemas.openxmlformats.org/officeDocument/2006/relationships/image" Target="media/image1391.png"/><Relationship Id="rId1411" Type="http://schemas.openxmlformats.org/officeDocument/2006/relationships/image" Target="media/image1392.png"/><Relationship Id="rId1412" Type="http://schemas.openxmlformats.org/officeDocument/2006/relationships/image" Target="media/image1393.png"/><Relationship Id="rId1413" Type="http://schemas.openxmlformats.org/officeDocument/2006/relationships/image" Target="media/image1394.png"/><Relationship Id="rId1414" Type="http://schemas.openxmlformats.org/officeDocument/2006/relationships/image" Target="media/image1395.png"/><Relationship Id="rId1415" Type="http://schemas.openxmlformats.org/officeDocument/2006/relationships/image" Target="media/image1396.png"/><Relationship Id="rId1416" Type="http://schemas.openxmlformats.org/officeDocument/2006/relationships/image" Target="media/image1397.png"/><Relationship Id="rId1417" Type="http://schemas.openxmlformats.org/officeDocument/2006/relationships/image" Target="media/image1398.png"/><Relationship Id="rId1418" Type="http://schemas.openxmlformats.org/officeDocument/2006/relationships/image" Target="media/image1399.png"/><Relationship Id="rId1419" Type="http://schemas.openxmlformats.org/officeDocument/2006/relationships/image" Target="media/image1400.png"/><Relationship Id="rId1420" Type="http://schemas.openxmlformats.org/officeDocument/2006/relationships/image" Target="media/image1401.png"/><Relationship Id="rId1421" Type="http://schemas.openxmlformats.org/officeDocument/2006/relationships/image" Target="media/image1402.png"/><Relationship Id="rId1422" Type="http://schemas.openxmlformats.org/officeDocument/2006/relationships/image" Target="media/image1403.png"/><Relationship Id="rId1423" Type="http://schemas.openxmlformats.org/officeDocument/2006/relationships/image" Target="media/image1404.png"/><Relationship Id="rId1424" Type="http://schemas.openxmlformats.org/officeDocument/2006/relationships/image" Target="media/image1405.png"/><Relationship Id="rId1425" Type="http://schemas.openxmlformats.org/officeDocument/2006/relationships/image" Target="media/image1406.png"/><Relationship Id="rId1426" Type="http://schemas.openxmlformats.org/officeDocument/2006/relationships/image" Target="media/image1407.png"/><Relationship Id="rId1427" Type="http://schemas.openxmlformats.org/officeDocument/2006/relationships/image" Target="media/image1408.png"/><Relationship Id="rId1428" Type="http://schemas.openxmlformats.org/officeDocument/2006/relationships/image" Target="media/image1409.png"/><Relationship Id="rId1429" Type="http://schemas.openxmlformats.org/officeDocument/2006/relationships/image" Target="media/image1410.png"/><Relationship Id="rId1430" Type="http://schemas.openxmlformats.org/officeDocument/2006/relationships/image" Target="media/image1411.png"/><Relationship Id="rId1431" Type="http://schemas.openxmlformats.org/officeDocument/2006/relationships/image" Target="media/image1412.png"/><Relationship Id="rId1432" Type="http://schemas.openxmlformats.org/officeDocument/2006/relationships/image" Target="media/image1413.png"/><Relationship Id="rId1433" Type="http://schemas.openxmlformats.org/officeDocument/2006/relationships/image" Target="media/image1414.png"/><Relationship Id="rId1434" Type="http://schemas.openxmlformats.org/officeDocument/2006/relationships/image" Target="media/image1415.png"/><Relationship Id="rId1435" Type="http://schemas.openxmlformats.org/officeDocument/2006/relationships/image" Target="media/image1416.png"/><Relationship Id="rId1436" Type="http://schemas.openxmlformats.org/officeDocument/2006/relationships/image" Target="media/image1417.png"/><Relationship Id="rId1437" Type="http://schemas.openxmlformats.org/officeDocument/2006/relationships/image" Target="media/image1418.png"/><Relationship Id="rId1438" Type="http://schemas.openxmlformats.org/officeDocument/2006/relationships/image" Target="media/image1419.png"/><Relationship Id="rId1439" Type="http://schemas.openxmlformats.org/officeDocument/2006/relationships/image" Target="media/image1420.png"/><Relationship Id="rId1440" Type="http://schemas.openxmlformats.org/officeDocument/2006/relationships/image" Target="media/image1421.png"/><Relationship Id="rId1441" Type="http://schemas.openxmlformats.org/officeDocument/2006/relationships/image" Target="media/image1422.png"/><Relationship Id="rId1442" Type="http://schemas.openxmlformats.org/officeDocument/2006/relationships/image" Target="media/image1423.png"/><Relationship Id="rId1443" Type="http://schemas.openxmlformats.org/officeDocument/2006/relationships/image" Target="media/image1424.png"/><Relationship Id="rId1444" Type="http://schemas.openxmlformats.org/officeDocument/2006/relationships/image" Target="media/image1425.png"/><Relationship Id="rId1445" Type="http://schemas.openxmlformats.org/officeDocument/2006/relationships/image" Target="media/image1426.png"/><Relationship Id="rId1446" Type="http://schemas.openxmlformats.org/officeDocument/2006/relationships/image" Target="media/image1427.png"/><Relationship Id="rId1447" Type="http://schemas.openxmlformats.org/officeDocument/2006/relationships/image" Target="media/image1428.png"/><Relationship Id="rId1448" Type="http://schemas.openxmlformats.org/officeDocument/2006/relationships/image" Target="media/image1429.png"/><Relationship Id="rId1449" Type="http://schemas.openxmlformats.org/officeDocument/2006/relationships/image" Target="media/image1430.png"/><Relationship Id="rId1450" Type="http://schemas.openxmlformats.org/officeDocument/2006/relationships/image" Target="media/image1431.png"/><Relationship Id="rId1451" Type="http://schemas.openxmlformats.org/officeDocument/2006/relationships/image" Target="media/image1432.png"/><Relationship Id="rId1452" Type="http://schemas.openxmlformats.org/officeDocument/2006/relationships/image" Target="media/image1433.png"/><Relationship Id="rId1453" Type="http://schemas.openxmlformats.org/officeDocument/2006/relationships/image" Target="media/image1434.png"/><Relationship Id="rId1454" Type="http://schemas.openxmlformats.org/officeDocument/2006/relationships/image" Target="media/image1435.png"/><Relationship Id="rId1455" Type="http://schemas.openxmlformats.org/officeDocument/2006/relationships/image" Target="media/image1436.png"/><Relationship Id="rId1456" Type="http://schemas.openxmlformats.org/officeDocument/2006/relationships/image" Target="media/image1437.png"/><Relationship Id="rId1457" Type="http://schemas.openxmlformats.org/officeDocument/2006/relationships/image" Target="media/image1438.png"/><Relationship Id="rId1458" Type="http://schemas.openxmlformats.org/officeDocument/2006/relationships/image" Target="media/image1439.png"/><Relationship Id="rId1459" Type="http://schemas.openxmlformats.org/officeDocument/2006/relationships/image" Target="media/image1440.png"/><Relationship Id="rId1460" Type="http://schemas.openxmlformats.org/officeDocument/2006/relationships/image" Target="media/image1441.png"/><Relationship Id="rId1461" Type="http://schemas.openxmlformats.org/officeDocument/2006/relationships/image" Target="media/image1442.png"/><Relationship Id="rId1462" Type="http://schemas.openxmlformats.org/officeDocument/2006/relationships/image" Target="media/image1443.png"/><Relationship Id="rId1463" Type="http://schemas.openxmlformats.org/officeDocument/2006/relationships/image" Target="media/image1444.png"/><Relationship Id="rId1464" Type="http://schemas.openxmlformats.org/officeDocument/2006/relationships/image" Target="media/image1445.png"/><Relationship Id="rId1465" Type="http://schemas.openxmlformats.org/officeDocument/2006/relationships/image" Target="media/image1446.png"/><Relationship Id="rId1466" Type="http://schemas.openxmlformats.org/officeDocument/2006/relationships/image" Target="media/image1447.png"/><Relationship Id="rId1467" Type="http://schemas.openxmlformats.org/officeDocument/2006/relationships/image" Target="media/image1448.png"/><Relationship Id="rId1468" Type="http://schemas.openxmlformats.org/officeDocument/2006/relationships/image" Target="media/image1449.png"/><Relationship Id="rId1469" Type="http://schemas.openxmlformats.org/officeDocument/2006/relationships/image" Target="media/image1450.png"/><Relationship Id="rId1470" Type="http://schemas.openxmlformats.org/officeDocument/2006/relationships/image" Target="media/image1451.png"/><Relationship Id="rId1471" Type="http://schemas.openxmlformats.org/officeDocument/2006/relationships/image" Target="media/image1452.png"/><Relationship Id="rId1472" Type="http://schemas.openxmlformats.org/officeDocument/2006/relationships/image" Target="media/image1453.png"/><Relationship Id="rId1473" Type="http://schemas.openxmlformats.org/officeDocument/2006/relationships/image" Target="media/image1454.png"/><Relationship Id="rId1474" Type="http://schemas.openxmlformats.org/officeDocument/2006/relationships/image" Target="media/image1455.png"/><Relationship Id="rId1475" Type="http://schemas.openxmlformats.org/officeDocument/2006/relationships/image" Target="media/image1456.png"/><Relationship Id="rId1476" Type="http://schemas.openxmlformats.org/officeDocument/2006/relationships/image" Target="media/image1457.png"/><Relationship Id="rId1477" Type="http://schemas.openxmlformats.org/officeDocument/2006/relationships/image" Target="media/image1458.png"/><Relationship Id="rId1478" Type="http://schemas.openxmlformats.org/officeDocument/2006/relationships/image" Target="media/image1459.png"/><Relationship Id="rId1479" Type="http://schemas.openxmlformats.org/officeDocument/2006/relationships/image" Target="media/image1460.png"/><Relationship Id="rId1480" Type="http://schemas.openxmlformats.org/officeDocument/2006/relationships/image" Target="media/image1461.png"/><Relationship Id="rId1481" Type="http://schemas.openxmlformats.org/officeDocument/2006/relationships/image" Target="media/image1462.png"/><Relationship Id="rId1482" Type="http://schemas.openxmlformats.org/officeDocument/2006/relationships/image" Target="media/image1463.png"/><Relationship Id="rId1483" Type="http://schemas.openxmlformats.org/officeDocument/2006/relationships/image" Target="media/image1464.png"/><Relationship Id="rId1484" Type="http://schemas.openxmlformats.org/officeDocument/2006/relationships/image" Target="media/image1465.png"/><Relationship Id="rId1485" Type="http://schemas.openxmlformats.org/officeDocument/2006/relationships/image" Target="media/image1466.png"/><Relationship Id="rId1486" Type="http://schemas.openxmlformats.org/officeDocument/2006/relationships/image" Target="media/image1467.png"/><Relationship Id="rId1487" Type="http://schemas.openxmlformats.org/officeDocument/2006/relationships/image" Target="media/image1468.png"/><Relationship Id="rId1488" Type="http://schemas.openxmlformats.org/officeDocument/2006/relationships/image" Target="media/image1469.png"/><Relationship Id="rId1489" Type="http://schemas.openxmlformats.org/officeDocument/2006/relationships/image" Target="media/image1470.png"/><Relationship Id="rId1490" Type="http://schemas.openxmlformats.org/officeDocument/2006/relationships/image" Target="media/image1471.png"/><Relationship Id="rId1491" Type="http://schemas.openxmlformats.org/officeDocument/2006/relationships/image" Target="media/image1472.png"/><Relationship Id="rId1492" Type="http://schemas.openxmlformats.org/officeDocument/2006/relationships/image" Target="media/image1473.png"/><Relationship Id="rId1493" Type="http://schemas.openxmlformats.org/officeDocument/2006/relationships/image" Target="media/image1474.png"/><Relationship Id="rId1494" Type="http://schemas.openxmlformats.org/officeDocument/2006/relationships/image" Target="media/image1475.png"/><Relationship Id="rId1495" Type="http://schemas.openxmlformats.org/officeDocument/2006/relationships/image" Target="media/image1476.png"/><Relationship Id="rId1496" Type="http://schemas.openxmlformats.org/officeDocument/2006/relationships/image" Target="media/image1477.png"/><Relationship Id="rId95" Type="http://schemas.openxmlformats.org/officeDocument/2006/relationships/hyperlink" Target="https://www.sec.gov/Archives/edgar/data/912767/000155837024007280/ufpi-20240330xex3da.htm" TargetMode="External"/><Relationship Id="rId96" Type="http://schemas.openxmlformats.org/officeDocument/2006/relationships/hyperlink" Target="http://www.sec.gov/Archives/edgar/data/912767/000091276717000007/ufpi-20161231xexhibit3b.htm" TargetMode="External"/><Relationship Id="rId97" Type="http://schemas.openxmlformats.org/officeDocument/2006/relationships/hyperlink" Target="https://www.sec.gov/Archives/edgar/data/912767/000091276718000029/ufpi-20181102xex10.htm" TargetMode="External"/><Relationship Id="rId98" Type="http://schemas.openxmlformats.org/officeDocument/2006/relationships/hyperlink" Target="https://www.sec.gov/Archives/edgar/data/912767/000155837021005886/ufpi-20210327xex10da.htm" TargetMode="External"/><Relationship Id="rId99" Type="http://schemas.openxmlformats.org/officeDocument/2006/relationships/hyperlink" Target="https://www.sec.gov/Archives/edgar/data/912767/000091276722000041/ufpi-20221206xex10.htm" TargetMode="External"/><Relationship Id="rId100" Type="http://schemas.openxmlformats.org/officeDocument/2006/relationships/hyperlink" Target="https://www.sec.gov/Archives/edgar/data/912767/000155837024001963/ufpi-20231230xex10daiii.htm" TargetMode="External"/><Relationship Id="rId101" Type="http://schemas.openxmlformats.org/officeDocument/2006/relationships/hyperlink" Target="https://www.sec.gov/Archives/edgar/data/912767/000155837024001963/ufpi-20231230xex10de.htm" TargetMode="External"/><Relationship Id="rId102" Type="http://schemas.openxmlformats.org/officeDocument/2006/relationships/hyperlink" Target="https://www.sec.gov/Archives/edgar/data/912767/000155837024001963/ufpi-20231230xex10df.htm" TargetMode="External"/><Relationship Id="rId103" Type="http://schemas.openxmlformats.org/officeDocument/2006/relationships/hyperlink" Target="https://www.sec.gov/Archives/edgar/data/912767/000155837024001963/ufpi-20231230xex10dh.htm" TargetMode="External"/><Relationship Id="rId104" Type="http://schemas.openxmlformats.org/officeDocument/2006/relationships/hyperlink" Target="https://www.sec.gov/Archives/edgar/data/912767/000155837025001595/ufpi-20241228xex10di.htm" TargetMode="External"/><Relationship Id="rId105" Type="http://schemas.openxmlformats.org/officeDocument/2006/relationships/hyperlink" Target="https://www.sec.gov/Archives/edgar/data/912767/000155837025001595/ufpi-20241228xex19.htm" TargetMode="External"/><Relationship Id="rId106" Type="http://schemas.openxmlformats.org/officeDocument/2006/relationships/hyperlink" Target="https://www.sec.gov/Archives/edgar/data/912767/000155837024001963/ufpi-20231230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2026-02-25T13:12:15Z</dcterms:created>
  <dcterms:modified xsi:type="dcterms:W3CDTF">2026-02-25T13:12:15Z</dcterms:modified>
</cp:coreProperties>
</file>