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26, 2020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u w:val="single" w:color="auto"/>
                <w:color w:val="auto"/>
                <w:w w:val="99"/>
              </w:rPr>
              <w:t>(616)</w:t>
            </w:r>
            <w:r>
              <w:rPr>
                <w:rFonts w:ascii="Times New Roman" w:cs="Times New Roman" w:eastAsia="Times New Roman" w:hAnsi="Times New Roman"/>
                <w:sz w:val="18"/>
                <w:szCs w:val="18"/>
                <w:color w:val="auto"/>
                <w:w w:val="99"/>
              </w:rPr>
              <w:t xml:space="preserve">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53"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both"/>
        <w:ind w:right="800"/>
        <w:spacing w:after="0" w:line="25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1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7"/>
              </w:rPr>
              <w:t>Class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September 26, 2020</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61,186,636</w:t>
            </w:r>
          </w:p>
        </w:tc>
      </w:tr>
    </w:tbl>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10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UFP INDUSTRIES, INC.</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10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32"/>
        </w:trPr>
        <w:tc>
          <w:tcPr>
            <w:tcW w:w="1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5"/>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September 26, 2020, December 28, 2019 and</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shd w:val="clear" w:color="auto" w:fill="CCEEFF"/>
          </w:tcPr>
          <w:p>
            <w:pPr>
              <w:spacing w:after="0"/>
              <w:rPr>
                <w:sz w:val="18"/>
                <w:szCs w:val="18"/>
                <w:color w:val="auto"/>
              </w:rPr>
            </w:pPr>
          </w:p>
        </w:tc>
        <w:tc>
          <w:tcPr>
            <w:tcW w:w="6560" w:type="dxa"/>
            <w:vAlign w:val="bottom"/>
            <w:gridSpan w:val="6"/>
            <w:shd w:val="clear" w:color="auto" w:fill="CCEEFF"/>
          </w:tcPr>
          <w:p>
            <w:pPr>
              <w:ind w:left="2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September 28, 2019</w:t>
              </w:r>
            </w:hyperlink>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shd w:val="clear" w:color="auto" w:fill="CCEEFF"/>
          </w:tcPr>
          <w:p>
            <w:pPr>
              <w:spacing w:after="0"/>
              <w:rPr>
                <w:sz w:val="15"/>
                <w:szCs w:val="15"/>
                <w:color w:val="auto"/>
              </w:rPr>
            </w:pPr>
          </w:p>
        </w:tc>
        <w:tc>
          <w:tcPr>
            <w:tcW w:w="6560" w:type="dxa"/>
            <w:vAlign w:val="bottom"/>
            <w:gridSpan w:val="6"/>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58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0000EE"/>
            </w:tcBorders>
            <w:gridSpan w:val="4"/>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Three and Nine Months Ended September 26, 2020 and September 28, 2019</w:t>
              </w:r>
            </w:hyperlink>
          </w:p>
        </w:tc>
        <w:tc>
          <w:tcPr>
            <w:tcW w:w="60" w:type="dxa"/>
            <w:vAlign w:val="bottom"/>
            <w:tcBorders>
              <w:top w:val="single" w:sz="8" w:color="CCEEFF"/>
            </w:tcBorders>
            <w:gridSpan w:val="2"/>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5"/>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  for  the  Three  and</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6"/>
            <w:shd w:val="clear" w:color="auto" w:fill="CCEEFF"/>
          </w:tcPr>
          <w:p>
            <w:pPr>
              <w:ind w:left="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Nine Months Ended September 26, 2020 and September 28, 2019</w:t>
              </w:r>
            </w:hyperlink>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shd w:val="clear" w:color="auto" w:fill="CCEEFF"/>
          </w:tcPr>
          <w:p>
            <w:pPr>
              <w:spacing w:after="0"/>
              <w:rPr>
                <w:sz w:val="15"/>
                <w:szCs w:val="15"/>
                <w:color w:val="auto"/>
              </w:rPr>
            </w:pPr>
          </w:p>
        </w:tc>
        <w:tc>
          <w:tcPr>
            <w:tcW w:w="6560" w:type="dxa"/>
            <w:vAlign w:val="bottom"/>
            <w:gridSpan w:val="6"/>
            <w:shd w:val="clear" w:color="auto" w:fill="CCEEFF"/>
          </w:tcPr>
          <w:p>
            <w:pPr>
              <w:ind w:left="2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w:t>
              </w:r>
            </w:hyperlink>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4"/>
            <w:shd w:val="clear" w:color="auto" w:fill="CCEEFF"/>
          </w:tcPr>
          <w:p>
            <w:pPr>
              <w:ind w:left="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September 26, 2020 and September 28, 2019</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6"/>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4.   Controls and Procedures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Risk Factors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7"/>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Item 5.   Other Information – NONE</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Item 6.</w:t>
              </w:r>
            </w:hyperlink>
          </w:p>
        </w:tc>
        <w:tc>
          <w:tcPr>
            <w:tcW w:w="6560" w:type="dxa"/>
            <w:vAlign w:val="bottom"/>
            <w:gridSpan w:val="6"/>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Exhibits</w:t>
              </w:r>
            </w:hyperlink>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878"/>
        </w:trPr>
        <w:tc>
          <w:tcPr>
            <w:tcW w:w="1580" w:type="dxa"/>
            <w:vAlign w:val="bottom"/>
          </w:tcPr>
          <w:p>
            <w:pPr>
              <w:spacing w:after="0"/>
              <w:rPr>
                <w:sz w:val="24"/>
                <w:szCs w:val="24"/>
                <w:color w:val="auto"/>
              </w:rPr>
            </w:pPr>
          </w:p>
        </w:tc>
        <w:tc>
          <w:tcPr>
            <w:tcW w:w="324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5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220" w:type="dxa"/>
            <w:vAlign w:val="bottom"/>
          </w:tcPr>
          <w:p>
            <w:pPr>
              <w:spacing w:after="0"/>
              <w:rPr>
                <w:sz w:val="16"/>
                <w:szCs w:val="16"/>
                <w:color w:val="auto"/>
              </w:rPr>
            </w:pPr>
          </w:p>
        </w:tc>
        <w:tc>
          <w:tcPr>
            <w:tcW w:w="9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6"/>
                <w:szCs w:val="16"/>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07"/>
        </w:trPr>
        <w:tc>
          <w:tcPr>
            <w:tcW w:w="4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346,154</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168,336</w:t>
            </w:r>
          </w:p>
        </w:tc>
        <w:tc>
          <w:tcPr>
            <w:tcW w:w="400" w:type="dxa"/>
            <w:vAlign w:val="bottom"/>
            <w:gridSpan w:val="2"/>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583,079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242,316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250,591</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239,771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528,734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486,874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479,356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41,706</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54,295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1,512,109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1,093,072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245,925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935,639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884,963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(529,644)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(497,789)</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(495,267)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405,995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387,174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385,007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5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2,350,620</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1,889,477</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1,880,625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4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231,111</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142,479</w:t>
            </w:r>
          </w:p>
        </w:tc>
        <w:tc>
          <w:tcPr>
            <w:tcW w:w="40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141,892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69,888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2,816</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493,604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354,042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64,884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47,367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29,071</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936,816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631,744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651,522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74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74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4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80,000,000; issued and</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61,187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61,409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61,186,636, 61,408,589 and 61,390,216</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192,173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1,127,375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995,022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969,564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(4,889)</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1,397,590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1,243,715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1,215,459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14,018</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1,413,804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1,257,733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1,229,103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5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2,350,620</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1,889,477</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1,880,625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6"/>
                <w:szCs w:val="16"/>
                <w:color w:val="auto"/>
              </w:rPr>
            </w:pPr>
          </w:p>
        </w:tc>
        <w:tc>
          <w:tcPr>
            <w:tcW w:w="2040" w:type="dxa"/>
            <w:vAlign w:val="bottom"/>
            <w:gridSpan w:val="3"/>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08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$ 1,486,227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$ 1,163,026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$ 3,760,290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$ 3,417,969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1,245,153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975,756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3,147,049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2,889,706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613,241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357,770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106,601</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70,467</w:t>
            </w: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257,591</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193,150</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ON INVESTMENTS AND 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921</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1,490</w:t>
            </w: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4,668</w:t>
            </w:r>
          </w:p>
        </w:tc>
        <w:tc>
          <w:tcPr>
            <w:tcW w:w="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4,082</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0" w:right="1440" w:bottom="1440" w:gutter="0" w:footer="0" w:header="0"/>
        </w:sectPr>
      </w:pPr>
    </w:p>
    <w:p>
      <w:pPr>
        <w:ind w:left="60" w:right="760"/>
        <w:spacing w:after="0" w:line="260" w:lineRule="auto"/>
        <w:rPr>
          <w:sz w:val="20"/>
          <w:szCs w:val="20"/>
          <w:color w:val="auto"/>
        </w:rPr>
      </w:pPr>
      <w:r>
        <w:rPr>
          <w:rFonts w:ascii="Times New Roman" w:cs="Times New Roman" w:eastAsia="Times New Roman" w:hAnsi="Times New Roman"/>
          <w:sz w:val="16"/>
          <w:szCs w:val="16"/>
          <w:color w:val="auto"/>
        </w:rPr>
        <w:t>LESS NET EARNINGS ATTRIBUTABLE TO NONCONTROLLING INTEREST</w:t>
      </w:r>
    </w:p>
    <w:p>
      <w:pPr>
        <w:ind w:left="60"/>
        <w:spacing w:after="0" w:line="288" w:lineRule="auto"/>
        <w:rPr>
          <w:sz w:val="20"/>
          <w:szCs w:val="20"/>
          <w:color w:val="auto"/>
        </w:rPr>
      </w:pPr>
      <w:r>
        <w:rPr>
          <w:rFonts w:ascii="Times New Roman" w:cs="Times New Roman" w:eastAsia="Times New Roman" w:hAnsi="Times New Roman"/>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420"/>
        <w:spacing w:after="0"/>
        <w:tabs>
          <w:tab w:leader="none" w:pos="1640" w:val="left"/>
          <w:tab w:leader="none" w:pos="2600" w:val="left"/>
          <w:tab w:leader="none" w:pos="3720" w:val="left"/>
        </w:tabs>
        <w:rPr>
          <w:sz w:val="20"/>
          <w:szCs w:val="20"/>
          <w:color w:val="auto"/>
        </w:rPr>
      </w:pPr>
      <w:r>
        <w:rPr>
          <w:rFonts w:ascii="Times New Roman" w:cs="Times New Roman" w:eastAsia="Times New Roman" w:hAnsi="Times New Roman"/>
          <w:sz w:val="18"/>
          <w:szCs w:val="18"/>
          <w:color w:val="auto"/>
        </w:rPr>
        <w:t>(1,657)</w:t>
      </w:r>
      <w:r>
        <w:rPr>
          <w:sz w:val="20"/>
          <w:szCs w:val="20"/>
          <w:color w:val="auto"/>
        </w:rPr>
        <w:tab/>
      </w: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color w:val="auto"/>
        </w:rPr>
        <w:t>(5,299)</w:t>
      </w:r>
      <w:r>
        <w:rPr>
          <w:sz w:val="20"/>
          <w:szCs w:val="20"/>
          <w:color w:val="auto"/>
        </w:rPr>
        <w:tab/>
      </w:r>
      <w:r>
        <w:rPr>
          <w:rFonts w:ascii="Times New Roman" w:cs="Times New Roman" w:eastAsia="Times New Roman" w:hAnsi="Times New Roman"/>
          <w:sz w:val="17"/>
          <w:szCs w:val="17"/>
          <w:color w:val="auto"/>
        </w:rPr>
        <w:t>(1,814)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17145</wp:posOffset>
            </wp:positionV>
            <wp:extent cx="564896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 w:leader="none" w:pos="1100" w:val="left"/>
          <w:tab w:leader="none" w:pos="1480" w:val="left"/>
          <w:tab w:leader="none" w:pos="2200" w:val="left"/>
          <w:tab w:leader="none" w:pos="2480" w:val="left"/>
          <w:tab w:leader="none" w:pos="3320" w:val="left"/>
          <w:tab w:leader="none" w:pos="3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77,204</w:t>
        <w:tab/>
        <w:t>$</w:t>
      </w:r>
      <w:r>
        <w:rPr>
          <w:sz w:val="20"/>
          <w:szCs w:val="20"/>
          <w:color w:val="auto"/>
        </w:rPr>
        <w:tab/>
      </w:r>
      <w:r>
        <w:rPr>
          <w:rFonts w:ascii="Times New Roman" w:cs="Times New Roman" w:eastAsia="Times New Roman" w:hAnsi="Times New Roman"/>
          <w:sz w:val="18"/>
          <w:szCs w:val="18"/>
          <w:color w:val="auto"/>
        </w:rPr>
        <w:t>51,859</w:t>
        <w:tab/>
        <w:t>$</w:t>
        <w:tab/>
        <w:t>183,826</w:t>
        <w:tab/>
        <w:t>$</w:t>
      </w:r>
      <w:r>
        <w:rPr>
          <w:sz w:val="20"/>
          <w:szCs w:val="20"/>
          <w:color w:val="auto"/>
        </w:rPr>
        <w:tab/>
      </w:r>
      <w:r>
        <w:rPr>
          <w:rFonts w:ascii="Times New Roman" w:cs="Times New Roman" w:eastAsia="Times New Roman" w:hAnsi="Times New Roman"/>
          <w:sz w:val="17"/>
          <w:szCs w:val="17"/>
          <w:color w:val="auto"/>
        </w:rPr>
        <w:t>141,914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270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3900" w:space="580"/>
            <w:col w:w="4539"/>
          </w:cols>
          <w:pgMar w:left="1440" w:top="540"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LESS COMPREHENSIVE INCOME ATTRIBUTABLE TO</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78,626</w:t>
            </w: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51,023</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181,741</w:t>
            </w: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4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68"/>
        </w:trPr>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28,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192,173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995,022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14,018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1,257,733</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40,570</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(8,286)</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purchase of noncontrolling interest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$0.125 per share - quarterly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10,549 shares under employee stock plans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issuance of 350,124 shares under stock grant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12,805</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89,616 shares under deferred</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756,397 shares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(29,212)</w:t>
            </w: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w:t>
            </w:r>
          </w:p>
        </w:tc>
        <w:tc>
          <w:tcPr>
            <w:tcW w:w="0" w:type="dxa"/>
            <w:vAlign w:val="bottom"/>
          </w:tcPr>
          <w:p>
            <w:pPr>
              <w:spacing w:after="0"/>
              <w:rPr>
                <w:sz w:val="1"/>
                <w:szCs w:val="1"/>
                <w:color w:val="auto"/>
              </w:rPr>
            </w:pPr>
          </w:p>
        </w:tc>
      </w:tr>
      <w:tr>
        <w:trPr>
          <w:trHeight w:val="136"/>
        </w:trPr>
        <w:tc>
          <w:tcPr>
            <w:tcW w:w="33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at March 28,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61,102</w:t>
            </w:r>
          </w:p>
        </w:tc>
        <w:tc>
          <w:tcPr>
            <w:tcW w:w="14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211,724</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998,996</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(11,110)</w:t>
            </w:r>
          </w:p>
        </w:tc>
        <w:tc>
          <w:tcPr>
            <w:tcW w:w="14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11,570</w:t>
            </w:r>
          </w:p>
        </w:tc>
        <w:tc>
          <w:tcPr>
            <w:tcW w:w="14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1,272,282</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69,694</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$0.125 per share - quarterly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(7,644)</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9,714 shares under employee stock plans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issuance of 42,880 shares under stock grant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14,106 shares under deferred</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35"/>
        </w:trPr>
        <w:tc>
          <w:tcPr>
            <w:tcW w:w="33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at June 27,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61,169</w:t>
            </w:r>
          </w:p>
        </w:tc>
        <w:tc>
          <w:tcPr>
            <w:tcW w:w="14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213,809</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1,057,817</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(8,396)</w:t>
            </w:r>
          </w:p>
        </w:tc>
        <w:tc>
          <w:tcPr>
            <w:tcW w:w="14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14,926</w:t>
            </w:r>
          </w:p>
        </w:tc>
        <w:tc>
          <w:tcPr>
            <w:tcW w:w="14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1,339,325</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77,204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78,861</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$0.125 per share - quarterly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(7,646)</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7,511 shares under employee stock plans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 of 1,382 shares under stock grant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11,326 shares under deferred</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48"/>
        </w:trPr>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September 26,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61,187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216,002</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1,127,375</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(6,974)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16,214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1,413,804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1520" w:right="5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 (Unaudited)</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8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29, 2018</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60,884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178,540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839,917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(5,938)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15,281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1,088,684</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Unrealized gain (loss) on investment &amp; 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10,259 shares under employee stock plans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issuance of 320,069 shares under stock grant</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138,295 shares under deferred</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30, 2019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61,352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190,879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875,457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1,138,366</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55,145</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Unrealized gain (loss) on investment &amp; 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 $0.200 per share - semiannually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(12,271)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8,694 shares under employee stock plans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Net forfeiture of 10,819 shares under stock grant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16,433 shares under deferred compensation</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35"/>
        </w:trPr>
        <w:tc>
          <w:tcPr>
            <w:tcW w:w="33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Balance at June 29, 2019</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61,367</w:t>
            </w:r>
          </w:p>
        </w:tc>
        <w:tc>
          <w:tcPr>
            <w:tcW w:w="16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192,783</w:t>
            </w:r>
          </w:p>
        </w:tc>
        <w:tc>
          <w:tcPr>
            <w:tcW w:w="14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917,704</w:t>
            </w:r>
          </w:p>
        </w:tc>
        <w:tc>
          <w:tcPr>
            <w:tcW w:w="16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(4,479)</w:t>
            </w:r>
          </w:p>
        </w:tc>
        <w:tc>
          <w:tcPr>
            <w:tcW w:w="16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15,858</w:t>
            </w:r>
          </w:p>
        </w:tc>
        <w:tc>
          <w:tcPr>
            <w:tcW w:w="16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1,183,233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52,581</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Unrealized gain (loss) on investment &amp; foreign</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purchase of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(1,838)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(6,853)</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 $0.200 per share - semiannually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7,916 shares under employee stock plans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issuance of 1,070 shares under stock grant</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14,550 shares under deferred compensation</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36"/>
        </w:trPr>
        <w:tc>
          <w:tcPr>
            <w:tcW w:w="33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Balance at September 28, 2019</w:t>
            </w: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61,390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189,820</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969,564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(5,315)</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13,644</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1,229,103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189,125</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143,728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 (credit)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(gain) loss on disposition of assets and impairment of assets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(127,841)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105,401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198,080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(67,024)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(38,710)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22,281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(105,985)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421,464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(460,537)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 and other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long-term debt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FROM (USED IN) FINANCING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95,178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(55,223)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178,212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37,029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168,666</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346,878</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65,227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168,336</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168,666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28,198</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346,154</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346,878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65,227</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47,301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2019.</w:t>
      </w:r>
    </w:p>
    <w:p>
      <w:pPr>
        <w:spacing w:after="0" w:line="18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April 22, 2020, our shareholders approved changing the name of the Company from Universal Forest Products, Inc., to UFP Industries, Inc.</w:t>
      </w:r>
    </w:p>
    <w:p>
      <w:pPr>
        <w:spacing w:after="0" w:line="16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28, 2019 balances in the accompanying unaudited condensed consolidated balance sheets.</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On March 11, 2020, the World Health Organization declared the novel strain of coronavirus (COVID-19) a global pandemic and recommended containment and mitigation </w:t>
      </w:r>
      <w:r>
        <w:rPr>
          <w:rFonts w:ascii="Times New Roman" w:cs="Times New Roman" w:eastAsia="Times New Roman" w:hAnsi="Times New Roman"/>
          <w:sz w:val="18"/>
          <w:szCs w:val="18"/>
          <w:color w:val="212529"/>
        </w:rPr>
        <w:t>measures worldwide</w:t>
      </w:r>
      <w:r>
        <w:rPr>
          <w:rFonts w:ascii="Times New Roman" w:cs="Times New Roman" w:eastAsia="Times New Roman" w:hAnsi="Times New Roman"/>
          <w:sz w:val="18"/>
          <w:szCs w:val="18"/>
          <w:color w:val="auto"/>
        </w:rPr>
        <w:t xml:space="preserve">. We cannot reasonably estimate the length or severity of this pandemic and government restrictions on business activity, or the extent to which these </w:t>
      </w:r>
      <w:r>
        <w:rPr>
          <w:rFonts w:ascii="Times New Roman" w:cs="Times New Roman" w:eastAsia="Times New Roman" w:hAnsi="Times New Roman"/>
          <w:sz w:val="18"/>
          <w:szCs w:val="18"/>
          <w:color w:val="212529"/>
        </w:rPr>
        <w:t>restrictions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materially impact our consolidated financial position, consolidated results of operations, and consolidated cash flows in fiscal 2020.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$ 56,781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$ 57,624</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15,299</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10,524</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Domestic stock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 stock</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0" w:type="dxa"/>
            <w:vAlign w:val="bottom"/>
          </w:tcPr>
          <w:p>
            <w:pPr>
              <w:spacing w:after="0"/>
              <w:rPr>
                <w:sz w:val="1"/>
                <w:szCs w:val="1"/>
                <w:color w:val="auto"/>
              </w:rPr>
            </w:pPr>
          </w:p>
        </w:tc>
      </w:tr>
      <w:tr>
        <w:trPr>
          <w:trHeight w:val="210"/>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0" w:type="dxa"/>
            <w:vAlign w:val="bottom"/>
          </w:tcPr>
          <w:p>
            <w:pPr>
              <w:spacing w:after="0"/>
              <w:rPr>
                <w:sz w:val="1"/>
                <w:szCs w:val="1"/>
                <w:color w:val="auto"/>
              </w:rPr>
            </w:pPr>
          </w:p>
        </w:tc>
      </w:tr>
      <w:tr>
        <w:trPr>
          <w:trHeight w:val="223"/>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mutual funds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19,806</w:t>
            </w:r>
          </w:p>
        </w:tc>
        <w:tc>
          <w:tcPr>
            <w:tcW w:w="1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19,655</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1,926</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41,387</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$ 73,662</w:t>
            </w:r>
          </w:p>
        </w:tc>
        <w:tc>
          <w:tcPr>
            <w:tcW w:w="1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15,409</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1,895</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$ 90,966</w:t>
            </w:r>
          </w:p>
        </w:tc>
        <w:tc>
          <w:tcPr>
            <w:tcW w:w="0" w:type="dxa"/>
            <w:vAlign w:val="bottom"/>
          </w:tcPr>
          <w:p>
            <w:pPr>
              <w:spacing w:after="0"/>
              <w:rPr>
                <w:sz w:val="1"/>
                <w:szCs w:val="1"/>
                <w:color w:val="auto"/>
              </w:rPr>
            </w:pPr>
          </w:p>
        </w:tc>
      </w:tr>
      <w:tr>
        <w:trPr>
          <w:trHeight w:val="203"/>
        </w:trPr>
        <w:tc>
          <w:tcPr>
            <w:tcW w:w="1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41,387</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$ 73,662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$ 90,966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From the assets measured at fair value as of September 26, 2020, listed in the table above, $20.5 million of mutual funds, equity securities, and alternative investments are held in Investments, $0.9 million of money market and mutual funds are held in Other Assets for our deferred compensation plan, and $16.8 million of fixed income funds and $3.2 million of money markets funds are held in Restricted Investments.</w:t>
      </w:r>
    </w:p>
    <w:p>
      <w:pPr>
        <w:spacing w:after="0" w:line="180"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stocks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$37.3 million as of September 26, 2020, which has been included in the aforementioned table of total investments. This portfolio consists of domestic and international stocks, alternative investments, and fixed income bonds.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right="533"/>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4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$ 15,750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$ 16,770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$ 14,969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$ 15,299</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$ 33,980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$ 37,300</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$ 30,734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$ 32,327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the private real estate income trust which is valued as a Level 3 asset. The net unrealized gain was $3.3 million. Carrying amounts above are recorded in the investments and restricted investments line items within the balance sheet as of September 26, 2020 and September 28, 2019.</w:t>
      </w:r>
    </w:p>
    <w:p>
      <w:pPr>
        <w:spacing w:after="0" w:line="183"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1" w:lineRule="exact"/>
        <w:rPr>
          <w:sz w:val="20"/>
          <w:szCs w:val="20"/>
          <w:color w:val="auto"/>
        </w:rPr>
      </w:pPr>
    </w:p>
    <w:p>
      <w:pPr>
        <w:jc w:val="both"/>
        <w:ind w:left="60" w:right="59" w:firstLine="492"/>
        <w:spacing w:after="0" w:line="201"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party. Installation revenue is recognized upon completion. If the Company uses a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198"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gross revenues disaggregated by revenue source:</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r>
      <w:tr>
        <w:trPr>
          <w:trHeight w:val="22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660" w:type="dxa"/>
            <w:vAlign w:val="bottom"/>
          </w:tcPr>
          <w:p>
            <w:pPr>
              <w:spacing w:after="0"/>
              <w:rPr>
                <w:sz w:val="19"/>
                <w:szCs w:val="19"/>
                <w:color w:val="auto"/>
              </w:rPr>
            </w:pPr>
          </w:p>
        </w:tc>
      </w:tr>
      <w:tr>
        <w:trPr>
          <w:trHeight w:val="18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8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26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FOB Shipping Point Revenue</w:t>
            </w: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1,490,050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1,140,853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3,749,122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3,358,520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11.6%</w:t>
            </w:r>
          </w:p>
        </w:tc>
      </w:tr>
      <w:tr>
        <w:trPr>
          <w:trHeight w:val="22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Contract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6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121,622</w:t>
            </w:r>
          </w:p>
        </w:tc>
        <w:tc>
          <w:tcPr>
            <w:tcW w:w="16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-20.1%</w:t>
            </w:r>
          </w:p>
        </w:tc>
      </w:tr>
      <w:tr>
        <w:trPr>
          <w:trHeight w:val="216"/>
        </w:trPr>
        <w:tc>
          <w:tcPr>
            <w:tcW w:w="2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Sales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3,846,272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3,480,142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(21,004)</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(85,982)</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(62,173)</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26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5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00" w:type="dxa"/>
            <w:vAlign w:val="bottom"/>
            <w:shd w:val="clear" w:color="auto" w:fill="CCEEFF"/>
          </w:tcPr>
          <w:p>
            <w:pPr>
              <w:spacing w:after="0"/>
              <w:rPr>
                <w:sz w:val="18"/>
                <w:szCs w:val="18"/>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4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75,009</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50,560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178,716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138,367</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59,798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60,171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59,929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60,069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59,818</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59,948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60,091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On a consolidated basis, we have reserved approximately $1.9 million on September 26, 2020 and $2.0 million on September 28, 2019, respectively, representing the estimated costs to complete future remediation efforts. These amounts have not been reduced by an insurance receivable.</w:t>
      </w:r>
    </w:p>
    <w:p>
      <w:pPr>
        <w:spacing w:after="0" w:line="176"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September 26, 2020,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September 26, 2020, we had outstanding purchase commitments on commenced capital projects of approximately $21.3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3"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26, 2020, we had approximately $7.0 million outstanding payment and performance bonds for open projects. We had approximately $7.6 million in payment and performance bonds outstanding for completed projects which are still under warranty.</w:t>
      </w:r>
    </w:p>
    <w:p>
      <w:pPr>
        <w:spacing w:after="0" w:line="18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September 26, 2020, we had outstanding letters of credit totaling $43.8 million, primarily related to certain insurance contracts and industrial development revenue bonds described further below.</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to guarantee our performance under certain insurance contracts. As of September 26, 2020, we have irrevocable letters of credit outstanding totaling approximately $33.8 million for these types of insurance arrangements. We have reserves recorded on our balance sheet, in accrued liabilities, that reflect our expected future liabilities under these insurance arrangements.</w:t>
      </w:r>
    </w:p>
    <w:p>
      <w:pPr>
        <w:spacing w:after="0" w:line="180"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third quarter of 2020 which would require us to recognize a liability on our balance 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2020 and since the end of September 2019, which were accounted for using the purchase method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600" w:type="dxa"/>
            <w:vAlign w:val="bottom"/>
            <w:tcBorders>
              <w:top w:val="single" w:sz="8" w:color="auto"/>
              <w:left w:val="single" w:sz="8" w:color="auto"/>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Net</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5"/>
              </w:rPr>
              <w:t>Tangible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0" w:type="dxa"/>
            <w:vAlign w:val="bottom"/>
          </w:tcPr>
          <w:p>
            <w:pPr>
              <w:spacing w:after="0"/>
              <w:rPr>
                <w:sz w:val="1"/>
                <w:szCs w:val="1"/>
                <w:color w:val="auto"/>
              </w:rPr>
            </w:pPr>
          </w:p>
        </w:tc>
      </w:tr>
      <w:tr>
        <w:trPr>
          <w:trHeight w:val="189"/>
        </w:trPr>
        <w:tc>
          <w:tcPr>
            <w:tcW w:w="2600" w:type="dxa"/>
            <w:vAlign w:val="bottom"/>
            <w:tcBorders>
              <w:left w:val="single" w:sz="8" w:color="auto"/>
              <w:right w:val="single" w:sz="8" w:color="auto"/>
            </w:tcBorders>
            <w:shd w:val="clear" w:color="auto" w:fill="CCEBFF"/>
          </w:tcPr>
          <w:p>
            <w:pPr>
              <w:spacing w:after="0"/>
              <w:rPr>
                <w:sz w:val="16"/>
                <w:szCs w:val="16"/>
                <w:color w:val="auto"/>
              </w:rPr>
            </w:pPr>
          </w:p>
        </w:tc>
        <w:tc>
          <w:tcPr>
            <w:tcW w:w="142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$19,173</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00" w:type="dxa"/>
            <w:vAlign w:val="bottom"/>
            <w:tcBorders>
              <w:left w:val="single" w:sz="8" w:color="auto"/>
              <w:right w:val="single" w:sz="8" w:color="auto"/>
            </w:tcBorders>
            <w:shd w:val="clear" w:color="auto" w:fill="CCEBFF"/>
          </w:tcPr>
          <w:p>
            <w:pPr>
              <w:spacing w:after="0"/>
              <w:rPr>
                <w:sz w:val="22"/>
                <w:szCs w:val="22"/>
                <w:color w:val="auto"/>
              </w:rPr>
            </w:pPr>
          </w:p>
        </w:tc>
        <w:tc>
          <w:tcPr>
            <w:tcW w:w="14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July 14, 2020</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40" w:type="dxa"/>
            <w:vAlign w:val="bottom"/>
            <w:shd w:val="clear" w:color="auto" w:fill="CCEB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Industrial</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shd w:val="clear" w:color="auto" w:fill="CCEBFF"/>
          </w:tcPr>
          <w:p>
            <w:pPr>
              <w:spacing w:after="0"/>
              <w:rPr>
                <w:sz w:val="12"/>
                <w:szCs w:val="12"/>
                <w:color w:val="auto"/>
              </w:rPr>
            </w:pPr>
          </w:p>
        </w:tc>
        <w:tc>
          <w:tcPr>
            <w:tcW w:w="1420" w:type="dxa"/>
            <w:vAlign w:val="bottom"/>
            <w:tcBorders>
              <w:right w:val="single" w:sz="8" w:color="auto"/>
            </w:tcBorders>
            <w:shd w:val="clear" w:color="auto" w:fill="CCEBFF"/>
          </w:tcPr>
          <w:p>
            <w:pPr>
              <w:spacing w:after="0"/>
              <w:rPr>
                <w:sz w:val="12"/>
                <w:szCs w:val="12"/>
                <w:color w:val="auto"/>
              </w:rPr>
            </w:pPr>
          </w:p>
        </w:tc>
        <w:tc>
          <w:tcPr>
            <w:tcW w:w="178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shd w:val="clear" w:color="auto" w:fill="CCEBFF"/>
          </w:tcPr>
          <w:p>
            <w:pPr>
              <w:spacing w:after="0"/>
              <w:rPr>
                <w:sz w:val="12"/>
                <w:szCs w:val="12"/>
                <w:color w:val="auto"/>
              </w:rPr>
            </w:pPr>
          </w:p>
        </w:tc>
        <w:tc>
          <w:tcPr>
            <w:tcW w:w="1020" w:type="dxa"/>
            <w:vAlign w:val="bottom"/>
            <w:tcBorders>
              <w:right w:val="single" w:sz="8" w:color="auto"/>
            </w:tcBorders>
            <w:shd w:val="clear" w:color="auto" w:fill="CCEBFF"/>
          </w:tcPr>
          <w:p>
            <w:pPr>
              <w:spacing w:after="0"/>
              <w:rPr>
                <w:sz w:val="12"/>
                <w:szCs w:val="12"/>
                <w:color w:val="auto"/>
              </w:rPr>
            </w:pPr>
          </w:p>
        </w:tc>
        <w:tc>
          <w:tcPr>
            <w:tcW w:w="140" w:type="dxa"/>
            <w:vAlign w:val="bottom"/>
            <w:shd w:val="clear" w:color="auto" w:fill="CCEBFF"/>
          </w:tcPr>
          <w:p>
            <w:pPr>
              <w:spacing w:after="0"/>
              <w:rPr>
                <w:sz w:val="12"/>
                <w:szCs w:val="12"/>
                <w:color w:val="auto"/>
              </w:rPr>
            </w:pPr>
          </w:p>
        </w:tc>
        <w:tc>
          <w:tcPr>
            <w:tcW w:w="1000" w:type="dxa"/>
            <w:vAlign w:val="bottom"/>
            <w:tcBorders>
              <w:right w:val="single" w:sz="8" w:color="auto"/>
            </w:tcBorders>
            <w:shd w:val="clear" w:color="auto" w:fill="CCEBFF"/>
          </w:tcPr>
          <w:p>
            <w:pPr>
              <w:spacing w:after="0"/>
              <w:rPr>
                <w:sz w:val="12"/>
                <w:szCs w:val="12"/>
                <w:color w:val="auto"/>
              </w:rPr>
            </w:pPr>
          </w:p>
        </w:tc>
        <w:tc>
          <w:tcPr>
            <w:tcW w:w="84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0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T&amp;R Lumber Company ("T&amp;R")</w:t>
            </w:r>
          </w:p>
        </w:tc>
        <w:tc>
          <w:tcPr>
            <w:tcW w:w="142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and distributor of a range of products used primarily by nurseries, including</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plastic growing containers, pots and trays; wooden stakes; trellises; tree boxes; shipping racks;</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other nursery supplies based in Rancho Cucamonga, California. T&amp;R had annual sales of</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approximately $31 million. The acquisition of T&amp;R will allow us to leverage their expertise</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using our national manufacturing capacity to grow our agricultural product offerings and</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2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customer base across the country.</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$21,787</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0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13, 2020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19,098</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Construction</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Quest Design &amp; Fabrication and Quest</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tcBorders>
              <w:left w:val="single" w:sz="8" w:color="auto"/>
              <w:right w:val="single" w:sz="8" w:color="auto"/>
            </w:tcBorders>
            <w:vMerge w:val="continue"/>
          </w:tcPr>
          <w:p>
            <w:pPr>
              <w:spacing w:after="0"/>
              <w:rPr>
                <w:sz w:val="15"/>
                <w:szCs w:val="15"/>
                <w:color w:val="auto"/>
              </w:rPr>
            </w:pPr>
          </w:p>
        </w:tc>
        <w:tc>
          <w:tcPr>
            <w:tcW w:w="6320" w:type="dxa"/>
            <w:vAlign w:val="bottom"/>
            <w:tcBorders>
              <w:right w:val="single" w:sz="8" w:color="auto"/>
            </w:tcBorders>
            <w:gridSpan w:val="7"/>
          </w:tcPr>
          <w:p>
            <w:pPr>
              <w:spacing w:after="0" w:line="175" w:lineRule="exact"/>
              <w:rPr>
                <w:sz w:val="20"/>
                <w:szCs w:val="20"/>
                <w:color w:val="auto"/>
              </w:rPr>
            </w:pPr>
            <w:r>
              <w:rPr>
                <w:rFonts w:ascii="Times New Roman" w:cs="Times New Roman" w:eastAsia="Times New Roman" w:hAnsi="Times New Roman"/>
                <w:sz w:val="16"/>
                <w:szCs w:val="16"/>
                <w:color w:val="auto"/>
              </w:rPr>
              <w:t>A designer, fabricator, and installer of premium millwork and case goods for a variety of</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Architectural Millwork ("Quest")</w:t>
            </w:r>
          </w:p>
        </w:tc>
        <w:tc>
          <w:tcPr>
            <w:tcW w:w="63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commercial uses. Quest had annual sales of approximately $22 million. The acquisition of Quest</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expands our architectural millwork capabilities and expertise in our commercial construction</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business unit, and will allow us to use our national manufacturing capacity to grow and diversify</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our sales to this end market</w:t>
            </w: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intangible assets for the T&amp;R and Quest acquisitions have not been finalized and allocated to their respective identifiable asset and goodwill accounts. In aggregate, acquisitions completed since the end of September 2019 and not consolidated with other operations contributed approximately $10.8 million in net sales and $0.2 million in operating profits during the third quarter of 2020 and $17.8 million in net sales and $1.5 million in operating profits in the first nine months of 2020.</w:t>
      </w:r>
    </w:p>
    <w:p>
      <w:pPr>
        <w:spacing w:after="0" w:line="179"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The Company operates manufacturing, treating and distribution facilities internationally, but primarily in the United States. Effective January 1, 2020, the Company re-organized around the markets it serves rather than geography. The prior periods have been recast to reflect the new segment structure. The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 products and services. The Company manages the operations of its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w:t>
      </w:r>
    </w:p>
    <w:p>
      <w:pPr>
        <w:spacing w:after="0" w:line="194"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Our International segment and Ardellis (our insurance captive) have been included in the “All Other” column of the table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w:t>
      </w:r>
    </w:p>
    <w:p>
      <w:pPr>
        <w:sectPr>
          <w:pgSz w:w="11900" w:h="16838" w:orient="portrait"/>
          <w:cols w:equalWidth="0" w:num="1">
            <w:col w:w="9019"/>
          </w:cols>
          <w:pgMar w:left="1440" w:top="540" w:right="1440" w:bottom="1440" w:gutter="0" w:footer="0" w:header="0"/>
        </w:sectPr>
      </w:pP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sales to outside customers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Segment operating profit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sales to outside customers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Intersegment net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Segment operating profit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$ 700,522</w:t>
            </w: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$ 282,124</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$ 447,103</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56,700</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1,486,227</w:t>
            </w:r>
          </w:p>
        </w:tc>
      </w:tr>
      <w:tr>
        <w:trPr>
          <w:trHeight w:val="216"/>
        </w:trPr>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(151,127)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62,181</w:t>
            </w:r>
          </w:p>
        </w:tc>
        <w:tc>
          <w:tcPr>
            <w:tcW w:w="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106,601</w:t>
            </w:r>
          </w:p>
        </w:tc>
      </w:tr>
      <w:tr>
        <w:trPr>
          <w:trHeight w:val="601"/>
        </w:trPr>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2"/>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140" w:type="dxa"/>
            <w:vAlign w:val="bottom"/>
          </w:tcPr>
          <w:p>
            <w:pPr>
              <w:spacing w:after="0"/>
              <w:rPr>
                <w:sz w:val="17"/>
                <w:szCs w:val="17"/>
                <w:color w:val="auto"/>
              </w:rPr>
            </w:pPr>
          </w:p>
        </w:tc>
        <w:tc>
          <w:tcPr>
            <w:tcW w:w="7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$ 397,140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$ 271,667</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$ 445,505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48,066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648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1,163,026</w:t>
            </w:r>
          </w:p>
        </w:tc>
      </w:tr>
      <w:tr>
        <w:trPr>
          <w:trHeight w:val="216"/>
        </w:trPr>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20,768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70,467</w:t>
            </w:r>
          </w:p>
        </w:tc>
      </w:tr>
      <w:tr>
        <w:trPr>
          <w:trHeight w:val="588"/>
        </w:trPr>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2"/>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26,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-1833880</wp:posOffset>
            </wp:positionV>
            <wp:extent cx="564896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-1550670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-916940</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-633730</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280" w:space="720"/>
            <w:col w:w="6019"/>
          </w:cols>
          <w:pgMar w:left="1440" w:top="540"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$ 1,661,873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$ 763,046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$ 1,187,429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$ 148,503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$ 3,760,290</w:t>
            </w: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257,591</w:t>
            </w:r>
          </w:p>
        </w:tc>
      </w:tr>
      <w:tr>
        <w:trPr>
          <w:trHeight w:val="574"/>
        </w:trPr>
        <w:tc>
          <w:tcPr>
            <w:tcW w:w="2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28, 2019</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5"/>
        </w:trPr>
        <w:tc>
          <w:tcPr>
            <w:tcW w:w="2960" w:type="dxa"/>
            <w:vAlign w:val="bottom"/>
          </w:tcPr>
          <w:p>
            <w:pPr>
              <w:spacing w:after="0"/>
              <w:rPr>
                <w:sz w:val="13"/>
                <w:szCs w:val="13"/>
                <w:color w:val="auto"/>
              </w:rPr>
            </w:pPr>
          </w:p>
        </w:tc>
        <w:tc>
          <w:tcPr>
            <w:tcW w:w="10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3"/>
                <w:szCs w:val="13"/>
                <w:color w:val="auto"/>
              </w:rPr>
            </w:pPr>
          </w:p>
        </w:tc>
        <w:tc>
          <w:tcPr>
            <w:tcW w:w="92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$ 1,212,330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$ 837,671</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$ 1,225,467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$ 142,845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$ 3,417,969</w:t>
            </w: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(333,639)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Identifiable intangibles have been transferred and goodwill was re-allocated, based on their relative fair values, to our new segments and reporting units. The following table presents goodwill by segment as of September 26, 2020, and December 28, 2019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$ 58,098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$ 81,276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$ 7,251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$ 229,536</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Acquisitions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Purchase Accounting Adjustments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26,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$ 58,300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$ 87,827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$ 245,925</w:t>
            </w: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September 26, 2020, and December 28, 2019.</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080" w:type="dxa"/>
            <w:vAlign w:val="bottom"/>
            <w:gridSpan w:val="3"/>
            <w:vMerge w:val="continue"/>
          </w:tcPr>
          <w:p>
            <w:pPr>
              <w:spacing w:after="0"/>
              <w:rPr>
                <w:sz w:val="11"/>
                <w:szCs w:val="11"/>
                <w:color w:val="auto"/>
              </w:rPr>
            </w:pPr>
          </w:p>
        </w:tc>
        <w:tc>
          <w:tcPr>
            <w:tcW w:w="10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12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631,238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402,221</w:t>
            </w: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377,329</w:t>
            </w:r>
          </w:p>
        </w:tc>
        <w:tc>
          <w:tcPr>
            <w:tcW w:w="1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522,638</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136,990</w:t>
            </w:r>
          </w:p>
        </w:tc>
        <w:tc>
          <w:tcPr>
            <w:tcW w:w="1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642,035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450,299</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1"/>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2,350,620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1,889,477</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bl>
    <w:p>
      <w:pPr>
        <w:ind w:left="700"/>
        <w:spacing w:after="0"/>
        <w:rPr>
          <w:sz w:val="20"/>
          <w:szCs w:val="20"/>
          <w:color w:val="auto"/>
        </w:rPr>
      </w:pPr>
      <w:r>
        <w:rPr>
          <w:rFonts w:ascii="Times New Roman" w:cs="Times New Roman" w:eastAsia="Times New Roman" w:hAnsi="Times New Roman"/>
          <w:sz w:val="14"/>
          <w:szCs w:val="14"/>
          <w:color w:val="auto"/>
        </w:rPr>
        <w:t>Note: During 2020, certain assets were reclassified to a different segment. Prior year information in this table has been restated to reflect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-95885</wp:posOffset>
            </wp:positionV>
            <wp:extent cx="1260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changes</w:t>
      </w:r>
    </w:p>
    <w:p>
      <w:pPr>
        <w:spacing w:after="0" w:line="120"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Effective tax rates differ from statutory federal income tax rates, primarily due to provisions for foreign, state and local income taxes and permanent tax differences. Our effective tax rate was 25.4% in the third quarter of 2020 compared to 23.8% for same period in 2019 and </w:t>
      </w:r>
      <w:r>
        <w:rPr>
          <w:rFonts w:ascii="Times New Roman" w:cs="Times New Roman" w:eastAsia="Times New Roman" w:hAnsi="Times New Roman"/>
          <w:sz w:val="18"/>
          <w:szCs w:val="18"/>
          <w:color w:val="212529"/>
        </w:rPr>
        <w:t>was 25.2% in the first nine months of 2020 compared to 24.0% for the same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 2019. </w:t>
      </w:r>
      <w:r>
        <w:rPr>
          <w:rFonts w:ascii="Times New Roman" w:cs="Times New Roman" w:eastAsia="Times New Roman" w:hAnsi="Times New Roman"/>
          <w:sz w:val="18"/>
          <w:szCs w:val="18"/>
          <w:color w:val="000000"/>
        </w:rPr>
        <w:t>The increase was primarily due to the foreign tax rate differential on foreign income as well as a variety of other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discrete tax items none of which are individually significant.</w:t>
      </w:r>
    </w:p>
    <w:p>
      <w:pPr>
        <w:spacing w:after="0" w:line="193"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3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nine months of 2020 and 2019 (in thousands, except average share price):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9"/>
              </w:rPr>
              <w:t>46</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long-term stock incentive plan</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w w:val="96"/>
              </w:rPr>
              <w:t>271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9"/>
              </w:rPr>
              <w:t>79</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6"/>
              </w:rPr>
              <w:t>115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53.85</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439" w:firstLine="492"/>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2020, we repurchased approximately 756,000 shares of our common stock at an average share price of $38.62.</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long-term stock incentive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During the first nine months of 2019, we did not repurchase any of our common stock.</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On September 30, 2020, we entered into a joint venture with Atlante S.p.A. to create Enwrap Logistic &amp; Packaging S.r.l. (Enwrap) and acquired a 50% ownership interest in Enwrap for $5.3 million. Enwrap is headquartered in Milan, Italy and is an industrial packaging business, which provides high-value, mixed material industrial packaging and logistics services through 14 facilities in Italy.</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October 1, 2020, we acquired the equity of Fire Retardant Chemical Technologies, LLC (FRCT), for $5.9 million. Founded in 2014 and based in Matthews, North Carolina, FRCT’s business includes a research and development laboratory specializing in developing and testing a wide range of high-performance chemicals, including fire retardants and water repellants.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(formerly Universal Forest Products, Inc.) is a holding company with subsidiaries throughout North America, Europe, Asia, and Australia that supply wood, wood composite and other products to three markets: retail, industrial, and construction. The Company is headquartered in Grand Rapids, Mich. For more information about UFP Industries, Inc., or its affiliated operations, go to www.ufpi.com.</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22, 2020, our shareholders approved changing the name of the Company from Universal Forest Products, Inc., to UFP Industries, Inc.</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third quarter of 2020.</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third quarter of 2020 include the following highlights:</w:t>
      </w:r>
    </w:p>
    <w:p>
      <w:pPr>
        <w:spacing w:after="0" w:line="225" w:lineRule="exact"/>
        <w:rPr>
          <w:sz w:val="20"/>
          <w:szCs w:val="20"/>
          <w:color w:val="auto"/>
        </w:rPr>
      </w:pPr>
    </w:p>
    <w:p>
      <w:pPr>
        <w:jc w:val="both"/>
        <w:ind w:left="880" w:right="79" w:hanging="317"/>
        <w:spacing w:after="0" w:line="255"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were up 28% compared to the third quarter of 2019, which was comprised of a 20% increase in selling prices primarily due to the commodity lumber market (see Historical Lumber Prices below) and an 8% increase in unit sales. The unit sales of our retail segment increased 34% due to an increase in consumer demand and home improvement activities. We believe that this increase is largely attributable to the impact of the pandemic on consumer behavior. This increase was offset by our industrial and construction segments, which declined 2% and 9%, respectively, as our customers in these segments continue to recover from the government-imposed shutdowns resulting from the pandemic.</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increased 51% compared to the third quarter of 2019. The improvement in our profitability was driven by a number of factors, including strong organic growth in our retail segment and effectively leveraging fixed costs and the impact of rising lumber prices on the selling prices of commodity-based products such as our ProWood pressure-treated products. These products are sold on a variable price formula tied to the Lumber Market. See Historical Lumber Prices and Impact of the Lumber Market on Our Operating Results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for the first nine months of 2020 decreased to $185 million from $198 million last year as our net working capital increased by $60 million since the end of 2019. Conversely, our net working capital decreased by $3 million by the end of the first nine months last year. The increase in net working capital at the end of the third quarter of 2020 was due to unusually high lumber prices and retail market demand, which continued to be strong through the end of the quarter and drove an increase in our accounts receivable.</w:t>
      </w:r>
    </w:p>
    <w:p>
      <w:pPr>
        <w:spacing w:after="0" w:line="187"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operating cash flow, our cash surplus exceeded our debt by approximately $32 million at the end of the September 2020.</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borrowing capacity under revolving credit facilities and cash surplus resulted in total liquidity of approximately $700 million at the end of September 2020. In August of 2020 we issued $150 million of long-term debt to finance our future growth. The average maturity of the notes is 13 years and have an average fixed rate of interest at 3.09%.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28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2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2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sequential increase in lumber prices above is due to a combination of mill production curtailments and demand for lumber much higher than expectations. We anticipate lumber prices will normalize to lower levels during the fourth quarter, which will impact our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48.7% and 42.6% of our sales in the first nine months of 2020 and 2019,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5"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greatest in our third and fourth quarters.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to the retail market.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comprises approximately 21% of our total sales.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t>
      </w:r>
      <w:r>
        <w:rPr>
          <w:rFonts w:ascii="Times New Roman" w:cs="Times New Roman" w:eastAsia="Times New Roman" w:hAnsi="Times New Roman"/>
          <w:sz w:val="18"/>
          <w:szCs w:val="18"/>
          <w:i w:val="1"/>
          <w:iCs w:val="1"/>
          <w:color w:val="auto"/>
        </w:rPr>
        <w:t>Please refer to the “Risk Factors” section of our annual report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 10-K, filed with the United States Securities and Exchange Commission.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As is apparent from the preceding example,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completed two business acquisitions during the first nine months of 2020 and three during all of 2019. The annual historical sales attributable to acquisitions completed in the first nine months of 2020 and all of 2019 were approximately $38 million and $37 million, respectively. These business combinations were not significant to our quarterly results individually or in aggregate and thus pro forma results for 2020 and 2019 are not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040" w:type="dxa"/>
            <w:vAlign w:val="bottom"/>
          </w:tcPr>
          <w:p>
            <w:pPr>
              <w:spacing w:after="0"/>
              <w:rPr>
                <w:sz w:val="10"/>
                <w:szCs w:val="10"/>
                <w:color w:val="auto"/>
              </w:rPr>
            </w:pPr>
          </w:p>
        </w:tc>
        <w:tc>
          <w:tcPr>
            <w:tcW w:w="114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14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2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16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40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Borders>
              <w:bottom w:val="single" w:sz="8" w:color="CCEEFF"/>
            </w:tcBorders>
          </w:tcPr>
          <w:p>
            <w:pPr>
              <w:spacing w:after="0"/>
              <w:rPr>
                <w:sz w:val="18"/>
                <w:szCs w:val="18"/>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net sales, adjusted to restate 2020 net sales and cost of goods sold at prior year lumber prices. The restated net sales amounts were calculated by adjusting 2020 sales for the change in our selling prices resulting primarily from underlying movements in commodity lumber prices in 2020 from 2019. By eliminating the “pass-through” impact of higher or lower lumber prices on net sales and cost of goods sold from year to year, we believe this provides an enhanced view of our change in profitability and costs as a percentage of sales. The amount of the adjustment to 2020 net sales was also applied to cost of goods sold so that gross profit remains unchanged.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Adjusted for Lumber Market Change</w:t>
            </w:r>
          </w:p>
        </w:tc>
      </w:tr>
      <w:tr>
        <w:trPr>
          <w:trHeight w:val="155"/>
        </w:trPr>
        <w:tc>
          <w:tcPr>
            <w:tcW w:w="6080" w:type="dxa"/>
            <w:vAlign w:val="bottom"/>
          </w:tcPr>
          <w:p>
            <w:pPr>
              <w:spacing w:after="0"/>
              <w:rPr>
                <w:sz w:val="13"/>
                <w:szCs w:val="13"/>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608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0"/>
                <w:szCs w:val="10"/>
                <w:color w:val="auto"/>
              </w:rPr>
            </w:pPr>
          </w:p>
        </w:tc>
        <w:tc>
          <w:tcPr>
            <w:tcW w:w="1300" w:type="dxa"/>
            <w:vAlign w:val="bottom"/>
            <w:tcBorders>
              <w:top w:val="single" w:sz="8" w:color="auto"/>
            </w:tcBorders>
            <w:gridSpan w:val="2"/>
          </w:tcPr>
          <w:p>
            <w:pPr>
              <w:jc w:val="right"/>
              <w:ind w:right="2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80"/>
        </w:trPr>
        <w:tc>
          <w:tcPr>
            <w:tcW w:w="60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Effective January 1, 2020, the Company re-organized around the markets it serves rather than geography. Our new business segments align with the following markets: UFP Retail Solutions, UFP Construction and UFP Industrial. Among other things, this change allows for a more specialized and consistent sales approach among Company operations, more efficient use of resources and capital, and quicker introduction of new products and services. The Company manages the operations of its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26, 2020</w:t>
            </w: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1,486,227</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1,245,153</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241,074</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62,181</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22,037</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16,513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(1,579)</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106,601</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1,163,026</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353,291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(10,611)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975,756</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187,270</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115,958</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14,297</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20,768</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10,435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70,467</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26, 2020</w:t>
            </w: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1,661,873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3,760,290</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(21,776)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3,147,049</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613,241</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357,770</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122,082</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53,837</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50,544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20,573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257,591</w:t>
            </w:r>
          </w:p>
        </w:tc>
      </w:tr>
      <w:tr>
        <w:trPr>
          <w:trHeight w:val="385"/>
        </w:trPr>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28, 2019</w:t>
            </w: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837,671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3,417,969</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(21,104)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2,889,706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528,263</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334,165</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47,597</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60,208</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56,263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19,592</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193,150</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2020</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26, 2020</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9"/>
        </w:trPr>
        <w:tc>
          <w:tcPr>
            <w:tcW w:w="55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28, 2019</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and commercial applications, and specialty wood packaging, components and packaging materials for various industries. Our strategic long-term sales objectives generally include:</w:t>
      </w:r>
    </w:p>
    <w:p>
      <w:pPr>
        <w:spacing w:after="0" w:line="183" w:lineRule="exact"/>
        <w:rPr>
          <w:sz w:val="20"/>
          <w:szCs w:val="20"/>
          <w:color w:val="auto"/>
        </w:rPr>
      </w:pPr>
    </w:p>
    <w:p>
      <w:pPr>
        <w:jc w:val="both"/>
        <w:ind w:left="880" w:right="79" w:hanging="317"/>
        <w:spacing w:after="0" w:line="254"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of "value-added" products and enhancing our product offering with new or improved products. Value-added products generally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60" w:right="59"/>
        <w:spacing w:after="0" w:line="253"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net sales by our primary segments (Retail, Industrial, and Construction). Value-added products are typically sold at fixed selling prices for a pre-determined time period and carry higher gross margins than our commodity-based products. The increase in our ratio of commodity-based product sales to total sales reflected in the tables below is primarily due to the impact of dramatically higher lumber prices in the third quarter of 2020 as the selling prices of these products are generally indexed to the current Lumber Market at the time they are shipped. For example, a majority of our commodity-based sales are sold through our ProWood business unit and selling prices were up 66% compared to the third quarter of 2019. Also, our Industrial and Construction segments primarily sell value-added products and their unit sales were down 2% and 9% from last year, respectively.</w:t>
      </w:r>
    </w:p>
    <w:p>
      <w:pPr>
        <w:spacing w:after="0" w:line="201" w:lineRule="exact"/>
        <w:rPr>
          <w:sz w:val="20"/>
          <w:szCs w:val="20"/>
          <w:color w:val="auto"/>
        </w:rPr>
      </w:pPr>
    </w:p>
    <w:tbl>
      <w:tblPr>
        <w:tblLayout w:type="fixed"/>
        <w:tblInd w:w="12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26, 2020</w:t>
            </w:r>
          </w:p>
        </w:tc>
        <w:tc>
          <w:tcPr>
            <w:tcW w:w="160" w:type="dxa"/>
            <w:vAlign w:val="bottom"/>
          </w:tcPr>
          <w:p>
            <w:pPr>
              <w:spacing w:after="0"/>
              <w:rPr>
                <w:sz w:val="15"/>
                <w:szCs w:val="15"/>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r>
      <w:tr>
        <w:trPr>
          <w:trHeight w:val="304"/>
        </w:trPr>
        <w:tc>
          <w:tcPr>
            <w:tcW w:w="216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r>
      <w:tr>
        <w:trPr>
          <w:trHeight w:val="216"/>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2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49.6 %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50.4 %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63.9 %</w:t>
            </w:r>
          </w:p>
        </w:tc>
        <w:tc>
          <w:tcPr>
            <w:tcW w:w="16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74.3 %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60.6 %</w:t>
            </w:r>
          </w:p>
        </w:tc>
        <w:tc>
          <w:tcPr>
            <w:tcW w:w="16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353"/>
        </w:trPr>
        <w:tc>
          <w:tcPr>
            <w:tcW w:w="216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Nine Months Ended September 26, 2020</w:t>
            </w:r>
          </w:p>
        </w:tc>
        <w:tc>
          <w:tcPr>
            <w:tcW w:w="16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28, 2019</w:t>
            </w:r>
          </w:p>
        </w:tc>
      </w:tr>
      <w:tr>
        <w:trPr>
          <w:trHeight w:val="304"/>
        </w:trPr>
        <w:tc>
          <w:tcPr>
            <w:tcW w:w="216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r>
      <w:tr>
        <w:trPr>
          <w:trHeight w:val="216"/>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2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54.4 %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65.7 %</w:t>
            </w:r>
          </w:p>
        </w:tc>
        <w:tc>
          <w:tcPr>
            <w:tcW w:w="16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77.3 %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22.7 %</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64.6 %</w:t>
            </w:r>
          </w:p>
        </w:tc>
        <w:tc>
          <w:tcPr>
            <w:tcW w:w="16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r>
    </w:tbl>
    <w:p>
      <w:pPr>
        <w:spacing w:after="0" w:line="179" w:lineRule="exact"/>
        <w:rPr>
          <w:sz w:val="20"/>
          <w:szCs w:val="20"/>
          <w:color w:val="auto"/>
        </w:rPr>
      </w:pPr>
    </w:p>
    <w:p>
      <w:pPr>
        <w:jc w:val="both"/>
        <w:ind w:left="880" w:right="79" w:hanging="317"/>
        <w:spacing w:after="0" w:line="25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We define new products as those that will generate sales of at least a $1 million per year within 4 years of launch and are still growing and gaining market penetration. New product sales and gross profits in the third quarter were up 41% and 27%, respectively. Approximately $37 million and $103 million of new product sales for the first three and nine months of 2019, respectively, while still sold, were sunset in 2020 and excluded from the table below because they no longer meet the definition above. Our goal is to achieve annual new product sales of at least $475 million in 2020.</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180"/>
        </w:trPr>
        <w:tc>
          <w:tcPr>
            <w:tcW w:w="1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Borders>
              <w:bottom w:val="single" w:sz="8" w:color="auto"/>
            </w:tcBorders>
            <w:gridSpan w:val="5"/>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Borders>
              <w:bottom w:val="single" w:sz="8" w:color="auto"/>
            </w:tcBorders>
            <w:gridSpan w:val="5"/>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56"/>
        </w:trPr>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tcBorders>
              <w:bottom w:val="single" w:sz="8" w:color="auto"/>
            </w:tcBorders>
            <w:gridSpan w:val="5"/>
          </w:tcPr>
          <w:p>
            <w:pPr>
              <w:jc w:val="center"/>
              <w:ind w:left="40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Borders>
              <w:bottom w:val="single" w:sz="8" w:color="auto"/>
            </w:tcBorders>
            <w:gridSpan w:val="5"/>
          </w:tcPr>
          <w:p>
            <w:pPr>
              <w:jc w:val="center"/>
              <w:ind w:left="382"/>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7"/>
        </w:trPr>
        <w:tc>
          <w:tcPr>
            <w:tcW w:w="1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460" w:type="dxa"/>
            <w:vAlign w:val="bottom"/>
          </w:tcPr>
          <w:p>
            <w:pPr>
              <w:jc w:val="right"/>
              <w:ind w:right="55"/>
              <w:spacing w:after="0" w:line="13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1"/>
                <w:szCs w:val="11"/>
                <w:color w:val="auto"/>
              </w:rPr>
            </w:pPr>
          </w:p>
        </w:tc>
        <w:tc>
          <w:tcPr>
            <w:tcW w:w="130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440" w:type="dxa"/>
            <w:vAlign w:val="bottom"/>
          </w:tcPr>
          <w:p>
            <w:pPr>
              <w:jc w:val="right"/>
              <w:ind w:right="35"/>
              <w:spacing w:after="0" w:line="13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r>
      <w:tr>
        <w:trPr>
          <w:trHeight w:val="193"/>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3"/>
        </w:trPr>
        <w:tc>
          <w:tcPr>
            <w:tcW w:w="1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115,321</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72,411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297,363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229,642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Product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8" w:lineRule="exact"/>
        <w:rPr>
          <w:sz w:val="20"/>
          <w:szCs w:val="20"/>
          <w:color w:val="auto"/>
        </w:rPr>
      </w:pPr>
    </w:p>
    <w:p>
      <w:pPr>
        <w:ind w:left="880" w:hanging="317"/>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new customers and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third quarter of 2020 increased approximately 76% compared to the same period of 2019, due to a 34% increase in organic unit sales and a 42% increase in selling prices. Our organic unit growth was primarily driven by a 57% increase in our Dimensions Home &amp; Décor products including project panels and short lumber, a 50% increase in Deckorators composite decking and railing, a 30% increase in our ProWood pressure-treated products, and a 28% increase in Outdoor Essentials Fence, Lawn &amp; Garden products. Our new product sales contributed to these increases and were up 59% for the quarter. Finally, our sales to big box customers increased 80%, and sales to other independent retailers increased 71%. Our unit sales increases were primarily due to an increase in demand as consumers invested in home improvement activities over other alternatives. We believe that the pandemic and related disruptions in the lives of consumers contributed to this increase in demand.</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profits increased by $61.8 million, or 140.9% to $105.6 million for the third quarter of 2020 compared to the same period last year as gross margins increased to 15.1% compared to 11.0% for the same period of 2019. We estimate the higher level of lumber prices (see “Impact of the Lumber Market on Our Operating Results”) reduced gross margin by 470 basis points. Our increase in gross profits was due to the following factors:</w:t>
      </w:r>
    </w:p>
    <w:p>
      <w:pPr>
        <w:spacing w:after="0" w:line="180" w:lineRule="exact"/>
        <w:rPr>
          <w:sz w:val="20"/>
          <w:szCs w:val="20"/>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unit sales of value-added products within our Deckorators, Outdoor Essentials, and Dimensions business units contributed $25 million to the increase.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ProWood business unit, which produces and sells pressure treated lumber, contributed $31.4 million to the increase attributable to unit sales growth and the impact of rising lumber prices as the selling prices of these products are primarily determined on a variable price formula.</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$5.4 million increase is attributed to favorable cost variances as a result of operating leverage and strong organic unit growth.</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$14.0 million, or 47.3%, in the third quarter of 2020 compared to the same period of 2019, while we reported a 34% increase in unit sales. Accrued bonus expense, which varies with our overall profitability and return on investment, increased approximately $10.7 million and totaled approximately $15.0 million for the quarter. The remaining increase was primarily due to increases in salaries and wages which were partially offset by decreases in advertising and travel and related costs.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increased in the third quarter of 2020 compared to 2019 by $47.9 million, or 335%, well in excess of our 34% increase in unit sales as a result of the factors above.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nine months of 2020 increased 37% compared to the same period of 2019, due to a 22% increase in unit sales and a 15% increase in selling prices. Acquired operations contributed 1% to our unit sales growth, and organic unit sales growth was 21%. Our organic unit growth was primarily driven by a 53% increase in our Dimensions Home &amp; Décor products including project panels and short lumber, a 25% increase in our ProWood pressure-treated products, a 21% increase in Outdoor Essentials Fence, Lawn &amp; Garden products, and an 11% increase in Deckorators composite decking and railing. Our new product sales contributed to these increases and were up 29.5%. Sales to big box customers were up 42% and sales to other independent retailers increased 28%.</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Gross profits in the first nine months of 2020 increased 71.5% to $232.6 million compared to the same period of 2019 as gross margins increased to 14.0% compared to 11.2% for the same period of 2019. The impact of higher lumber prices contributed to a 170 basis point decline in our gross margin. Improvements in our profitability were primarily due to:</w:t>
      </w:r>
    </w:p>
    <w:p>
      <w:pPr>
        <w:spacing w:after="0" w:line="176" w:lineRule="exact"/>
        <w:rPr>
          <w:sz w:val="20"/>
          <w:szCs w:val="20"/>
          <w:color w:val="auto"/>
        </w:rPr>
      </w:pPr>
    </w:p>
    <w:p>
      <w:pPr>
        <w:ind w:left="760" w:hanging="33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effective inventory positioning, resulting in lower lumber costs early in the year.</w:t>
      </w:r>
    </w:p>
    <w:p>
      <w:pPr>
        <w:spacing w:after="0" w:line="225"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sales of value-added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760" w:hanging="33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organic growth, which allowed us to leverage fixed costs.</w:t>
      </w:r>
    </w:p>
    <w:p>
      <w:pPr>
        <w:spacing w:after="0" w:line="225" w:lineRule="exact"/>
        <w:rPr>
          <w:rFonts w:ascii="Times New Roman" w:cs="Times New Roman" w:eastAsia="Times New Roman" w:hAnsi="Times New Roman"/>
          <w:sz w:val="18"/>
          <w:szCs w:val="18"/>
          <w:color w:val="auto"/>
        </w:rPr>
      </w:pPr>
    </w:p>
    <w:p>
      <w:pPr>
        <w:ind w:left="760" w:right="79" w:hanging="332"/>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sequential rise in lumber prices in the second and third quarters, which favorably impacted our gross profit per unit of products sold on a variable price such as ProWood pressure-treated lumber.</w:t>
      </w:r>
    </w:p>
    <w:p>
      <w:pPr>
        <w:spacing w:after="0" w:line="162"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$22.5 million, or 25.5%, in the first nine months of 2020 compared to the same period of 2019, while we reported a 22% increase in unit sales. Acquired operations since the third quarter of 2019 contributed approximately $1.9 million to this increase. Accrued bonus expense increased approximately $14.9 million and totaled approximately $26.9 for the first nine months of 2020. The remaining increase was due to increases in salaries and wages and in-store merchandising costs, offset by a decline in advertising and travel and related costs.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increased in the first nine months of 2020 compared to 2019 by $74.5 million, or 156.5%, well in excess of our 22% increase in unit sales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2020 increased 4% compared to the same period of 2019, due to a 6% increase in selling prices attributable to the Lumber Market, offset by a 2% decrease in unit sales due to the impact of the pandemic and government imposed shutdowns.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Gross profits increased by 1.8% to $48.2 million for the third quarter of 2020 compared to the same period of 2019. We estimate the higher level of lumber prices (see “Impact of the Lumber Market on Our Operating Results”) caused a decline in margin of 100 basis points as our gross margins dropped to 17.1% from 17.4% last year. We experienced a 70 basis point improvement in our profitability due to the impact of favorable changes in product mix and effectively passing along increases in commodity lumber costs to our customers.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by approximately $.4 million, or 1.7%, in the third quarter of 2020 compared to the same period of 2019. Acquired operations since the third quarter of 2019 contributed approximately $0.9 million to our costs. Accrued bonus expense, which varies with our pre-bonus operating profit and return on investment, decreased approximately $.9 million, and totaled $6.1 million for the quarter. The remaining decrease was due to a variety of factors.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Industrial reportable segment increased in the third quarter of 2020 compared to 2019 by $1.3 million, or 6.1%, due to the factors discussed above.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2020 decreased 9% compared to the same period of 2019, due to a 10% decrease in unit sales, reflective of the impact of the pandemic on our Industrial business.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Gross profits in the first nine months of 2020 declined 5.7% to $127.6 million compared to the same period of 2019, while gross margins increased to 16.7% compared to 16.1% for the same period of 2019. We estimate the higher level of lumber prices caused a decline in margin of 20 basis points. The improvement in our gross margin was primarily due to the impact of effective inventory positioning resulting in lower lumber costs early in the year, favorable changes in product mix, and effectively passing along increases in commodity lumber costs to our customers.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by approximately $1.4 million, or 1.9%, in the first nine months of 2020 compared to the same period of 2019. Acquired operations since the third quarter of 2019 contributed approximately $2.0 million to total SG&amp;A expenses. Accrued bonus expense decreased approximately $4.2 million compared to the same period of 2019 and totaled approximately $12.5 for the first nine months of 2020. This reduction was partially offset by increases in salaries and wages, sales compensation, and amortization expense.</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Industrial reportable segment decreased in the first nine months of 2020 compared to 2019 by $6.4 million, or 10.6%,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2020 were flat compared to the same period of 2019, due to a 9% increase in selling prices attributable to the Lumber Market, offset by a 9% decrease in unit sales due to the impact of the pandemic. Unit changes within this segment consisted of declines of 2% in concrete forming, 8% in site-built construction, and 37% in commercial construction, offset by a 7% increase in factory-built housing.</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profits decreased by $10.2 million, or 14.2% to $62.1 million for the third quarter of 2020 compared to the same period of 2019. Gross margin decreased to 13.9% from 16.2% for the same period last year. We estimate the higher level of the lumber prices (see “Impact of the Lumber Market on Our Operating Results”) caused a 140 basis point decrease in our gross margin. The decrease in our gross profit was comprised of the following factors:</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site-built construction business unit decreased by $10.6 million due to a combination of lower unit sales and higher commodity lumber costs, which adversely impacted our profit per unit of products we sell on a fixed price to our customers for a period of time.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unit sales in our commercial business unit, which has a more significant fixed cost structure, caused a decrease in gross profit of $6.8 million.</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lumber prices on variable priced products contributed $4.3 million in gross profit in our factory-built housing and concrete forming business units.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cost variances contributed $1.2 million in gross profit.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contributed $1.7 million.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by approximately $4.5 million, or 8.9%, in the third quarter of 2020 compared to the same period of 2019, while we reported a 9% decrease in unit sales. Acquired operations since the third quarter of 2019 contributed approximately $1.7 million to total SG&amp;A expenses for the quarter. Accrued bonus expense, which varies with our overall profitability and return on investment, decreased approximately $2.2 million, and totaled $4.7 million for the quarter. Decreases in salaries and wages, sales compensation, and travel expenses also contributed to the overall decrease in SG&amp;A.</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third quarter of 2020 compared to 2019 by $4.9 million, or 22.9%, due to the factors mentioned above.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2020 decreased 3% compared to the same period of 2019, due to an 8% decrease in unit sales due to the impact of the pandemic, offset by a 5% increase in selling prices primarily due to the Lumber Market. Unit changes within this segment consisted of declines of 1% in factory-built housing, 8% in site-built construction, and 20% in commercial construction. These declines were offset by unit increases of 2% in concrete forming.</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profits in the first nine months of 2020 declined 8.1% to $184.5 million compared to the same period of 2019. Gross margins decreased to 15.5% from 16.4% for the same period of 2019. We estimate the higher level of lumber prices caused an 80 basis point decrease in our gross margin. The decrease in our gross profits was primarily due to the same factors discussed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by approximately $9.4 million, or 6.5%, in the first nine months of 2020 compared to the same period of 2019. Acquired operations since the third quarter of 2019 contributed approximately $2.7 million to total SG&amp;A expenses. Accrued bonus expense decreased approximately $4.1 million compared to the same period of 2019 and totaled approximately $11.4 million for the first nine months of 2020. Decreases in salaries and wages, travel and medical expenses also contributed to the overall decrease in SG&amp;A.</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nine months of 2020 compared to 2019 by $5.7 million, or 10.2%,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Effective tax rates differ from statutory federal income tax rates, primarily due to provisions for foreign, state and local income taxes and permanent tax differences. Our effective tax rate was 25.4% in the third quarter of 2020 compared to 23.8% for same period in 2019 and </w:t>
      </w:r>
      <w:r>
        <w:rPr>
          <w:rFonts w:ascii="Times New Roman" w:cs="Times New Roman" w:eastAsia="Times New Roman" w:hAnsi="Times New Roman"/>
          <w:sz w:val="18"/>
          <w:szCs w:val="18"/>
          <w:color w:val="212529"/>
        </w:rPr>
        <w:t>was 25.2% in the first nine months of 2020 compared to 24.0% for the same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 2019. </w:t>
      </w:r>
      <w:r>
        <w:rPr>
          <w:rFonts w:ascii="Times New Roman" w:cs="Times New Roman" w:eastAsia="Times New Roman" w:hAnsi="Times New Roman"/>
          <w:sz w:val="18"/>
          <w:szCs w:val="18"/>
          <w:color w:val="000000"/>
        </w:rPr>
        <w:t>The increase was primarily due to the foreign tax rate differential on foreign income as well as a variety of other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discrete tax items none of which are individually significant.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5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0"/>
                <w:szCs w:val="10"/>
                <w:color w:val="auto"/>
              </w:rPr>
            </w:pPr>
          </w:p>
        </w:tc>
        <w:tc>
          <w:tcPr>
            <w:tcW w:w="9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57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198,080</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(105,985)</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r>
      <w:tr>
        <w:trPr>
          <w:trHeight w:val="22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r>
      <w:tr>
        <w:trPr>
          <w:trHeight w:val="22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28,198</w:t>
            </w:r>
          </w:p>
        </w:tc>
      </w:tr>
      <w:tr>
        <w:trPr>
          <w:trHeight w:val="21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65,227</w:t>
            </w:r>
          </w:p>
        </w:tc>
      </w:tr>
      <w:tr>
        <w:trPr>
          <w:trHeight w:val="20"/>
        </w:trPr>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 As explained in more detail below, the unusually large increase in lumber prices this year, as well as the significant increase in sales attributable to our Retail segment, resulted in an increase in net working capital this year.</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improved to 43 days from 52 days during the third quarter and to 49 days from 56 days during the first nine months of 2020 compared to the prior periods.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2740" w:type="dxa"/>
            <w:vAlign w:val="bottom"/>
          </w:tcPr>
          <w:p>
            <w:pPr>
              <w:spacing w:after="0"/>
              <w:rPr>
                <w:sz w:val="10"/>
                <w:szCs w:val="10"/>
                <w:color w:val="auto"/>
              </w:rPr>
            </w:pPr>
          </w:p>
        </w:tc>
        <w:tc>
          <w:tcPr>
            <w:tcW w:w="10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0"/>
                <w:szCs w:val="10"/>
                <w:color w:val="auto"/>
              </w:rPr>
            </w:pPr>
          </w:p>
        </w:tc>
        <w:tc>
          <w:tcPr>
            <w:tcW w:w="108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9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r>
      <w:tr>
        <w:trPr>
          <w:trHeight w:val="180"/>
        </w:trPr>
        <w:tc>
          <w:tcPr>
            <w:tcW w:w="2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r>
      <w:tr>
        <w:trPr>
          <w:trHeight w:val="203"/>
        </w:trPr>
        <w:tc>
          <w:tcPr>
            <w:tcW w:w="2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decrease in our days supply of inventory for the first nine months of 2020 was primarily due to opportunistic buying when lumber prices were low during the fourth quarter of 2018 and early 2019 to improve gross profits and higher levels of “safety stock” we carried to address transportation challenges and ensure timely deliveries to our customers. We did not engage in this level of opportunistic buying in late 2019 and early 2020. Strong demand in our retail segment and shortages of supply contributed to higher inventory turns in the third quarter of 2020.</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first nine months of 2020, our cash provided by operating activities was $185.1 million, which was comprised of net earnings of $189.1 million and $55.6 million of non-cash expenses, offset by a $59.7 million seasonal increase in working capital since the end of December 2019. Our operating cash flow this year declined by $13.0 million compared to the same period of last year primarily due to an increase in our net working capital since the end of 2019. Conversely, our net working capital at the end of the third quarter of 2019 decreased compared to the end of 2018. Our net working capital at the end of the third quarter of 2020 increased due to unusually high lumber prices as well the strong sales growth of our retail segment, which resulted in an increase in our accounts receivable.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Acquisitions and purchases of property, plant, and equipment comprised most of our cash used in investing activities during the first nine months of 2020 and totaled $34.8 million and $67.0 million, respectively. Outstanding purchase commitments on existing capital projects totaled approximately $21.3 million on September 26, 2020. Notable areas of capital spending include projects to expand capacity and enhance the productivity of our Deckorators product line, several projects to expand manufacturing capacity to serve industrial customers and achieve efficiencies through automation, improvements to a number of facilities, and an increase our transportation capacity (tractors, trailers) in order to meet higher volumes and replace old rolling stock. We intend to fund capital expenditures and purchase commitments through our operating cash flows or cash surplus for the balance of the year. The sales and purchases of investments totaling $22.3 million and $24.3 million, respectively, are due to investment activity in our captive insurance subsidiary.</w:t>
      </w:r>
    </w:p>
    <w:p>
      <w:pPr>
        <w:spacing w:after="0" w:line="18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primarily consisted of issuances of long-term debt of $150 million, net repayments of debt of approximately $3.1 million, the payment of quarterly dividends totaling $23.0 million, or $0.125 per share, and repurchases of approximately 756,000 shares of our common stock for $29.2 million resulting in an average price paid of $38.62.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September 26, 2020, we had $4.4 million outstanding on our $375 million revolving credit facility, and we had approximately $360.6 million in remaining availability after considering $9.8 million in outstanding letters of credit. There is no availability remaining under an existing “shelf agreement” for long term debt, after a $150 million note was issued in August 2020.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26, 2020.</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third quarter of 2020 we have approximately $700 million in total liquidity, consisting of our cash surplus and remaining availability under our revolving credit facility. We plan to use a portion of this amount to fund our future growth.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2019.</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recent re-organization of our reportable segments now centered on our primary markets (retail, industrial, and construction), there were no indicators of impairment for any of the new reporting units. We continue to monitor the results of our commercial business unit (a reporting unit under the Construction segment), which primarily includes idX, as it has performed below expectations through 2019. While idX has faced challenging end market conditions resulting in this under-performance, we believe our growth and operating improvement strategies and related long-term projections for idX are still reasonable and attainable. Consequently, while the risk of impairment exists, management does not believe an impairment is currently required. Should the Company’s future analysis indicate a significant change in any of the triggering events for this reporting unit, it could result in impairment of the carrying value of goodwill to its implied fair value. There can be no assurance that the Company’s future goodwill impairment testing will not result in a charge to earnings. The total value of goodwill and identifiable intangibles associated with the commercial reporting unit is $12.3 million and $4.5 million, respectively, at the end of September 2020.</w:t>
      </w:r>
    </w:p>
    <w:p>
      <w:pPr>
        <w:spacing w:after="0" w:line="1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Most recently, the Company’s long-term goals have been to:</w:t>
      </w:r>
    </w:p>
    <w:p>
      <w:pPr>
        <w:spacing w:after="0" w:line="63" w:lineRule="exact"/>
        <w:rPr>
          <w:sz w:val="20"/>
          <w:szCs w:val="20"/>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long-term unit sales growth that exceeds positive U.S. GDP by 4 percent to 6 percent;</w:t>
      </w:r>
    </w:p>
    <w:p>
      <w:pPr>
        <w:spacing w:after="0" w:line="63"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earnings from operations in excess of our unit sales growth; and</w:t>
      </w:r>
    </w:p>
    <w:p>
      <w:pPr>
        <w:spacing w:after="0" w:line="63"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a return on invested capital in excess of our weighted average cost of capital.</w:t>
      </w:r>
    </w:p>
    <w:p>
      <w:pPr>
        <w:spacing w:after="0" w:line="2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believe the effective execution of our strategies will allow us to continue to achieve these long-term goals in the future, our ability to achieve them over the next year may be adversely impacted by a variety of external factors such as continuing developments in the COVID-19 pandemic, trends in commodity lumber prices, the availability and cost of labor and materials, and general election results in the U.S. The following variables should be considered when evaluating our performance over the next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3"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this year we experienced a decrease in customer demand and unit sales in our industrial and construction segments as a result of numerous stay at home orders issued by states in which we operate as some of our customers did not meet the requirements to be an “essential business” and were temporarily shut down. For those customers who remained operating, demand declined for the majority of them. As these orders were lifted and these customers resumed operations demand trends for our products improved significantly throughout the quarter. However, there can be no assurance that another “wave” of COVID-19 will not occur and result in additional “stay at home” and similar orders that would adversely impact the demand of our products. In addition, demand for our products in the retail segment has been exceptionally strong as consumers have increased their home improvement activities during the pandemic. There can be no assurance demand will continue at these levels in the future. Market indicators that should be considered when evaluating future demand for our products include:</w:t>
      </w:r>
    </w:p>
    <w:p>
      <w:pPr>
        <w:spacing w:after="0" w:line="83" w:lineRule="exact"/>
        <w:rPr>
          <w:rFonts w:ascii="Times New Roman" w:cs="Times New Roman" w:eastAsia="Times New Roman" w:hAnsi="Times New Roman"/>
          <w:sz w:val="18"/>
          <w:szCs w:val="18"/>
          <w:color w:val="auto"/>
        </w:rPr>
      </w:pPr>
    </w:p>
    <w:p>
      <w:pPr>
        <w:jc w:val="both"/>
        <w:ind w:left="1220" w:right="79" w:hanging="333"/>
        <w:spacing w:after="0" w:line="266"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growth of national home improvement retail customers, the leading indicator for remodeling activity and home improvement spending forecasts. Sales of our Retail Solutions segment comprises approximately 44% of our year-to-date total sales.</w:t>
      </w:r>
    </w:p>
    <w:p>
      <w:pPr>
        <w:spacing w:after="0" w:line="13" w:lineRule="exact"/>
        <w:rPr>
          <w:rFonts w:ascii="Times New Roman" w:cs="Times New Roman" w:eastAsia="Times New Roman" w:hAnsi="Times New Roman"/>
          <w:sz w:val="18"/>
          <w:szCs w:val="18"/>
          <w:color w:val="auto"/>
        </w:rPr>
      </w:pPr>
    </w:p>
    <w:p>
      <w:pPr>
        <w:jc w:val="both"/>
        <w:ind w:left="1220" w:right="79" w:hanging="333"/>
        <w:spacing w:after="0" w:line="266"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starts in the northeast and mid-Atlantic states, Colorado, and Texas. Sales of our Site Built business unit within our Construction segment comprises approximately 13% of our year-to-date total sales.</w:t>
      </w:r>
    </w:p>
    <w:p>
      <w:pPr>
        <w:spacing w:after="0" w:line="13" w:lineRule="exact"/>
        <w:rPr>
          <w:rFonts w:ascii="Times New Roman" w:cs="Times New Roman" w:eastAsia="Times New Roman" w:hAnsi="Times New Roman"/>
          <w:sz w:val="18"/>
          <w:szCs w:val="18"/>
          <w:color w:val="auto"/>
        </w:rPr>
      </w:pPr>
    </w:p>
    <w:p>
      <w:pPr>
        <w:ind w:left="1220" w:right="79" w:hanging="333"/>
        <w:spacing w:after="0" w:line="281"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manufactured housing. Sales of our Factory Built business unit within our Construction segment comprises 11% of our year-to-date total sales.</w:t>
      </w:r>
    </w:p>
    <w:p>
      <w:pPr>
        <w:spacing w:after="0" w:line="1" w:lineRule="exact"/>
        <w:rPr>
          <w:rFonts w:ascii="Times New Roman" w:cs="Times New Roman" w:eastAsia="Times New Roman" w:hAnsi="Times New Roman"/>
          <w:sz w:val="18"/>
          <w:szCs w:val="18"/>
          <w:color w:val="auto"/>
        </w:rPr>
      </w:pPr>
    </w:p>
    <w:p>
      <w:pPr>
        <w:ind w:left="1220" w:right="79" w:hanging="333"/>
        <w:spacing w:after="0" w:line="281"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Non-residential construction spending. Sales of our Commercial and Concrete Forming business units within our Construction segment comprises approximately 8% of our year-to-date total sales.</w:t>
      </w:r>
    </w:p>
    <w:p>
      <w:pPr>
        <w:spacing w:after="0" w:line="1" w:lineRule="exact"/>
        <w:rPr>
          <w:rFonts w:ascii="Times New Roman" w:cs="Times New Roman" w:eastAsia="Times New Roman" w:hAnsi="Times New Roman"/>
          <w:sz w:val="18"/>
          <w:szCs w:val="18"/>
          <w:color w:val="auto"/>
        </w:rPr>
      </w:pPr>
    </w:p>
    <w:p>
      <w:pPr>
        <w:ind w:left="1220" w:right="79" w:hanging="333"/>
        <w:spacing w:after="0" w:line="282"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production, Purchasing Managers Index, and U.S. GDP. Sales of our Industrial segment comprises approximately 20% of our total year-to-date sales.</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over 150 geographically dispersed plant locations, many of which have the ability to serve multiple market segments. These capabilities enhance our ability to supply our customers from multiple locations in the event an operation is idled due to the pandemic. To date, one of our operations remains temporarily idled and one has been permanently idled. Depending on the length of any future “stay at home” orders and the severity of the impact on future customer demand, we could temporarily or permanently idle additional locations in the future. These actions could result in certain losses including asset impairment charges to property, plant and equipment, right of use leased assets, inventory, other long-lived assets, and certain exit costs.</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3"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pandemic and an anticipated reduction in demand, our suppliers significantly curtailed capacity through a variety of actions earlier this year. As the economy re-opened this summer, demand has recovered substantially and been much stronger than expected. Consequently, commodity lumber prices reached historically high levels by the end of the third quarter of 2020 (see Historical Lumber Prices). As our suppliers work through their backlog of orders and we reach the seasonally slower months of fall and winter in many areas of the country we anticipate commodity lumber prices will decrease to normalized levels. As lumber prices decline, we expect this may adversely impact our profit per unit of products we sell on a variable price formula. Conversely, this may benefit our profit per unit of products we sell at a fixed price for a period of time. See Impact of the Lumber Market on Our Operating Results. In addition, a decline in lumber prices will reduce our net investment in working capital and contribute to our cash flows from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consolidated basis, and based on our 2019 results of operations and business mix, we believe our decremental operating margin is in a range of 10% to 15% of net sales. In other words, we believe for every dollar decrease in sales, relative to the prior year, our earnings from operations may decline by 10 cents to 15 cents. As a point of reference, our peak to trough decremental operating margin during the Great Recession was approximately 13.5% (2006 peak to 2011 trough). In addition to the variables above, factors that may cause our actual results to vary significantly from this range include:</w:t>
      </w:r>
    </w:p>
    <w:p>
      <w:pPr>
        <w:spacing w:after="0" w:line="79" w:lineRule="exact"/>
        <w:rPr>
          <w:rFonts w:ascii="Times New Roman" w:cs="Times New Roman" w:eastAsia="Times New Roman" w:hAnsi="Times New Roman"/>
          <w:sz w:val="18"/>
          <w:szCs w:val="18"/>
          <w:color w:val="auto"/>
        </w:rPr>
      </w:pPr>
    </w:p>
    <w:p>
      <w:pPr>
        <w:ind w:left="1220" w:hanging="333"/>
        <w:spacing w:after="0"/>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selling prices</w:t>
      </w:r>
    </w:p>
    <w:p>
      <w:pPr>
        <w:spacing w:after="0" w:line="63" w:lineRule="exact"/>
        <w:rPr>
          <w:rFonts w:ascii="Times New Roman" w:cs="Times New Roman" w:eastAsia="Times New Roman" w:hAnsi="Times New Roman"/>
          <w:sz w:val="18"/>
          <w:szCs w:val="18"/>
          <w:color w:val="auto"/>
        </w:rPr>
      </w:pPr>
    </w:p>
    <w:p>
      <w:pPr>
        <w:ind w:left="1220" w:hanging="333"/>
        <w:spacing w:after="0"/>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 by market segment and product</w:t>
      </w:r>
    </w:p>
    <w:p>
      <w:pPr>
        <w:spacing w:after="0" w:line="63" w:lineRule="exact"/>
        <w:rPr>
          <w:rFonts w:ascii="Times New Roman" w:cs="Times New Roman" w:eastAsia="Times New Roman" w:hAnsi="Times New Roman"/>
          <w:sz w:val="18"/>
          <w:szCs w:val="18"/>
          <w:color w:val="auto"/>
        </w:rPr>
      </w:pPr>
    </w:p>
    <w:p>
      <w:pPr>
        <w:ind w:left="1220" w:hanging="333"/>
        <w:spacing w:after="0"/>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level of the Lumber Market and trends in the commodity costs of our products</w:t>
      </w:r>
    </w:p>
    <w:p>
      <w:pPr>
        <w:spacing w:after="0" w:line="63" w:lineRule="exact"/>
        <w:rPr>
          <w:rFonts w:ascii="Times New Roman" w:cs="Times New Roman" w:eastAsia="Times New Roman" w:hAnsi="Times New Roman"/>
          <w:sz w:val="18"/>
          <w:szCs w:val="18"/>
          <w:color w:val="auto"/>
        </w:rPr>
      </w:pPr>
    </w:p>
    <w:p>
      <w:pPr>
        <w:ind w:left="1220" w:hanging="333"/>
        <w:spacing w:after="0"/>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rates</w:t>
      </w:r>
    </w:p>
    <w:p>
      <w:pPr>
        <w:spacing w:after="0" w:line="63" w:lineRule="exact"/>
        <w:rPr>
          <w:rFonts w:ascii="Times New Roman" w:cs="Times New Roman" w:eastAsia="Times New Roman" w:hAnsi="Times New Roman"/>
          <w:sz w:val="18"/>
          <w:szCs w:val="18"/>
          <w:color w:val="auto"/>
        </w:rPr>
      </w:pPr>
    </w:p>
    <w:p>
      <w:pPr>
        <w:ind w:left="1220" w:right="79" w:hanging="333"/>
        <w:spacing w:after="0" w:line="281"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variable manufacturing, freight, selling, general, and administrative costs, particularly certain personnel costs, in line with net sales</w:t>
      </w:r>
    </w:p>
    <w:p>
      <w:pPr>
        <w:spacing w:after="0" w:line="1" w:lineRule="exact"/>
        <w:rPr>
          <w:rFonts w:ascii="Times New Roman" w:cs="Times New Roman" w:eastAsia="Times New Roman" w:hAnsi="Times New Roman"/>
          <w:sz w:val="18"/>
          <w:szCs w:val="18"/>
          <w:color w:val="auto"/>
        </w:rPr>
      </w:pPr>
    </w:p>
    <w:p>
      <w:pPr>
        <w:ind w:left="1220" w:right="79" w:hanging="333"/>
        <w:spacing w:after="0" w:line="282"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salaried bonus plan, which is based on pre-bonus profits and achieving minimum levels of pre-bonus return on investment over a required hurdle rate</w:t>
      </w:r>
    </w:p>
    <w:p>
      <w:pPr>
        <w:spacing w:after="0" w:line="215" w:lineRule="exact"/>
        <w:rPr>
          <w:rFonts w:ascii="Times New Roman" w:cs="Times New Roman" w:eastAsia="Times New Roman" w:hAnsi="Times New Roman"/>
          <w:sz w:val="18"/>
          <w:szCs w:val="18"/>
          <w:color w:val="auto"/>
        </w:rPr>
      </w:pPr>
    </w:p>
    <w:p>
      <w:pPr>
        <w:jc w:val="both"/>
        <w:ind w:left="880" w:right="79" w:hanging="317"/>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cash flow and liquidity position our capital expenditures budget is $100 million for 2020 as we plan to capitalize on opportunities to grow and achieve operational efficiencies through automation.</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CARES act allows us to defer certain payroll taxes from the end of March through the end of our 2020 fiscal year, which we estimate will total approximately $20 million. This liability must be paid in equal annual installments on December 31, 2021 and December 31, 2022.</w:t>
      </w:r>
    </w:p>
    <w:p>
      <w:pPr>
        <w:spacing w:after="0" w:line="17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cash cycle will remain consistent with historical trends and result in a reduction in working capital and increase in cash as sales decline.</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53"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diversification of our business and execution of our people we’ve achieved strong earnings and operating cash flows, which has contributed to a strong balance sheet in which our cash surplus of $346 million exceeds our debt of $314 million and our shareholders’ equity is over $1.4 billion at the end of the third quarter of 2020. Additionally, we currently have approximately $700 million of liquidity. Our historical methodology for capital allocation has been to follow a return-based, balanced approach in which we maintain or increase our dividends in line with our growth in earnings and operating cash flows, repurchase our common stock in an amount which offsets issuances under our share-based compensation plans and at times when we believe it is under-valued, and invest in capital expenditures and business acquisitions that allow us to achieve our strategic objectives. We currently anticipate investments in growing our business through capital expenditures and business acquisitions will comprise the highest use of our capital availability. Finally, we manage our capital structure conservatively by attempting to maintain targeted ratios of debt to equity and debt to earnings before interest, taxes, depreciation and amortization while reserving sufficient levels of liquidity for unanticipated opportunities and events.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26, 2020 (the “Evaluation Date”),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September 26, 2020,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impact of COVID-19 (Coronavirus) pandemic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outbreaks, such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COVID-19 pandemic, could have an adverse impact on the Company's operations and financial results. These outbreaks may adversely impact our business, consolidated results of operations and financial condition, such as the current COVID-19 pandemic. COVID-19,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has caused, and may continue to cause, us to materially curtail certain segments, and could have a material adverse effect on the results of our operations and cash flow.</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economic conditions and our customers’ ability to operate may impact their ability to pay. </w:t>
      </w:r>
      <w:r>
        <w:rPr>
          <w:rFonts w:ascii="Times New Roman" w:cs="Times New Roman" w:eastAsia="Times New Roman" w:hAnsi="Times New Roman"/>
          <w:sz w:val="18"/>
          <w:szCs w:val="18"/>
          <w:color w:val="auto"/>
        </w:rPr>
        <w:t>This may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at the end of September was approximately 95% current. Most recently our bad debt expense as a percentage of sales was 0.09%, 0.03%, and 0.03%, in 2019, 2018, and 2017, respectively. During the most difficult collection period of the Great Recession, from 2008 through 2010, our bad debt expense as a percentage of sales averaged 0.25%.</w:t>
      </w:r>
    </w:p>
    <w:p>
      <w:pPr>
        <w:spacing w:after="0" w:line="183"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could be limited future availability of materials from our suppliers. </w:t>
      </w:r>
      <w:r>
        <w:rPr>
          <w:rFonts w:ascii="Times New Roman" w:cs="Times New Roman" w:eastAsia="Times New Roman" w:hAnsi="Times New Roman"/>
          <w:sz w:val="18"/>
          <w:szCs w:val="18"/>
          <w:color w:val="auto"/>
        </w:rPr>
        <w:t>Many of our suppliers reduced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capacity in response to the anticipated reduction in demand from the pandemic, which in turn impacted our ability to fulfill all of our customers’ orders. Our suppliers are currently taking actions to increase capacity to meet expectations of future demand.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r>
      <w:tr>
        <w:trPr>
          <w:trHeight w:val="209"/>
        </w:trPr>
        <w:tc>
          <w:tcPr>
            <w:tcW w:w="58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 August 1, 2020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1,103,957</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August</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 – 29, 2020</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1,103,957</w:t>
            </w: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August</w:t>
            </w:r>
          </w:p>
        </w:tc>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September 26, 2020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1,103,957</w:t>
            </w:r>
          </w:p>
        </w:tc>
      </w:tr>
      <w:tr>
        <w:trPr>
          <w:trHeight w:val="108"/>
        </w:trPr>
        <w:tc>
          <w:tcPr>
            <w:tcW w:w="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40" w:right="41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w:t>
        </w:r>
      </w:hyperlink>
      <w:hyperlink w:anchor="page39">
        <w:r>
          <w:rPr>
            <w:rFonts w:ascii="Times New Roman" w:cs="Times New Roman" w:eastAsia="Times New Roman" w:hAnsi="Times New Roman"/>
            <w:sz w:val="18"/>
            <w:szCs w:val="18"/>
            <w:u w:val="single" w:color="auto"/>
            <w:color w:val="0000EE"/>
          </w:rPr>
          <w:t>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w:t>
        </w:r>
      </w:hyperlink>
      <w:hyperlink w:anchor="page40">
        <w:r>
          <w:rPr>
            <w:rFonts w:ascii="Times New Roman" w:cs="Times New Roman" w:eastAsia="Times New Roman" w:hAnsi="Times New Roman"/>
            <w:sz w:val="18"/>
            <w:szCs w:val="18"/>
            <w:u w:val="single" w:color="auto"/>
            <w:color w:val="0000EE"/>
          </w:rPr>
          <w:t>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540" w:hanging="490"/>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w:t>
        </w:r>
      </w:hyperlink>
      <w:hyperlink w:anchor="page41">
        <w:r>
          <w:rPr>
            <w:rFonts w:ascii="Times New Roman" w:cs="Times New Roman" w:eastAsia="Times New Roman" w:hAnsi="Times New Roman"/>
            <w:sz w:val="18"/>
            <w:szCs w:val="18"/>
            <w:u w:val="single" w:color="auto"/>
            <w:color w:val="0000EE"/>
          </w:rPr>
          <w:t>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w:t>
        </w:r>
      </w:hyperlink>
      <w:hyperlink w:anchor="page42">
        <w:r>
          <w:rPr>
            <w:rFonts w:ascii="Times New Roman" w:cs="Times New Roman" w:eastAsia="Times New Roman" w:hAnsi="Times New Roman"/>
            <w:sz w:val="18"/>
            <w:szCs w:val="18"/>
            <w:u w:val="single" w:color="auto"/>
            <w:color w:val="0000EE"/>
          </w:rPr>
          <w:t>Oxley Act of 2002 (18 U.S.C. 1350).</w:t>
        </w:r>
      </w:hyperlink>
    </w:p>
    <w:p>
      <w:pPr>
        <w:spacing w:after="0" w:line="162" w:lineRule="exact"/>
        <w:rPr>
          <w:rFonts w:ascii="Times New Roman" w:cs="Times New Roman" w:eastAsia="Times New Roman" w:hAnsi="Times New Roman"/>
          <w:sz w:val="18"/>
          <w:szCs w:val="18"/>
          <w:color w:val="auto"/>
        </w:rPr>
      </w:pPr>
    </w:p>
    <w:p>
      <w:pPr>
        <w:ind w:left="540" w:right="1859" w:hanging="490"/>
        <w:spacing w:after="0" w:line="50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October 28, 2020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0" w:right="1440"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October 28, 2020</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7"/>
        </w:trPr>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October 28, 2020</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26, 2020,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26, 2020,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28, 2020</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26, 2020,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26, 2020,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28, 2020</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1"/>
    </w:lvl>
  </w:abstractNum>
  <w:abstractNum w:abstractNumId="3">
    <w:nsid w:val="436C6125"/>
    <w:multiLevelType w:val="hybridMultilevel"/>
    <w:lvl w:ilvl="0">
      <w:lvlJc w:val="left"/>
      <w:lvlText w:val="%1."/>
      <w:numFmt w:val="upperLetter"/>
      <w:start w:val="2"/>
    </w:lvl>
  </w:abstractNum>
  <w:abstractNum w:abstractNumId="4">
    <w:nsid w:val="628C895D"/>
    <w:multiLevelType w:val="hybridMultilevel"/>
    <w:lvl w:ilvl="0">
      <w:lvlJc w:val="left"/>
      <w:lvlText w:val="%1."/>
      <w:numFmt w:val="upperLetter"/>
      <w:start w:val="3"/>
    </w:lvl>
  </w:abstractNum>
  <w:abstractNum w:abstractNumId="5">
    <w:nsid w:val="333AB105"/>
    <w:multiLevelType w:val="hybridMultilevel"/>
    <w:lvl w:ilvl="0">
      <w:lvlJc w:val="left"/>
      <w:lvlText w:val="%1."/>
      <w:numFmt w:val="upperLetter"/>
      <w:start w:val="4"/>
    </w:lvl>
  </w:abstractNum>
  <w:abstractNum w:abstractNumId="6">
    <w:nsid w:val="721DA317"/>
    <w:multiLevelType w:val="hybridMultilevel"/>
    <w:lvl w:ilvl="0">
      <w:lvlJc w:val="left"/>
      <w:lvlText w:val="%1."/>
      <w:numFmt w:val="upperLetter"/>
      <w:start w:val="5"/>
    </w:lvl>
  </w:abstractNum>
  <w:abstractNum w:abstractNumId="7">
    <w:nsid w:val="2443A858"/>
    <w:multiLevelType w:val="hybridMultilevel"/>
    <w:lvl w:ilvl="0">
      <w:lvlJc w:val="left"/>
      <w:lvlText w:val="%1."/>
      <w:numFmt w:val="upperLetter"/>
      <w:start w:val="6"/>
    </w:lvl>
  </w:abstractNum>
  <w:abstractNum w:abstractNumId="8">
    <w:nsid w:val="2D1D5AE9"/>
    <w:multiLevelType w:val="hybridMultilevel"/>
    <w:lvl w:ilvl="0">
      <w:lvlJc w:val="left"/>
      <w:lvlText w:val="%1."/>
      <w:numFmt w:val="upperLetter"/>
      <w:start w:val="7"/>
    </w:lvl>
  </w:abstractNum>
  <w:abstractNum w:abstractNumId="9">
    <w:nsid w:val="6763845E"/>
    <w:multiLevelType w:val="hybridMultilevel"/>
    <w:lvl w:ilvl="0">
      <w:lvlJc w:val="left"/>
      <w:lvlText w:val="%1."/>
      <w:numFmt w:val="upperLetter"/>
      <w:start w:val="8"/>
    </w:lvl>
  </w:abstractNum>
  <w:abstractNum w:abstractNumId="10">
    <w:nsid w:val="75A2A8D4"/>
    <w:multiLevelType w:val="hybridMultilevel"/>
    <w:lvl w:ilvl="0">
      <w:lvlJc w:val="left"/>
      <w:lvlText w:val="%1."/>
      <w:numFmt w:val="upperLetter"/>
      <w:start w:val="9"/>
    </w:lvl>
  </w:abstractNum>
  <w:abstractNum w:abstractNumId="11">
    <w:nsid w:val="8EDBDAB"/>
    <w:multiLevelType w:val="hybridMultilevel"/>
    <w:lvl w:ilvl="0">
      <w:lvlJc w:val="left"/>
      <w:lvlText w:val="%1."/>
      <w:numFmt w:val="upperLetter"/>
      <w:start w:val="10"/>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
      <w:numFmt w:val="bullet"/>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31"/>
    </w:lvl>
    <w:lvl w:ilvl="1">
      <w:lvlJc w:val="left"/>
      <w:lvlText w:val="(%2)"/>
      <w:numFmt w:val="lowerLetter"/>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2020-10-28T15:11:44Z</dcterms:created>
  <dcterms:modified xsi:type="dcterms:W3CDTF">2020-10-28T15:11:44Z</dcterms:modified>
</cp:coreProperties>
</file>