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15</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(Amendment No. 2)*</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Universal Forest Products, Inc.</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Common Stock, no par value</w:t>
      </w:r>
    </w:p>
    <w:p>
      <w:pPr>
        <w:spacing w:after="0" w:line="1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913543104</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January 31, 2008</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13d-1(b)</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o Rule 13d-1(c)</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Rule 13d-1(d)</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240" w:top="239" w:right="479" w:bottom="1440" w:gutter="0" w:footer="0" w:header="0"/>
        </w:sectPr>
      </w:pPr>
    </w:p>
    <w:bookmarkStart w:id="1" w:name="page2"/>
    <w:bookmarkEnd w:id="1"/>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15</w:t>
      </w:r>
    </w:p>
    <w:p>
      <w:pPr>
        <w:spacing w:after="0" w:line="225" w:lineRule="exact"/>
        <w:rPr>
          <w:sz w:val="20"/>
          <w:szCs w:val="20"/>
          <w:color w:val="auto"/>
        </w:rPr>
      </w:pPr>
    </w:p>
    <w:p>
      <w:pPr>
        <w:ind w:left="660" w:right="6799" w:hanging="652"/>
        <w:spacing w:after="0" w:line="598"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Franklin Resources,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1"/>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ind w:left="900" w:hanging="244"/>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660" w:right="5979"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300" w:right="7099" w:hanging="644"/>
        <w:spacing w:after="0" w:line="563"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300" w:right="6839" w:hanging="644"/>
        <w:spacing w:after="0" w:line="563"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300" w:right="6719" w:hanging="644"/>
        <w:spacing w:after="0" w:line="563"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300" w:right="6439" w:hanging="644"/>
        <w:spacing w:after="0" w:line="563"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660" w:right="3159" w:hanging="652"/>
        <w:spacing w:after="0" w:line="53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1,976,325</w:t>
      </w:r>
    </w:p>
    <w:p>
      <w:pPr>
        <w:ind w:left="660" w:right="4579" w:hanging="652"/>
        <w:spacing w:after="0" w:line="29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86" w:lineRule="exact"/>
        <w:rPr>
          <w:rFonts w:ascii="Arial" w:cs="Arial" w:eastAsia="Arial" w:hAnsi="Arial"/>
          <w:sz w:val="18"/>
          <w:szCs w:val="18"/>
          <w:color w:val="auto"/>
        </w:rPr>
      </w:pPr>
    </w:p>
    <w:p>
      <w:pPr>
        <w:ind w:left="660" w:right="4619" w:hanging="652"/>
        <w:spacing w:after="0" w:line="53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10.4%</w:t>
      </w:r>
    </w:p>
    <w:p>
      <w:pPr>
        <w:ind w:left="660" w:right="7119" w:hanging="652"/>
        <w:spacing w:after="0" w:line="64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TYPE OF REPORTING PERSON HC, CO (See Item 4)</w:t>
      </w:r>
    </w:p>
    <w:p>
      <w:pPr>
        <w:sectPr>
          <w:pgSz w:w="11900" w:h="16838" w:orient="portrait"/>
          <w:cols w:equalWidth="0" w:num="1">
            <w:col w:w="10219"/>
          </w:cols>
          <w:pgMar w:left="240" w:top="131" w:right="1440" w:bottom="1440" w:gutter="0" w:footer="0" w:header="0"/>
        </w:sectPr>
      </w:pPr>
    </w:p>
    <w:bookmarkStart w:id="2" w:name="page3"/>
    <w:bookmarkEnd w:id="2"/>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15</w:t>
      </w:r>
    </w:p>
    <w:p>
      <w:pPr>
        <w:spacing w:after="0" w:line="225" w:lineRule="exact"/>
        <w:rPr>
          <w:sz w:val="20"/>
          <w:szCs w:val="20"/>
          <w:color w:val="auto"/>
        </w:rPr>
      </w:pPr>
    </w:p>
    <w:p>
      <w:pPr>
        <w:ind w:left="660" w:right="6799" w:hanging="652"/>
        <w:spacing w:after="0" w:line="53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Charles B. Johnson</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4"/>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660" w:right="5979" w:hanging="652"/>
        <w:spacing w:after="0" w:line="53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300" w:right="7099" w:hanging="644"/>
        <w:spacing w:after="0" w:line="5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300" w:right="6839" w:hanging="644"/>
        <w:spacing w:after="0" w:line="5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300" w:right="6719" w:hanging="644"/>
        <w:spacing w:after="0" w:line="5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300" w:right="6439" w:hanging="644"/>
        <w:spacing w:after="0" w:line="5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660" w:right="3159" w:hanging="652"/>
        <w:spacing w:after="0" w:line="53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1,976,325</w:t>
      </w:r>
    </w:p>
    <w:p>
      <w:pPr>
        <w:ind w:left="660" w:right="4579" w:hanging="652"/>
        <w:spacing w:after="0" w:line="29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86" w:lineRule="exact"/>
        <w:rPr>
          <w:rFonts w:ascii="Arial" w:cs="Arial" w:eastAsia="Arial" w:hAnsi="Arial"/>
          <w:sz w:val="18"/>
          <w:szCs w:val="18"/>
          <w:color w:val="auto"/>
        </w:rPr>
      </w:pPr>
    </w:p>
    <w:p>
      <w:pPr>
        <w:ind w:left="660" w:right="4619" w:hanging="652"/>
        <w:spacing w:after="0" w:line="53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10.4%</w:t>
      </w:r>
    </w:p>
    <w:p>
      <w:pPr>
        <w:ind w:left="660" w:right="7119" w:hanging="652"/>
        <w:spacing w:after="0" w:line="5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ectPr>
          <w:pgSz w:w="11900" w:h="16838" w:orient="portrait"/>
          <w:cols w:equalWidth="0" w:num="1">
            <w:col w:w="10219"/>
          </w:cols>
          <w:pgMar w:left="240" w:top="131" w:right="1440" w:bottom="1440" w:gutter="0" w:footer="0" w:header="0"/>
        </w:sectPr>
      </w:pPr>
    </w:p>
    <w:bookmarkStart w:id="3" w:name="page4"/>
    <w:bookmarkEnd w:id="3"/>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15</w:t>
      </w:r>
    </w:p>
    <w:p>
      <w:pPr>
        <w:spacing w:after="0" w:line="225" w:lineRule="exact"/>
        <w:rPr>
          <w:sz w:val="20"/>
          <w:szCs w:val="20"/>
          <w:color w:val="auto"/>
        </w:rPr>
      </w:pPr>
    </w:p>
    <w:p>
      <w:pPr>
        <w:ind w:left="660" w:right="6799" w:hanging="652"/>
        <w:spacing w:after="0" w:line="59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NAMES OF REPORTING PERSONS. Rupert H. Johnson, Jr.</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7"/>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660" w:right="5979" w:hanging="652"/>
        <w:spacing w:after="0" w:line="53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300" w:right="7099" w:hanging="644"/>
        <w:spacing w:after="0" w:line="5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300" w:right="6839" w:hanging="644"/>
        <w:spacing w:after="0" w:line="5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300" w:right="6719" w:hanging="644"/>
        <w:spacing w:after="0" w:line="5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300" w:right="6439" w:hanging="644"/>
        <w:spacing w:after="0" w:line="5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660" w:right="3159" w:hanging="652"/>
        <w:spacing w:after="0" w:line="53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1,976,325</w:t>
      </w:r>
    </w:p>
    <w:p>
      <w:pPr>
        <w:ind w:left="660" w:right="4579" w:hanging="652"/>
        <w:spacing w:after="0" w:line="29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86" w:lineRule="exact"/>
        <w:rPr>
          <w:rFonts w:ascii="Arial" w:cs="Arial" w:eastAsia="Arial" w:hAnsi="Arial"/>
          <w:sz w:val="18"/>
          <w:szCs w:val="18"/>
          <w:color w:val="auto"/>
        </w:rPr>
      </w:pPr>
    </w:p>
    <w:p>
      <w:pPr>
        <w:ind w:left="660" w:right="4619" w:hanging="652"/>
        <w:spacing w:after="0" w:line="53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10.4%</w:t>
      </w:r>
    </w:p>
    <w:p>
      <w:pPr>
        <w:ind w:left="660" w:right="7119" w:hanging="652"/>
        <w:spacing w:after="0" w:line="5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ectPr>
          <w:pgSz w:w="11900" w:h="16838" w:orient="portrait"/>
          <w:cols w:equalWidth="0" w:num="1">
            <w:col w:w="10219"/>
          </w:cols>
          <w:pgMar w:left="240" w:top="131" w:right="1440" w:bottom="1440" w:gutter="0" w:footer="0" w:header="0"/>
        </w:sectPr>
      </w:pPr>
    </w:p>
    <w:bookmarkStart w:id="4" w:name="page5"/>
    <w:bookmarkEnd w:id="4"/>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15</w:t>
      </w:r>
    </w:p>
    <w:p>
      <w:pPr>
        <w:spacing w:after="0" w:line="225" w:lineRule="exact"/>
        <w:rPr>
          <w:sz w:val="20"/>
          <w:szCs w:val="20"/>
          <w:color w:val="auto"/>
        </w:rPr>
      </w:pPr>
    </w:p>
    <w:p>
      <w:pPr>
        <w:ind w:left="660" w:right="6799" w:hanging="652"/>
        <w:spacing w:after="0" w:line="59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Franklin Advisory Services, LLC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10"/>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660" w:right="5979" w:hanging="652"/>
        <w:spacing w:after="0" w:line="53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300" w:right="7099" w:hanging="644"/>
        <w:spacing w:after="0" w:line="5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 1,931,325</w:t>
      </w:r>
    </w:p>
    <w:p>
      <w:pPr>
        <w:spacing w:after="0" w:line="1" w:lineRule="exact"/>
        <w:rPr>
          <w:rFonts w:ascii="Arial" w:cs="Arial" w:eastAsia="Arial" w:hAnsi="Arial"/>
          <w:sz w:val="18"/>
          <w:szCs w:val="18"/>
          <w:color w:val="auto"/>
        </w:rPr>
      </w:pPr>
    </w:p>
    <w:p>
      <w:pPr>
        <w:ind w:left="1300" w:right="6839" w:hanging="644"/>
        <w:spacing w:after="0" w:line="5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300" w:right="6719" w:hanging="644"/>
        <w:spacing w:after="0" w:line="5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DISPOSITIVE POWER 1,976,325</w:t>
      </w:r>
    </w:p>
    <w:p>
      <w:pPr>
        <w:spacing w:after="0" w:line="1" w:lineRule="exact"/>
        <w:rPr>
          <w:rFonts w:ascii="Arial" w:cs="Arial" w:eastAsia="Arial" w:hAnsi="Arial"/>
          <w:sz w:val="18"/>
          <w:szCs w:val="18"/>
          <w:color w:val="auto"/>
        </w:rPr>
      </w:pPr>
    </w:p>
    <w:p>
      <w:pPr>
        <w:ind w:left="1300" w:right="6439" w:hanging="644"/>
        <w:spacing w:after="0" w:line="5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3159" w:hanging="652"/>
        <w:spacing w:after="0" w:line="53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1,976,325</w:t>
      </w:r>
    </w:p>
    <w:p>
      <w:pPr>
        <w:ind w:left="660" w:right="4579" w:hanging="652"/>
        <w:spacing w:after="0" w:line="29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86" w:lineRule="exact"/>
        <w:rPr>
          <w:rFonts w:ascii="Arial" w:cs="Arial" w:eastAsia="Arial" w:hAnsi="Arial"/>
          <w:sz w:val="18"/>
          <w:szCs w:val="18"/>
          <w:color w:val="auto"/>
        </w:rPr>
      </w:pPr>
    </w:p>
    <w:p>
      <w:pPr>
        <w:ind w:left="660" w:right="4619" w:hanging="652"/>
        <w:spacing w:after="0" w:line="53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10.4%</w:t>
      </w:r>
    </w:p>
    <w:p>
      <w:pPr>
        <w:ind w:left="660" w:right="7119" w:hanging="652"/>
        <w:spacing w:after="0" w:line="5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IA, OO</w:t>
      </w:r>
    </w:p>
    <w:p>
      <w:pPr>
        <w:sectPr>
          <w:pgSz w:w="11900" w:h="16838" w:orient="portrait"/>
          <w:cols w:equalWidth="0" w:num="1">
            <w:col w:w="10219"/>
          </w:cols>
          <w:pgMar w:left="240" w:top="131" w:right="1440" w:bottom="1440" w:gutter="0" w:footer="0" w:header="0"/>
        </w:sectPr>
      </w:pPr>
    </w:p>
    <w:bookmarkStart w:id="5" w:name="page6"/>
    <w:bookmarkEnd w:id="5"/>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Name of Issuer</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Universal Forest Products,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 Address of Issuer's Principal Executive Offices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2801 East Beltline NE</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Grand Rapids, MI 49525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 Name of Person Filing</w:t>
      </w:r>
    </w:p>
    <w:p>
      <w:pPr>
        <w:spacing w:after="0" w:line="1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Franklin Resources, Inc.</w:t>
      </w:r>
    </w:p>
    <w:p>
      <w:pPr>
        <w:spacing w:after="0" w:line="57"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Charles B. Johnson</w:t>
      </w:r>
    </w:p>
    <w:p>
      <w:pPr>
        <w:spacing w:after="0" w:line="63"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Rupert H. Johnson, Jr.</w:t>
      </w:r>
    </w:p>
    <w:p>
      <w:pPr>
        <w:spacing w:after="0" w:line="63"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Franklin Advisory Services,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(ii), and (iii):</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Franklin Parkway</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San Mateo, CA 94403-1906</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(iv):</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Parker Plaza, 9th Floor</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Fort Lee, NJ 07024</w:t>
      </w:r>
    </w:p>
    <w:p>
      <w:pPr>
        <w:spacing w:after="0" w:line="25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rFonts w:ascii="Arial" w:cs="Arial" w:eastAsia="Arial" w:hAnsi="Arial"/>
          <w:sz w:val="18"/>
          <w:szCs w:val="18"/>
          <w:color w:val="auto"/>
        </w:rPr>
      </w:pPr>
    </w:p>
    <w:p>
      <w:pPr>
        <w:ind w:left="760" w:hanging="212"/>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and (iv): Delaware</w:t>
      </w:r>
    </w:p>
    <w:p>
      <w:pPr>
        <w:spacing w:after="0" w:line="63" w:lineRule="exact"/>
        <w:rPr>
          <w:rFonts w:ascii="Arial" w:cs="Arial" w:eastAsia="Arial" w:hAnsi="Arial"/>
          <w:sz w:val="18"/>
          <w:szCs w:val="18"/>
          <w:color w:val="auto"/>
        </w:rPr>
      </w:pPr>
    </w:p>
    <w:p>
      <w:pPr>
        <w:ind w:left="800" w:hanging="252"/>
        <w:spacing w:after="0"/>
        <w:tabs>
          <w:tab w:leader="none" w:pos="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and (iii): USA</w:t>
      </w:r>
    </w:p>
    <w:p>
      <w:pPr>
        <w:spacing w:after="0" w:line="252" w:lineRule="exact"/>
        <w:rPr>
          <w:rFonts w:ascii="Arial" w:cs="Arial" w:eastAsia="Arial" w:hAnsi="Arial"/>
          <w:sz w:val="18"/>
          <w:szCs w:val="18"/>
          <w:color w:val="auto"/>
        </w:rPr>
      </w:pPr>
    </w:p>
    <w:p>
      <w:pPr>
        <w:ind w:left="540" w:right="7619" w:hanging="532"/>
        <w:spacing w:after="0" w:line="657" w:lineRule="auto"/>
        <w:tabs>
          <w:tab w:leader="none" w:pos="2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Title of Class of Securities Common Stock, no par value</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913543104</w:t>
      </w:r>
    </w:p>
    <w:p>
      <w:pPr>
        <w:sectPr>
          <w:pgSz w:w="11900" w:h="16838" w:orient="portrait"/>
          <w:cols w:equalWidth="0" w:num="1">
            <w:col w:w="10219"/>
          </w:cols>
          <w:pgMar w:left="240" w:top="131" w:right="1440" w:bottom="1440" w:gutter="0" w:footer="0" w:header="0"/>
        </w:sectPr>
      </w:pPr>
    </w:p>
    <w:bookmarkStart w:id="6" w:name="page7"/>
    <w:bookmarkEnd w:id="6"/>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ind w:left="1300" w:hanging="320"/>
        <w:spacing w:after="0" w:line="190" w:lineRule="auto"/>
        <w:tabs>
          <w:tab w:leader="none" w:pos="1300" w:val="left"/>
        </w:tabs>
        <w:numPr>
          <w:ilvl w:val="0"/>
          <w:numId w:val="14"/>
        </w:numPr>
        <w:rPr>
          <w:rFonts w:ascii="Arial" w:cs="Arial" w:eastAsia="Arial" w:hAnsi="Arial"/>
          <w:sz w:val="49"/>
          <w:szCs w:val="49"/>
          <w:b w:val="1"/>
          <w:bCs w:val="1"/>
          <w:color w:val="auto"/>
          <w:vertAlign w:val="subscript"/>
        </w:rPr>
      </w:pPr>
      <w:r>
        <w:rPr>
          <w:rFonts w:ascii="Arial" w:cs="Arial" w:eastAsia="Arial" w:hAnsi="Arial"/>
          <w:sz w:val="18"/>
          <w:szCs w:val="18"/>
          <w:color w:val="auto"/>
        </w:rPr>
        <w:t>o Broker or dealer registered under section 15 of the Act (15 U.S.C. 78o).</w:t>
      </w:r>
    </w:p>
    <w:p>
      <w:pPr>
        <w:spacing w:after="0" w:line="75" w:lineRule="exact"/>
        <w:rPr>
          <w:rFonts w:ascii="Arial" w:cs="Arial" w:eastAsia="Arial" w:hAnsi="Arial"/>
          <w:sz w:val="49"/>
          <w:szCs w:val="49"/>
          <w:b w:val="1"/>
          <w:bCs w:val="1"/>
          <w:color w:val="auto"/>
          <w:vertAlign w:val="subscript"/>
        </w:rPr>
      </w:pPr>
    </w:p>
    <w:p>
      <w:pPr>
        <w:ind w:left="1300" w:hanging="320"/>
        <w:spacing w:after="0" w:line="182" w:lineRule="auto"/>
        <w:tabs>
          <w:tab w:leader="none" w:pos="1300" w:val="left"/>
        </w:tabs>
        <w:numPr>
          <w:ilvl w:val="0"/>
          <w:numId w:val="14"/>
        </w:numPr>
        <w:rPr>
          <w:rFonts w:ascii="Arial" w:cs="Arial" w:eastAsia="Arial" w:hAnsi="Arial"/>
          <w:sz w:val="24"/>
          <w:szCs w:val="24"/>
          <w:b w:val="1"/>
          <w:bCs w:val="1"/>
          <w:color w:val="auto"/>
          <w:vertAlign w:val="subscript"/>
        </w:rPr>
      </w:pPr>
      <w:r>
        <w:rPr>
          <w:rFonts w:ascii="Arial" w:cs="Arial" w:eastAsia="Arial" w:hAnsi="Arial"/>
          <w:sz w:val="13"/>
          <w:szCs w:val="13"/>
          <w:color w:val="auto"/>
        </w:rPr>
        <w:t>o Bank as defined in section 3(a)(6) of the Act (15 U.S.C. 78c).</w:t>
      </w:r>
    </w:p>
    <w:p>
      <w:pPr>
        <w:spacing w:after="0" w:line="74" w:lineRule="exact"/>
        <w:rPr>
          <w:rFonts w:ascii="Arial" w:cs="Arial" w:eastAsia="Arial" w:hAnsi="Arial"/>
          <w:sz w:val="24"/>
          <w:szCs w:val="24"/>
          <w:b w:val="1"/>
          <w:bCs w:val="1"/>
          <w:color w:val="auto"/>
          <w:vertAlign w:val="subscript"/>
        </w:rPr>
      </w:pPr>
    </w:p>
    <w:p>
      <w:pPr>
        <w:ind w:left="1300" w:hanging="320"/>
        <w:spacing w:after="0" w:line="182" w:lineRule="auto"/>
        <w:tabs>
          <w:tab w:leader="none" w:pos="1300" w:val="left"/>
        </w:tabs>
        <w:numPr>
          <w:ilvl w:val="0"/>
          <w:numId w:val="14"/>
        </w:numPr>
        <w:rPr>
          <w:rFonts w:ascii="Arial" w:cs="Arial" w:eastAsia="Arial" w:hAnsi="Arial"/>
          <w:sz w:val="24"/>
          <w:szCs w:val="24"/>
          <w:b w:val="1"/>
          <w:bCs w:val="1"/>
          <w:color w:val="auto"/>
          <w:vertAlign w:val="subscript"/>
        </w:rPr>
      </w:pPr>
      <w:r>
        <w:rPr>
          <w:rFonts w:ascii="Arial" w:cs="Arial" w:eastAsia="Arial" w:hAnsi="Arial"/>
          <w:sz w:val="13"/>
          <w:szCs w:val="13"/>
          <w:color w:val="auto"/>
        </w:rPr>
        <w:t>o Insurance company as defined in section 3(a)(19) of the Act (15 U.S.C. 78c).</w:t>
      </w:r>
    </w:p>
    <w:p>
      <w:pPr>
        <w:spacing w:after="0" w:line="74" w:lineRule="exact"/>
        <w:rPr>
          <w:rFonts w:ascii="Arial" w:cs="Arial" w:eastAsia="Arial" w:hAnsi="Arial"/>
          <w:sz w:val="24"/>
          <w:szCs w:val="24"/>
          <w:b w:val="1"/>
          <w:bCs w:val="1"/>
          <w:color w:val="auto"/>
          <w:vertAlign w:val="subscript"/>
        </w:rPr>
      </w:pPr>
    </w:p>
    <w:p>
      <w:pPr>
        <w:ind w:left="1300" w:hanging="320"/>
        <w:spacing w:after="0" w:line="182" w:lineRule="auto"/>
        <w:tabs>
          <w:tab w:leader="none" w:pos="1300" w:val="left"/>
        </w:tabs>
        <w:numPr>
          <w:ilvl w:val="0"/>
          <w:numId w:val="14"/>
        </w:numPr>
        <w:rPr>
          <w:rFonts w:ascii="Arial" w:cs="Arial" w:eastAsia="Arial" w:hAnsi="Arial"/>
          <w:sz w:val="24"/>
          <w:szCs w:val="24"/>
          <w:b w:val="1"/>
          <w:bCs w:val="1"/>
          <w:color w:val="auto"/>
          <w:vertAlign w:val="subscript"/>
        </w:rPr>
      </w:pPr>
      <w:r>
        <w:rPr>
          <w:rFonts w:ascii="Arial" w:cs="Arial" w:eastAsia="Arial" w:hAnsi="Arial"/>
          <w:sz w:val="13"/>
          <w:szCs w:val="13"/>
          <w:color w:val="auto"/>
        </w:rPr>
        <w:t>o Investment company registered under section 8 of the Investment Company Act of 1940 (15 U.S.C 80a-8).</w:t>
      </w:r>
    </w:p>
    <w:p>
      <w:pPr>
        <w:spacing w:after="0" w:line="74" w:lineRule="exact"/>
        <w:rPr>
          <w:rFonts w:ascii="Arial" w:cs="Arial" w:eastAsia="Arial" w:hAnsi="Arial"/>
          <w:sz w:val="24"/>
          <w:szCs w:val="24"/>
          <w:b w:val="1"/>
          <w:bCs w:val="1"/>
          <w:color w:val="auto"/>
          <w:vertAlign w:val="subscript"/>
        </w:rPr>
      </w:pPr>
    </w:p>
    <w:p>
      <w:pPr>
        <w:ind w:left="1300" w:hanging="320"/>
        <w:spacing w:after="0" w:line="216" w:lineRule="auto"/>
        <w:tabs>
          <w:tab w:leader="none" w:pos="1300" w:val="left"/>
        </w:tabs>
        <w:numPr>
          <w:ilvl w:val="0"/>
          <w:numId w:val="14"/>
        </w:numPr>
        <w:rPr>
          <w:rFonts w:ascii="Arial" w:cs="Arial" w:eastAsia="Arial" w:hAnsi="Arial"/>
          <w:sz w:val="24"/>
          <w:szCs w:val="24"/>
          <w:b w:val="1"/>
          <w:bCs w:val="1"/>
          <w:color w:val="auto"/>
        </w:rPr>
      </w:pPr>
      <w:r>
        <w:rPr>
          <w:rFonts w:ascii="Arial" w:cs="Arial" w:eastAsia="Arial" w:hAnsi="Arial"/>
          <w:sz w:val="22"/>
          <w:szCs w:val="22"/>
          <w:color w:val="auto"/>
        </w:rPr>
        <w:t xml:space="preserve">x </w:t>
      </w:r>
      <w:r>
        <w:rPr>
          <w:rFonts w:ascii="Arial" w:cs="Arial" w:eastAsia="Arial" w:hAnsi="Arial"/>
          <w:sz w:val="17"/>
          <w:szCs w:val="17"/>
          <w:color w:val="auto"/>
        </w:rPr>
        <w:t>An investment adviser in accordance with §240.13d-1(b)(1)(ii)(E);</w:t>
      </w:r>
    </w:p>
    <w:p>
      <w:pPr>
        <w:spacing w:after="0" w:line="35" w:lineRule="exact"/>
        <w:rPr>
          <w:rFonts w:ascii="Arial" w:cs="Arial" w:eastAsia="Arial" w:hAnsi="Arial"/>
          <w:sz w:val="24"/>
          <w:szCs w:val="24"/>
          <w:b w:val="1"/>
          <w:bCs w:val="1"/>
          <w:color w:val="auto"/>
        </w:rPr>
      </w:pPr>
    </w:p>
    <w:p>
      <w:pPr>
        <w:ind w:left="1300" w:hanging="320"/>
        <w:spacing w:after="0" w:line="182" w:lineRule="auto"/>
        <w:tabs>
          <w:tab w:leader="none" w:pos="1300" w:val="left"/>
        </w:tabs>
        <w:numPr>
          <w:ilvl w:val="0"/>
          <w:numId w:val="14"/>
        </w:numPr>
        <w:rPr>
          <w:rFonts w:ascii="Arial" w:cs="Arial" w:eastAsia="Arial" w:hAnsi="Arial"/>
          <w:sz w:val="24"/>
          <w:szCs w:val="24"/>
          <w:b w:val="1"/>
          <w:bCs w:val="1"/>
          <w:color w:val="auto"/>
          <w:vertAlign w:val="subscript"/>
        </w:rPr>
      </w:pPr>
      <w:r>
        <w:rPr>
          <w:rFonts w:ascii="Arial" w:cs="Arial" w:eastAsia="Arial" w:hAnsi="Arial"/>
          <w:sz w:val="13"/>
          <w:szCs w:val="13"/>
          <w:color w:val="auto"/>
        </w:rPr>
        <w:t>o An employee benefit plan or endowment fund in accordance with §240.13d-1(b)(1)(ii)(F);</w:t>
      </w:r>
    </w:p>
    <w:p>
      <w:pPr>
        <w:spacing w:after="0" w:line="74" w:lineRule="exact"/>
        <w:rPr>
          <w:rFonts w:ascii="Arial" w:cs="Arial" w:eastAsia="Arial" w:hAnsi="Arial"/>
          <w:sz w:val="24"/>
          <w:szCs w:val="24"/>
          <w:b w:val="1"/>
          <w:bCs w:val="1"/>
          <w:color w:val="auto"/>
          <w:vertAlign w:val="subscript"/>
        </w:rPr>
      </w:pPr>
    </w:p>
    <w:p>
      <w:pPr>
        <w:ind w:left="1300" w:hanging="320"/>
        <w:spacing w:after="0" w:line="216" w:lineRule="auto"/>
        <w:tabs>
          <w:tab w:leader="none" w:pos="1300" w:val="left"/>
        </w:tabs>
        <w:numPr>
          <w:ilvl w:val="0"/>
          <w:numId w:val="14"/>
        </w:numPr>
        <w:rPr>
          <w:rFonts w:ascii="Arial" w:cs="Arial" w:eastAsia="Arial" w:hAnsi="Arial"/>
          <w:sz w:val="24"/>
          <w:szCs w:val="24"/>
          <w:b w:val="1"/>
          <w:bCs w:val="1"/>
          <w:color w:val="auto"/>
        </w:rPr>
      </w:pPr>
      <w:r>
        <w:rPr>
          <w:rFonts w:ascii="Arial" w:cs="Arial" w:eastAsia="Arial" w:hAnsi="Arial"/>
          <w:sz w:val="22"/>
          <w:szCs w:val="22"/>
          <w:color w:val="auto"/>
        </w:rPr>
        <w:t xml:space="preserve">x </w:t>
      </w:r>
      <w:r>
        <w:rPr>
          <w:rFonts w:ascii="Arial" w:cs="Arial" w:eastAsia="Arial" w:hAnsi="Arial"/>
          <w:sz w:val="17"/>
          <w:szCs w:val="17"/>
          <w:color w:val="auto"/>
        </w:rPr>
        <w:t>A parent holding company or control person in accordance with §240.13d-1(b)(1)(ii)(G);</w:t>
      </w:r>
    </w:p>
    <w:p>
      <w:pPr>
        <w:spacing w:after="0" w:line="35" w:lineRule="exact"/>
        <w:rPr>
          <w:rFonts w:ascii="Arial" w:cs="Arial" w:eastAsia="Arial" w:hAnsi="Arial"/>
          <w:sz w:val="24"/>
          <w:szCs w:val="24"/>
          <w:b w:val="1"/>
          <w:bCs w:val="1"/>
          <w:color w:val="auto"/>
        </w:rPr>
      </w:pPr>
    </w:p>
    <w:p>
      <w:pPr>
        <w:ind w:left="1300" w:hanging="320"/>
        <w:spacing w:after="0" w:line="182" w:lineRule="auto"/>
        <w:tabs>
          <w:tab w:leader="none" w:pos="1300" w:val="left"/>
        </w:tabs>
        <w:numPr>
          <w:ilvl w:val="0"/>
          <w:numId w:val="14"/>
        </w:numPr>
        <w:rPr>
          <w:rFonts w:ascii="Arial" w:cs="Arial" w:eastAsia="Arial" w:hAnsi="Arial"/>
          <w:sz w:val="24"/>
          <w:szCs w:val="24"/>
          <w:b w:val="1"/>
          <w:bCs w:val="1"/>
          <w:color w:val="auto"/>
          <w:vertAlign w:val="subscript"/>
        </w:rPr>
      </w:pPr>
      <w:r>
        <w:rPr>
          <w:rFonts w:ascii="Arial" w:cs="Arial" w:eastAsia="Arial" w:hAnsi="Arial"/>
          <w:sz w:val="13"/>
          <w:szCs w:val="13"/>
          <w:color w:val="auto"/>
        </w:rPr>
        <w:t>o A savings associations as defined in Section 3(b) of the Federal Deposit Insurance Act (12 U.S.C. 1813);</w:t>
      </w:r>
    </w:p>
    <w:p>
      <w:pPr>
        <w:spacing w:after="0" w:line="74" w:lineRule="exact"/>
        <w:rPr>
          <w:rFonts w:ascii="Arial" w:cs="Arial" w:eastAsia="Arial" w:hAnsi="Arial"/>
          <w:sz w:val="24"/>
          <w:szCs w:val="24"/>
          <w:b w:val="1"/>
          <w:bCs w:val="1"/>
          <w:color w:val="auto"/>
          <w:vertAlign w:val="subscript"/>
        </w:rPr>
      </w:pPr>
    </w:p>
    <w:p>
      <w:pPr>
        <w:ind w:left="1300" w:right="80" w:hanging="320"/>
        <w:spacing w:after="0" w:line="181" w:lineRule="auto"/>
        <w:tabs>
          <w:tab w:leader="none" w:pos="1300" w:val="left"/>
        </w:tabs>
        <w:numPr>
          <w:ilvl w:val="0"/>
          <w:numId w:val="14"/>
        </w:numPr>
        <w:rPr>
          <w:rFonts w:ascii="Arial" w:cs="Arial" w:eastAsia="Arial" w:hAnsi="Arial"/>
          <w:sz w:val="34"/>
          <w:szCs w:val="34"/>
          <w:b w:val="1"/>
          <w:bCs w:val="1"/>
          <w:color w:val="auto"/>
          <w:vertAlign w:val="subscript"/>
        </w:rPr>
      </w:pPr>
      <w:r>
        <w:rPr>
          <w:rFonts w:ascii="Arial" w:cs="Arial" w:eastAsia="Arial" w:hAnsi="Arial"/>
          <w:sz w:val="15"/>
          <w:szCs w:val="15"/>
          <w:color w:val="auto"/>
        </w:rPr>
        <w:t>o A church plan that is excluded from the definition of an investment company under section 3(c)(14) of the Investment Company Act of 1940 (15 U.S.C. 80a-3);</w:t>
      </w:r>
    </w:p>
    <w:p>
      <w:pPr>
        <w:ind w:left="1300" w:hanging="320"/>
        <w:spacing w:after="0" w:line="180" w:lineRule="auto"/>
        <w:tabs>
          <w:tab w:leader="none" w:pos="1300" w:val="left"/>
        </w:tabs>
        <w:numPr>
          <w:ilvl w:val="0"/>
          <w:numId w:val="14"/>
        </w:numPr>
        <w:rPr>
          <w:rFonts w:ascii="Arial" w:cs="Arial" w:eastAsia="Arial" w:hAnsi="Arial"/>
          <w:sz w:val="25"/>
          <w:szCs w:val="25"/>
          <w:b w:val="1"/>
          <w:bCs w:val="1"/>
          <w:color w:val="auto"/>
          <w:vertAlign w:val="subscript"/>
        </w:rPr>
      </w:pPr>
      <w:r>
        <w:rPr>
          <w:rFonts w:ascii="Arial" w:cs="Arial" w:eastAsia="Arial" w:hAnsi="Arial"/>
          <w:sz w:val="13"/>
          <w:szCs w:val="13"/>
          <w:color w:val="auto"/>
        </w:rPr>
        <w:t>o Group, in accordance with §240.13d-1(b)(1)(ii)(J).</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securities reported herein (the “Securities”) are beneficially owned by one or more open- or closed-end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13d-3 under the Act, the Investment Management Subsidiaries may be deemed to be the beneficial owners of the Securities.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an indirect wholly-owned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Charles B. Johnson and Rupert H. Johnson, Jr. (the “Principal Shareholders”) each own in excess of 10% of the outstanding common stock of FRI and are the principal stockholders of FRI.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w:t>
      </w:r>
    </w:p>
    <w:p>
      <w:pPr>
        <w:sectPr>
          <w:pgSz w:w="11900" w:h="16838" w:orient="portrait"/>
          <w:cols w:equalWidth="0" w:num="1">
            <w:col w:w="11420"/>
          </w:cols>
          <w:pgMar w:left="240" w:top="131" w:right="239" w:bottom="1440" w:gutter="0" w:footer="0" w:header="0"/>
        </w:sectPr>
      </w:pPr>
    </w:p>
    <w:bookmarkStart w:id="7" w:name="page8"/>
    <w:bookmarkEnd w:id="7"/>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disclaims that it is, the beneficial owner, as defined in Rule 13d-3, of any of the Securities.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FRI subsidiaries provide investment management services.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(a) Amount beneficially owned:</w:t>
            </w:r>
          </w:p>
        </w:tc>
        <w:tc>
          <w:tcPr>
            <w:tcW w:w="1820" w:type="dxa"/>
            <w:vAlign w:val="bottom"/>
          </w:tcPr>
          <w:p>
            <w:pPr>
              <w:spacing w:after="0"/>
              <w:rPr>
                <w:sz w:val="19"/>
                <w:szCs w:val="19"/>
                <w:color w:val="auto"/>
              </w:rPr>
            </w:pPr>
          </w:p>
        </w:tc>
      </w:tr>
      <w:tr>
        <w:trPr>
          <w:trHeight w:val="486"/>
        </w:trPr>
        <w:tc>
          <w:tcPr>
            <w:tcW w:w="5040" w:type="dxa"/>
            <w:vAlign w:val="bottom"/>
          </w:tcPr>
          <w:p>
            <w:pPr>
              <w:ind w:left="420"/>
              <w:spacing w:after="0"/>
              <w:rPr>
                <w:sz w:val="20"/>
                <w:szCs w:val="20"/>
                <w:color w:val="auto"/>
              </w:rPr>
            </w:pPr>
            <w:r>
              <w:rPr>
                <w:rFonts w:ascii="Arial" w:cs="Arial" w:eastAsia="Arial" w:hAnsi="Arial"/>
                <w:sz w:val="18"/>
                <w:szCs w:val="18"/>
                <w:color w:val="auto"/>
              </w:rPr>
              <w:t>1,976,325</w:t>
            </w:r>
          </w:p>
        </w:tc>
        <w:tc>
          <w:tcPr>
            <w:tcW w:w="1820" w:type="dxa"/>
            <w:vAlign w:val="bottom"/>
          </w:tcPr>
          <w:p>
            <w:pPr>
              <w:spacing w:after="0"/>
              <w:rPr>
                <w:sz w:val="24"/>
                <w:szCs w:val="24"/>
                <w:color w:val="auto"/>
              </w:rPr>
            </w:pPr>
          </w:p>
        </w:tc>
      </w:tr>
      <w:tr>
        <w:trPr>
          <w:trHeight w:val="486"/>
        </w:trPr>
        <w:tc>
          <w:tcPr>
            <w:tcW w:w="5040" w:type="dxa"/>
            <w:vAlign w:val="bottom"/>
          </w:tcPr>
          <w:p>
            <w:pPr>
              <w:spacing w:after="0"/>
              <w:rPr>
                <w:sz w:val="20"/>
                <w:szCs w:val="20"/>
                <w:color w:val="auto"/>
              </w:rPr>
            </w:pPr>
            <w:r>
              <w:rPr>
                <w:rFonts w:ascii="Arial" w:cs="Arial" w:eastAsia="Arial" w:hAnsi="Arial"/>
                <w:sz w:val="18"/>
                <w:szCs w:val="18"/>
                <w:color w:val="auto"/>
              </w:rPr>
              <w:t>(b) Percent of class:</w:t>
            </w:r>
          </w:p>
        </w:tc>
        <w:tc>
          <w:tcPr>
            <w:tcW w:w="1820" w:type="dxa"/>
            <w:vAlign w:val="bottom"/>
          </w:tcPr>
          <w:p>
            <w:pPr>
              <w:spacing w:after="0"/>
              <w:rPr>
                <w:sz w:val="24"/>
                <w:szCs w:val="24"/>
                <w:color w:val="auto"/>
              </w:rPr>
            </w:pPr>
          </w:p>
        </w:tc>
      </w:tr>
      <w:tr>
        <w:trPr>
          <w:trHeight w:val="486"/>
        </w:trPr>
        <w:tc>
          <w:tcPr>
            <w:tcW w:w="5040" w:type="dxa"/>
            <w:vAlign w:val="bottom"/>
          </w:tcPr>
          <w:p>
            <w:pPr>
              <w:ind w:left="420"/>
              <w:spacing w:after="0"/>
              <w:rPr>
                <w:sz w:val="20"/>
                <w:szCs w:val="20"/>
                <w:color w:val="auto"/>
              </w:rPr>
            </w:pPr>
            <w:r>
              <w:rPr>
                <w:rFonts w:ascii="Arial" w:cs="Arial" w:eastAsia="Arial" w:hAnsi="Arial"/>
                <w:sz w:val="18"/>
                <w:szCs w:val="18"/>
                <w:color w:val="auto"/>
              </w:rPr>
              <w:t>10.4%</w:t>
            </w:r>
          </w:p>
        </w:tc>
        <w:tc>
          <w:tcPr>
            <w:tcW w:w="1820" w:type="dxa"/>
            <w:vAlign w:val="bottom"/>
          </w:tcPr>
          <w:p>
            <w:pPr>
              <w:spacing w:after="0"/>
              <w:rPr>
                <w:sz w:val="24"/>
                <w:szCs w:val="24"/>
                <w:color w:val="auto"/>
              </w:rPr>
            </w:pPr>
          </w:p>
        </w:tc>
      </w:tr>
      <w:tr>
        <w:trPr>
          <w:trHeight w:val="486"/>
        </w:trPr>
        <w:tc>
          <w:tcPr>
            <w:tcW w:w="5040" w:type="dxa"/>
            <w:vAlign w:val="bottom"/>
          </w:tcPr>
          <w:p>
            <w:pPr>
              <w:spacing w:after="0"/>
              <w:rPr>
                <w:sz w:val="20"/>
                <w:szCs w:val="20"/>
                <w:color w:val="auto"/>
              </w:rPr>
            </w:pPr>
            <w:r>
              <w:rPr>
                <w:rFonts w:ascii="Arial" w:cs="Arial" w:eastAsia="Arial" w:hAnsi="Arial"/>
                <w:sz w:val="18"/>
                <w:szCs w:val="18"/>
                <w:color w:val="auto"/>
              </w:rPr>
              <w:t>(c) Number of shares as to which the person has:</w:t>
            </w:r>
          </w:p>
        </w:tc>
        <w:tc>
          <w:tcPr>
            <w:tcW w:w="1820" w:type="dxa"/>
            <w:vAlign w:val="bottom"/>
          </w:tcPr>
          <w:p>
            <w:pPr>
              <w:spacing w:after="0"/>
              <w:rPr>
                <w:sz w:val="24"/>
                <w:szCs w:val="24"/>
                <w:color w:val="auto"/>
              </w:rPr>
            </w:pPr>
          </w:p>
        </w:tc>
      </w:tr>
      <w:tr>
        <w:trPr>
          <w:trHeight w:val="486"/>
        </w:trPr>
        <w:tc>
          <w:tcPr>
            <w:tcW w:w="5040" w:type="dxa"/>
            <w:vAlign w:val="bottom"/>
          </w:tcPr>
          <w:p>
            <w:pPr>
              <w:ind w:left="200"/>
              <w:spacing w:after="0"/>
              <w:rPr>
                <w:sz w:val="20"/>
                <w:szCs w:val="20"/>
                <w:color w:val="auto"/>
              </w:rPr>
            </w:pPr>
            <w:r>
              <w:rPr>
                <w:rFonts w:ascii="Arial" w:cs="Arial" w:eastAsia="Arial" w:hAnsi="Arial"/>
                <w:sz w:val="18"/>
                <w:szCs w:val="18"/>
                <w:color w:val="auto"/>
              </w:rPr>
              <w:t>(i) Sole power to vote or to direct the vote</w:t>
            </w:r>
          </w:p>
        </w:tc>
        <w:tc>
          <w:tcPr>
            <w:tcW w:w="1820" w:type="dxa"/>
            <w:vAlign w:val="bottom"/>
          </w:tcPr>
          <w:p>
            <w:pPr>
              <w:spacing w:after="0"/>
              <w:rPr>
                <w:sz w:val="24"/>
                <w:szCs w:val="24"/>
                <w:color w:val="auto"/>
              </w:rPr>
            </w:pPr>
          </w:p>
        </w:tc>
      </w:tr>
      <w:tr>
        <w:trPr>
          <w:trHeight w:val="459"/>
        </w:trPr>
        <w:tc>
          <w:tcPr>
            <w:tcW w:w="5040" w:type="dxa"/>
            <w:vAlign w:val="bottom"/>
          </w:tcPr>
          <w:p>
            <w:pPr>
              <w:ind w:left="640"/>
              <w:spacing w:after="0"/>
              <w:rPr>
                <w:sz w:val="20"/>
                <w:szCs w:val="20"/>
                <w:color w:val="auto"/>
              </w:rPr>
            </w:pPr>
            <w:r>
              <w:rPr>
                <w:rFonts w:ascii="Arial" w:cs="Arial" w:eastAsia="Arial" w:hAnsi="Arial"/>
                <w:sz w:val="18"/>
                <w:szCs w:val="18"/>
                <w:color w:val="auto"/>
              </w:rPr>
              <w:t>Franklin Resources, Inc.:</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Charles B. Johnson:</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Rupert H. Johnson, Jr.:</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Franklin Advisory Services, LLC:</w:t>
            </w:r>
          </w:p>
        </w:tc>
        <w:tc>
          <w:tcPr>
            <w:tcW w:w="1820" w:type="dxa"/>
            <w:vAlign w:val="bottom"/>
          </w:tcPr>
          <w:p>
            <w:pPr>
              <w:ind w:left="1120"/>
              <w:spacing w:after="0"/>
              <w:rPr>
                <w:sz w:val="20"/>
                <w:szCs w:val="20"/>
                <w:color w:val="auto"/>
              </w:rPr>
            </w:pPr>
            <w:r>
              <w:rPr>
                <w:rFonts w:ascii="Arial" w:cs="Arial" w:eastAsia="Arial" w:hAnsi="Arial"/>
                <w:sz w:val="18"/>
                <w:szCs w:val="18"/>
                <w:color w:val="auto"/>
                <w:w w:val="84"/>
              </w:rPr>
              <w:t>1,931,325</w:t>
            </w:r>
          </w:p>
        </w:tc>
      </w:tr>
      <w:tr>
        <w:trPr>
          <w:trHeight w:val="513"/>
        </w:trPr>
        <w:tc>
          <w:tcPr>
            <w:tcW w:w="5040" w:type="dxa"/>
            <w:vAlign w:val="bottom"/>
          </w:tcPr>
          <w:p>
            <w:pPr>
              <w:ind w:left="100"/>
              <w:spacing w:after="0"/>
              <w:rPr>
                <w:sz w:val="20"/>
                <w:szCs w:val="20"/>
                <w:color w:val="auto"/>
              </w:rPr>
            </w:pPr>
            <w:r>
              <w:rPr>
                <w:rFonts w:ascii="Arial" w:cs="Arial" w:eastAsia="Arial" w:hAnsi="Arial"/>
                <w:sz w:val="18"/>
                <w:szCs w:val="18"/>
                <w:color w:val="auto"/>
              </w:rPr>
              <w:t>(ii) Shared power to vote or to direct the vote</w:t>
            </w:r>
          </w:p>
        </w:tc>
        <w:tc>
          <w:tcPr>
            <w:tcW w:w="1820" w:type="dxa"/>
            <w:vAlign w:val="bottom"/>
          </w:tcPr>
          <w:p>
            <w:pPr>
              <w:spacing w:after="0"/>
              <w:rPr>
                <w:sz w:val="24"/>
                <w:szCs w:val="24"/>
                <w:color w:val="auto"/>
              </w:rPr>
            </w:pPr>
          </w:p>
        </w:tc>
      </w:tr>
      <w:tr>
        <w:trPr>
          <w:trHeight w:val="486"/>
        </w:trPr>
        <w:tc>
          <w:tcPr>
            <w:tcW w:w="5040" w:type="dxa"/>
            <w:vAlign w:val="bottom"/>
          </w:tcPr>
          <w:p>
            <w:pPr>
              <w:ind w:left="640"/>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24"/>
                <w:szCs w:val="24"/>
                <w:color w:val="auto"/>
              </w:rPr>
            </w:pPr>
          </w:p>
        </w:tc>
      </w:tr>
      <w:tr>
        <w:trPr>
          <w:trHeight w:val="486"/>
        </w:trPr>
        <w:tc>
          <w:tcPr>
            <w:tcW w:w="5040" w:type="dxa"/>
            <w:vAlign w:val="bottom"/>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1820" w:type="dxa"/>
            <w:vAlign w:val="bottom"/>
          </w:tcPr>
          <w:p>
            <w:pPr>
              <w:spacing w:after="0"/>
              <w:rPr>
                <w:sz w:val="24"/>
                <w:szCs w:val="24"/>
                <w:color w:val="auto"/>
              </w:rPr>
            </w:pPr>
          </w:p>
        </w:tc>
      </w:tr>
      <w:tr>
        <w:trPr>
          <w:trHeight w:val="459"/>
        </w:trPr>
        <w:tc>
          <w:tcPr>
            <w:tcW w:w="5040" w:type="dxa"/>
            <w:vAlign w:val="bottom"/>
          </w:tcPr>
          <w:p>
            <w:pPr>
              <w:ind w:left="640"/>
              <w:spacing w:after="0"/>
              <w:rPr>
                <w:sz w:val="20"/>
                <w:szCs w:val="20"/>
                <w:color w:val="auto"/>
              </w:rPr>
            </w:pPr>
            <w:r>
              <w:rPr>
                <w:rFonts w:ascii="Arial" w:cs="Arial" w:eastAsia="Arial" w:hAnsi="Arial"/>
                <w:sz w:val="18"/>
                <w:szCs w:val="18"/>
                <w:color w:val="auto"/>
              </w:rPr>
              <w:t>Franklin Resources, Inc.:</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Charles B. Johnson:</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Rupert H. Johnson, Jr.:</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Franklin Advisory Services, LLC:</w:t>
            </w:r>
          </w:p>
        </w:tc>
        <w:tc>
          <w:tcPr>
            <w:tcW w:w="1820" w:type="dxa"/>
            <w:vAlign w:val="bottom"/>
          </w:tcPr>
          <w:p>
            <w:pPr>
              <w:ind w:left="1120"/>
              <w:spacing w:after="0"/>
              <w:rPr>
                <w:sz w:val="20"/>
                <w:szCs w:val="20"/>
                <w:color w:val="auto"/>
              </w:rPr>
            </w:pPr>
            <w:r>
              <w:rPr>
                <w:rFonts w:ascii="Arial" w:cs="Arial" w:eastAsia="Arial" w:hAnsi="Arial"/>
                <w:sz w:val="18"/>
                <w:szCs w:val="18"/>
                <w:color w:val="auto"/>
                <w:w w:val="84"/>
              </w:rPr>
              <w:t>1,976,325</w:t>
            </w:r>
          </w:p>
        </w:tc>
      </w:tr>
    </w:tbl>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left="980" w:right="300"/>
        <w:spacing w:after="0" w:line="266"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ind w:left="9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Attached Exhibit C</w:t>
      </w:r>
    </w:p>
    <w:p>
      <w:pPr>
        <w:sectPr>
          <w:pgSz w:w="11900" w:h="16838" w:orient="portrait"/>
          <w:cols w:equalWidth="0" w:num="1">
            <w:col w:w="11420"/>
          </w:cols>
          <w:pgMar w:left="240" w:top="131" w:right="239" w:bottom="1440" w:gutter="0" w:footer="0" w:header="0"/>
        </w:sectPr>
      </w:pPr>
    </w:p>
    <w:bookmarkStart w:id="8" w:name="page9"/>
    <w:bookmarkEnd w:id="8"/>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also 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 (See also Item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131" w:right="1440" w:bottom="1440" w:gutter="0" w:footer="0" w:header="0"/>
        </w:sectPr>
      </w:pPr>
    </w:p>
    <w:bookmarkStart w:id="9" w:name="page10"/>
    <w:bookmarkEnd w:id="9"/>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This report shall not be construed as an admission by the persons filing the report that they are the beneficial owner of any securities covered by this report.</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Franklin Resources,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Charles B.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/s/ MARIA GRAY</w:t>
      </w:r>
    </w:p>
    <w:p>
      <w:pPr>
        <w:ind w:left="440"/>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Maria Gray</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Secretary of Franklin Resources,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STEVEN J. GRAY</w:t>
      </w:r>
    </w:p>
    <w:p>
      <w:pPr>
        <w:ind w:left="440"/>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Steven J. Gray</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Secretary of Franklin Advisory Services, LLC</w:t>
      </w:r>
    </w:p>
    <w:p>
      <w:pPr>
        <w:sectPr>
          <w:pgSz w:w="11900" w:h="16838" w:orient="portrait"/>
          <w:cols w:equalWidth="0" w:num="1">
            <w:col w:w="11360"/>
          </w:cols>
          <w:pgMar w:left="240" w:top="131" w:right="299" w:bottom="1440" w:gutter="0" w:footer="0" w:header="0"/>
        </w:sectPr>
      </w:pPr>
    </w:p>
    <w:bookmarkStart w:id="10" w:name="page11"/>
    <w:bookmarkEnd w:id="10"/>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Franklin Resources,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Charles B.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/s/ MARIA GRAY</w:t>
      </w:r>
    </w:p>
    <w:p>
      <w:pPr>
        <w:ind w:left="440"/>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Maria Gray</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Secretary of Franklin Resources,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STEVEN J. GRAY</w:t>
      </w:r>
    </w:p>
    <w:p>
      <w:pPr>
        <w:ind w:left="440"/>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Steven J. Gray</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Secretary of Franklin Advisory Services, LLC</w:t>
      </w:r>
    </w:p>
    <w:p>
      <w:pPr>
        <w:sectPr>
          <w:pgSz w:w="11900" w:h="16838" w:orient="portrait"/>
          <w:cols w:equalWidth="0" w:num="1">
            <w:col w:w="11300"/>
          </w:cols>
          <w:pgMar w:left="240" w:top="131" w:right="359" w:bottom="1440" w:gutter="0" w:footer="0" w:header="0"/>
        </w:sectPr>
      </w:pPr>
    </w:p>
    <w:bookmarkStart w:id="11" w:name="page12"/>
    <w:bookmarkEnd w:id="11"/>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12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LIMITED POWER OF ATTORNEY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19"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right="40" w:firstLine="8"/>
        <w:spacing w:after="0" w:line="256" w:lineRule="auto"/>
        <w:tabs>
          <w:tab w:leader="none" w:pos="4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7" w:lineRule="exact"/>
        <w:rPr>
          <w:rFonts w:ascii="Arial" w:cs="Arial" w:eastAsia="Arial" w:hAnsi="Arial"/>
          <w:sz w:val="18"/>
          <w:szCs w:val="18"/>
          <w:color w:val="auto"/>
        </w:rPr>
      </w:pPr>
    </w:p>
    <w:p>
      <w:pPr>
        <w:ind w:right="40" w:firstLine="8"/>
        <w:spacing w:after="0" w:line="268" w:lineRule="auto"/>
        <w:tabs>
          <w:tab w:leader="none" w:pos="4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 attorney-in-fact are necessary or desirable for and on behalf of the undersigned in connection with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right="540" w:firstLine="8"/>
        <w:spacing w:after="0" w:line="268" w:lineRule="auto"/>
        <w:tabs>
          <w:tab w:leader="none" w:pos="4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185" w:lineRule="exact"/>
        <w:rPr>
          <w:rFonts w:ascii="Arial" w:cs="Arial" w:eastAsia="Arial" w:hAnsi="Arial"/>
          <w:sz w:val="18"/>
          <w:szCs w:val="18"/>
          <w:color w:val="auto"/>
        </w:rPr>
      </w:pPr>
    </w:p>
    <w:p>
      <w:pPr>
        <w:ind w:right="40" w:firstLine="8"/>
        <w:spacing w:after="0" w:line="332" w:lineRule="auto"/>
        <w:tabs>
          <w:tab w:leader="none" w:pos="468"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w:t>
      </w:r>
    </w:p>
    <w:p>
      <w:pPr>
        <w:spacing w:after="0" w:line="139" w:lineRule="exact"/>
        <w:rPr>
          <w:rFonts w:ascii="Arial" w:cs="Arial" w:eastAsia="Arial" w:hAnsi="Arial"/>
          <w:sz w:val="16"/>
          <w:szCs w:val="16"/>
          <w:color w:val="auto"/>
        </w:rPr>
      </w:pPr>
    </w:p>
    <w:p>
      <w:pPr>
        <w:ind w:right="860" w:firstLine="8"/>
        <w:spacing w:after="0" w:line="332" w:lineRule="auto"/>
        <w:tabs>
          <w:tab w:leader="none" w:pos="468"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Reporting Entity nor either of such attorneys-in-fact assumes (i) any liability for the undersigned’s responsibility to comply with the requirements of the Exchange Act or (ii) any liability of the undersigned for any failure to comply with such requirements; and</w:t>
      </w:r>
    </w:p>
    <w:p>
      <w:pPr>
        <w:spacing w:after="0" w:line="139" w:lineRule="exact"/>
        <w:rPr>
          <w:rFonts w:ascii="Arial" w:cs="Arial" w:eastAsia="Arial" w:hAnsi="Arial"/>
          <w:sz w:val="16"/>
          <w:szCs w:val="16"/>
          <w:color w:val="auto"/>
        </w:rPr>
      </w:pPr>
    </w:p>
    <w:p>
      <w:pPr>
        <w:ind w:right="20" w:firstLine="8"/>
        <w:spacing w:after="0" w:line="268" w:lineRule="auto"/>
        <w:tabs>
          <w:tab w:leader="none" w:pos="4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186" w:lineRule="exact"/>
        <w:rPr>
          <w:sz w:val="20"/>
          <w:szCs w:val="20"/>
          <w:color w:val="auto"/>
        </w:rPr>
      </w:pPr>
    </w:p>
    <w:p>
      <w:pPr>
        <w:ind w:right="100" w:firstLine="1297"/>
        <w:spacing w:after="0" w:line="256"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Limited Power of Attorney shall remain in full force and effect until revoked by the undersigned in a signed writing delivered to each such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IN WITNESS WHEREOF, the undersigned has caused this Limited Power of Attorney to be executed as of this </w:t>
      </w:r>
      <w:r>
        <w:rPr>
          <w:rFonts w:ascii="Arial" w:cs="Arial" w:eastAsia="Arial" w:hAnsi="Arial"/>
          <w:sz w:val="16"/>
          <w:szCs w:val="16"/>
          <w:u w:val="single" w:color="auto"/>
          <w:color w:val="auto"/>
        </w:rPr>
        <w:t>30</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day of </w:t>
      </w:r>
      <w:r>
        <w:rPr>
          <w:rFonts w:ascii="Arial" w:cs="Arial" w:eastAsia="Arial" w:hAnsi="Arial"/>
          <w:sz w:val="16"/>
          <w:szCs w:val="16"/>
          <w:u w:val="single" w:color="auto"/>
          <w:color w:val="auto"/>
        </w:rPr>
        <w:t>April</w:t>
      </w:r>
      <w:r>
        <w:rPr>
          <w:rFonts w:ascii="Arial" w:cs="Arial" w:eastAsia="Arial" w:hAnsi="Arial"/>
          <w:sz w:val="16"/>
          <w:szCs w:val="16"/>
          <w:color w:val="auto"/>
        </w:rPr>
        <w:t xml:space="preserve">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6028055</wp:posOffset>
            </wp:positionH>
            <wp:positionV relativeFrom="paragraph">
              <wp:posOffset>-47625</wp:posOffset>
            </wp:positionV>
            <wp:extent cx="27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13 OF 15</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Charles B. Johnson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Charles B. Johnson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LIMITED POWER OF ATTORNEY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19"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right="40" w:firstLine="8"/>
        <w:spacing w:after="0" w:line="256" w:lineRule="auto"/>
        <w:tabs>
          <w:tab w:leader="none" w:pos="4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7" w:lineRule="exact"/>
        <w:rPr>
          <w:rFonts w:ascii="Arial" w:cs="Arial" w:eastAsia="Arial" w:hAnsi="Arial"/>
          <w:sz w:val="18"/>
          <w:szCs w:val="18"/>
          <w:color w:val="auto"/>
        </w:rPr>
      </w:pPr>
    </w:p>
    <w:p>
      <w:pPr>
        <w:ind w:right="40" w:firstLine="8"/>
        <w:spacing w:after="0" w:line="268" w:lineRule="auto"/>
        <w:tabs>
          <w:tab w:leader="none" w:pos="4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 attorney-in-fact are necessary or desirable for and on behalf of the undersigned in connection with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right="540" w:firstLine="8"/>
        <w:spacing w:after="0" w:line="268" w:lineRule="auto"/>
        <w:tabs>
          <w:tab w:leader="none" w:pos="4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185" w:lineRule="exact"/>
        <w:rPr>
          <w:rFonts w:ascii="Arial" w:cs="Arial" w:eastAsia="Arial" w:hAnsi="Arial"/>
          <w:sz w:val="18"/>
          <w:szCs w:val="18"/>
          <w:color w:val="auto"/>
        </w:rPr>
      </w:pPr>
    </w:p>
    <w:p>
      <w:pPr>
        <w:ind w:right="40" w:firstLine="8"/>
        <w:spacing w:after="0" w:line="332" w:lineRule="auto"/>
        <w:tabs>
          <w:tab w:leader="none" w:pos="468"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w:t>
      </w:r>
    </w:p>
    <w:p>
      <w:pPr>
        <w:spacing w:after="0" w:line="139" w:lineRule="exact"/>
        <w:rPr>
          <w:rFonts w:ascii="Arial" w:cs="Arial" w:eastAsia="Arial" w:hAnsi="Arial"/>
          <w:sz w:val="16"/>
          <w:szCs w:val="16"/>
          <w:color w:val="auto"/>
        </w:rPr>
      </w:pPr>
    </w:p>
    <w:p>
      <w:pPr>
        <w:ind w:right="860" w:firstLine="8"/>
        <w:spacing w:after="0" w:line="332" w:lineRule="auto"/>
        <w:tabs>
          <w:tab w:leader="none" w:pos="468"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Reporting Entity nor either of such attorneys-in-fact assumes (i) any liability for the undersigned’s responsibility to comply with the requirements of the Exchange Act or (ii) any liability of the undersigned for any failure to comply with such requirements; and</w:t>
      </w:r>
    </w:p>
    <w:p>
      <w:pPr>
        <w:spacing w:after="0" w:line="139" w:lineRule="exact"/>
        <w:rPr>
          <w:rFonts w:ascii="Arial" w:cs="Arial" w:eastAsia="Arial" w:hAnsi="Arial"/>
          <w:sz w:val="16"/>
          <w:szCs w:val="16"/>
          <w:color w:val="auto"/>
        </w:rPr>
      </w:pPr>
    </w:p>
    <w:p>
      <w:pPr>
        <w:ind w:right="20" w:firstLine="8"/>
        <w:spacing w:after="0" w:line="268" w:lineRule="auto"/>
        <w:tabs>
          <w:tab w:leader="none" w:pos="4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186" w:lineRule="exact"/>
        <w:rPr>
          <w:sz w:val="20"/>
          <w:szCs w:val="20"/>
          <w:color w:val="auto"/>
        </w:rPr>
      </w:pPr>
    </w:p>
    <w:p>
      <w:pPr>
        <w:ind w:right="100" w:firstLine="1297"/>
        <w:spacing w:after="0" w:line="256"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Limited Power of Attorney shall remain in full force and effect until revoked by the undersigned in a signed writing delivered to each such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00"/>
          </w:cols>
          <w:pgMar w:left="240" w:top="131" w:right="259" w:bottom="1440" w:gutter="0" w:footer="0" w:header="0"/>
        </w:sectPr>
      </w:pPr>
    </w:p>
    <w:bookmarkStart w:id="13" w:name="page14"/>
    <w:bookmarkEnd w:id="13"/>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14 OF 15</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IN WITNESS WHEREOF, the undersigned has caused this Limited Power of Attorney to be executed as of this </w:t>
      </w:r>
      <w:r>
        <w:rPr>
          <w:rFonts w:ascii="Arial" w:cs="Arial" w:eastAsia="Arial" w:hAnsi="Arial"/>
          <w:sz w:val="18"/>
          <w:szCs w:val="18"/>
          <w:u w:val="single" w:color="auto"/>
          <w:color w:val="auto"/>
        </w:rPr>
        <w:t>25</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w:t>
      </w:r>
      <w:r>
        <w:rPr>
          <w:rFonts w:ascii="Arial" w:cs="Arial" w:eastAsia="Arial" w:hAnsi="Arial"/>
          <w:sz w:val="18"/>
          <w:szCs w:val="18"/>
          <w:color w:val="auto"/>
        </w:rPr>
        <w:t xml:space="preserve">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6028055</wp:posOffset>
            </wp:positionH>
            <wp:positionV relativeFrom="paragraph">
              <wp:posOffset>-69215</wp:posOffset>
            </wp:positionV>
            <wp:extent cx="27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1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Rupert H. Johnson, Jr.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Rupert H. Johnson, Jr.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0920"/>
          </w:cols>
          <w:pgMar w:left="240" w:top="131" w:right="7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CUSIP NO. 913543104</w:t>
            </w:r>
          </w:p>
        </w:tc>
        <w:tc>
          <w:tcPr>
            <w:tcW w:w="1820" w:type="dxa"/>
            <w:vAlign w:val="bottom"/>
          </w:tcPr>
          <w:p>
            <w:pPr>
              <w:ind w:left="1020"/>
              <w:spacing w:after="0"/>
              <w:rPr>
                <w:sz w:val="20"/>
                <w:szCs w:val="20"/>
                <w:color w:val="auto"/>
              </w:rPr>
            </w:pPr>
            <w:r>
              <w:rPr>
                <w:rFonts w:ascii="Arial" w:cs="Arial" w:eastAsia="Arial" w:hAnsi="Arial"/>
                <w:sz w:val="18"/>
                <w:szCs w:val="18"/>
                <w:color w:val="auto"/>
              </w:rPr>
              <w:t>13G</w:t>
            </w:r>
          </w:p>
        </w:tc>
        <w:tc>
          <w:tcPr>
            <w:tcW w:w="3100" w:type="dxa"/>
            <w:vAlign w:val="bottom"/>
          </w:tcPr>
          <w:p>
            <w:pPr>
              <w:ind w:left="1960"/>
              <w:spacing w:after="0"/>
              <w:rPr>
                <w:sz w:val="20"/>
                <w:szCs w:val="20"/>
                <w:color w:val="auto"/>
              </w:rPr>
            </w:pPr>
            <w:r>
              <w:rPr>
                <w:rFonts w:ascii="Arial" w:cs="Arial" w:eastAsia="Arial" w:hAnsi="Arial"/>
                <w:sz w:val="18"/>
                <w:szCs w:val="18"/>
                <w:color w:val="auto"/>
                <w:w w:val="86"/>
              </w:rPr>
              <w:t>PAGE 15 OF 15</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Exhibit C</w:t>
            </w:r>
          </w:p>
        </w:tc>
        <w:tc>
          <w:tcPr>
            <w:tcW w:w="18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32"/>
        </w:trPr>
        <w:tc>
          <w:tcPr>
            <w:tcW w:w="3580" w:type="dxa"/>
            <w:vAlign w:val="bottom"/>
          </w:tcPr>
          <w:p>
            <w:pPr>
              <w:ind w:left="220"/>
              <w:spacing w:after="0"/>
              <w:rPr>
                <w:sz w:val="20"/>
                <w:szCs w:val="20"/>
                <w:color w:val="auto"/>
              </w:rPr>
            </w:pPr>
            <w:r>
              <w:rPr>
                <w:rFonts w:ascii="Arial" w:cs="Arial" w:eastAsia="Arial" w:hAnsi="Arial"/>
                <w:sz w:val="18"/>
                <w:szCs w:val="18"/>
                <w:color w:val="auto"/>
              </w:rPr>
              <w:t>Franklin Advisory Services, LLC</w:t>
            </w:r>
          </w:p>
        </w:tc>
        <w:tc>
          <w:tcPr>
            <w:tcW w:w="1820" w:type="dxa"/>
            <w:vAlign w:val="bottom"/>
          </w:tcPr>
          <w:p>
            <w:pPr>
              <w:spacing w:after="0"/>
              <w:rPr>
                <w:sz w:val="24"/>
                <w:szCs w:val="24"/>
                <w:color w:val="auto"/>
              </w:rPr>
            </w:pPr>
          </w:p>
        </w:tc>
        <w:tc>
          <w:tcPr>
            <w:tcW w:w="3100" w:type="dxa"/>
            <w:vAlign w:val="bottom"/>
          </w:tcPr>
          <w:p>
            <w:pPr>
              <w:ind w:left="500"/>
              <w:spacing w:after="0"/>
              <w:rPr>
                <w:sz w:val="20"/>
                <w:szCs w:val="20"/>
                <w:color w:val="auto"/>
              </w:rPr>
            </w:pPr>
            <w:r>
              <w:rPr>
                <w:rFonts w:ascii="Arial" w:cs="Arial" w:eastAsia="Arial" w:hAnsi="Arial"/>
                <w:sz w:val="18"/>
                <w:szCs w:val="18"/>
                <w:color w:val="auto"/>
              </w:rPr>
              <w:t>Item 3 Classification: 3(e)</w:t>
            </w:r>
          </w:p>
        </w:tc>
      </w:tr>
    </w:tbl>
    <w:p>
      <w:pPr>
        <w:spacing w:after="0" w:line="1" w:lineRule="exact"/>
        <w:rPr>
          <w:sz w:val="20"/>
          <w:szCs w:val="20"/>
          <w:color w:val="auto"/>
        </w:rPr>
      </w:pP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lvl w:ilvl="1">
      <w:lvlJc w:val="left"/>
      <w:lvlText w:val="(%2)"/>
      <w:numFmt w:val="lowerLetter"/>
      <w:start w:val="1"/>
    </w:lvl>
  </w:abstractNum>
  <w:abstractNum w:abstractNumId="1">
    <w:nsid w:val="4DB127F8"/>
    <w:multiLevelType w:val="hybridMultilevel"/>
    <w:lvl w:ilvl="0">
      <w:lvlJc w:val="left"/>
      <w:lvlText w:val="%1"/>
      <w:numFmt w:val="decimal"/>
      <w:start w:val="1"/>
    </w:lvl>
    <w:lvl w:ilvl="1">
      <w:lvlJc w:val="left"/>
      <w:lvlText w:val="%2."/>
      <w:numFmt w:val="decimal"/>
      <w:start w:val="5"/>
    </w:lvl>
  </w:abstractNum>
  <w:abstractNum w:abstractNumId="2">
    <w:nsid w:val="216231B"/>
    <w:multiLevelType w:val="hybridMultilevel"/>
    <w:lvl w:ilvl="0">
      <w:lvlJc w:val="left"/>
      <w:lvlText w:val="%1."/>
      <w:numFmt w:val="decimal"/>
      <w:start w:val="9"/>
    </w:lvl>
    <w:lvl w:ilvl="1">
      <w:lvlJc w:val="left"/>
      <w:lvlText w:val="%2"/>
      <w:numFmt w:val="decimal"/>
      <w:start w:val="1"/>
    </w:lvl>
  </w:abstractNum>
  <w:abstractNum w:abstractNumId="3">
    <w:nsid w:val="1F16E9E8"/>
    <w:multiLevelType w:val="hybridMultilevel"/>
    <w:lvl w:ilvl="0">
      <w:lvlJc w:val="left"/>
      <w:lvlText w:val="%1."/>
      <w:numFmt w:val="decimal"/>
      <w:start w:val="1"/>
    </w:lvl>
    <w:lvl w:ilvl="1">
      <w:lvlJc w:val="left"/>
      <w:lvlText w:val="(%2)"/>
      <w:numFmt w:val="lowerLetter"/>
      <w:start w:val="1"/>
    </w:lvl>
  </w:abstractNum>
  <w:abstractNum w:abstractNumId="4">
    <w:nsid w:val="1190CDE7"/>
    <w:multiLevelType w:val="hybridMultilevel"/>
    <w:lvl w:ilvl="0">
      <w:lvlJc w:val="left"/>
      <w:lvlText w:val="%1"/>
      <w:numFmt w:val="decimal"/>
      <w:start w:val="1"/>
    </w:lvl>
    <w:lvl w:ilvl="1">
      <w:lvlJc w:val="left"/>
      <w:lvlText w:val="%2."/>
      <w:numFmt w:val="decimal"/>
      <w:start w:val="5"/>
    </w:lvl>
  </w:abstractNum>
  <w:abstractNum w:abstractNumId="5">
    <w:nsid w:val="66EF438D"/>
    <w:multiLevelType w:val="hybridMultilevel"/>
    <w:lvl w:ilvl="0">
      <w:lvlJc w:val="left"/>
      <w:lvlText w:val="%1."/>
      <w:numFmt w:val="decimal"/>
      <w:start w:val="9"/>
    </w:lvl>
    <w:lvl w:ilvl="1">
      <w:lvlJc w:val="left"/>
      <w:lvlText w:val="%2"/>
      <w:numFmt w:val="decimal"/>
      <w:start w:val="1"/>
    </w:lvl>
  </w:abstractNum>
  <w:abstractNum w:abstractNumId="6">
    <w:nsid w:val="140E0F76"/>
    <w:multiLevelType w:val="hybridMultilevel"/>
    <w:lvl w:ilvl="0">
      <w:lvlJc w:val="left"/>
      <w:lvlText w:val="%1."/>
      <w:numFmt w:val="decimal"/>
      <w:start w:val="1"/>
    </w:lvl>
    <w:lvl w:ilvl="1">
      <w:lvlJc w:val="left"/>
      <w:lvlText w:val="(%2)"/>
      <w:numFmt w:val="lowerLetter"/>
      <w:start w:val="1"/>
    </w:lvl>
  </w:abstractNum>
  <w:abstractNum w:abstractNumId="7">
    <w:nsid w:val="3352255A"/>
    <w:multiLevelType w:val="hybridMultilevel"/>
    <w:lvl w:ilvl="0">
      <w:lvlJc w:val="left"/>
      <w:lvlText w:val="%1"/>
      <w:numFmt w:val="decimal"/>
      <w:start w:val="1"/>
    </w:lvl>
    <w:lvl w:ilvl="1">
      <w:lvlJc w:val="left"/>
      <w:lvlText w:val="%2."/>
      <w:numFmt w:val="decimal"/>
      <w:start w:val="5"/>
    </w:lvl>
  </w:abstractNum>
  <w:abstractNum w:abstractNumId="8">
    <w:nsid w:val="109CF92E"/>
    <w:multiLevelType w:val="hybridMultilevel"/>
    <w:lvl w:ilvl="0">
      <w:lvlJc w:val="left"/>
      <w:lvlText w:val="%1."/>
      <w:numFmt w:val="decimal"/>
      <w:start w:val="9"/>
    </w:lvl>
    <w:lvl w:ilvl="1">
      <w:lvlJc w:val="left"/>
      <w:lvlText w:val="%2"/>
      <w:numFmt w:val="decimal"/>
      <w:start w:val="1"/>
    </w:lvl>
  </w:abstractNum>
  <w:abstractNum w:abstractNumId="9">
    <w:nsid w:val="DED7263"/>
    <w:multiLevelType w:val="hybridMultilevel"/>
    <w:lvl w:ilvl="0">
      <w:lvlJc w:val="left"/>
      <w:lvlText w:val="%1."/>
      <w:numFmt w:val="decimal"/>
      <w:start w:val="1"/>
    </w:lvl>
    <w:lvl w:ilvl="1">
      <w:lvlJc w:val="left"/>
      <w:lvlText w:val="(%2)"/>
      <w:numFmt w:val="lowerLetter"/>
      <w:start w:val="1"/>
    </w:lvl>
  </w:abstractNum>
  <w:abstractNum w:abstractNumId="10">
    <w:nsid w:val="7FDCC233"/>
    <w:multiLevelType w:val="hybridMultilevel"/>
    <w:lvl w:ilvl="0">
      <w:lvlJc w:val="left"/>
      <w:lvlText w:val="%1"/>
      <w:numFmt w:val="decimal"/>
      <w:start w:val="1"/>
    </w:lvl>
    <w:lvl w:ilvl="1">
      <w:lvlJc w:val="left"/>
      <w:lvlText w:val="%2."/>
      <w:numFmt w:val="decimal"/>
      <w:start w:val="5"/>
    </w:lvl>
  </w:abstractNum>
  <w:abstractNum w:abstractNumId="11">
    <w:nsid w:val="1BEFD79F"/>
    <w:multiLevelType w:val="hybridMultilevel"/>
    <w:lvl w:ilvl="0">
      <w:lvlJc w:val="left"/>
      <w:lvlText w:val="%1."/>
      <w:numFmt w:val="decimal"/>
      <w:start w:val="9"/>
    </w:lvl>
    <w:lvl w:ilvl="1">
      <w:lvlJc w:val="left"/>
      <w:lvlText w:val="%2"/>
      <w:numFmt w:val="decimal"/>
      <w:start w:val="1"/>
    </w:lvl>
  </w:abstractNum>
  <w:abstractNum w:abstractNumId="12">
    <w:nsid w:val="41A7C4C9"/>
    <w:multiLevelType w:val="hybridMultilevel"/>
    <w:lvl w:ilvl="0">
      <w:lvlJc w:val="left"/>
      <w:lvlText w:val="(%1)"/>
      <w:numFmt w:val="lowerLetter"/>
      <w:start w:val="3"/>
    </w:lvl>
    <w:lvl w:ilvl="1">
      <w:lvlJc w:val="left"/>
      <w:lvlText w:val="(%2)"/>
      <w:numFmt w:val="lowerRoman"/>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2019-12-11T15:04:05Z</dcterms:created>
  <dcterms:modified xsi:type="dcterms:W3CDTF">2019-12-11T15:04:05Z</dcterms:modified>
</cp:coreProperties>
</file>