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368935</wp:posOffset>
            </wp:positionV>
            <wp:extent cx="661225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68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6" w:lineRule="exact"/>
        <w:rPr>
          <w:sz w:val="24"/>
          <w:szCs w:val="24"/>
          <w:color w:val="auto"/>
        </w:rPr>
      </w:pPr>
    </w:p>
    <w:p>
      <w:pPr>
        <w:jc w:val="center"/>
        <w:ind w:right="-19"/>
        <w:spacing w:after="0" w:line="368" w:lineRule="exact"/>
        <w:rPr>
          <w:sz w:val="20"/>
          <w:szCs w:val="20"/>
          <w:color w:val="auto"/>
        </w:rPr>
      </w:pPr>
      <w:r>
        <w:rPr>
          <w:rFonts w:ascii="Times New Roman" w:cs="Times New Roman" w:eastAsia="Times New Roman" w:hAnsi="Times New Roman"/>
          <w:sz w:val="32"/>
          <w:szCs w:val="32"/>
          <w:b w:val="1"/>
          <w:bCs w:val="1"/>
          <w:color w:val="auto"/>
        </w:rPr>
        <w:t>FORM 10</w:t>
      </w:r>
      <w:r>
        <w:rPr>
          <w:rFonts w:ascii="MS PGothic" w:cs="MS PGothic" w:eastAsia="MS PGothic" w:hAnsi="MS PGothic"/>
          <w:sz w:val="32"/>
          <w:szCs w:val="32"/>
          <w:color w:val="auto"/>
          <w:strike w:val="1"/>
        </w:rPr>
        <w:t>‑</w:t>
      </w:r>
      <w:r>
        <w:rPr>
          <w:rFonts w:ascii="Times New Roman" w:cs="Times New Roman" w:eastAsia="Times New Roman" w:hAnsi="Times New Roman"/>
          <w:sz w:val="32"/>
          <w:szCs w:val="32"/>
          <w:b w:val="1"/>
          <w:bCs w:val="1"/>
          <w:color w:val="auto"/>
        </w:rPr>
        <w:t>Q</w:t>
      </w:r>
    </w:p>
    <w:p>
      <w:pPr>
        <w:spacing w:after="0" w:line="247" w:lineRule="exact"/>
        <w:rPr>
          <w:sz w:val="24"/>
          <w:szCs w:val="24"/>
          <w:color w:val="auto"/>
        </w:rPr>
      </w:pPr>
    </w:p>
    <w:p>
      <w:pPr>
        <w:ind w:left="3520" w:right="1440" w:hanging="3509"/>
        <w:spacing w:after="0" w:line="501" w:lineRule="auto"/>
        <w:tabs>
          <w:tab w:leader="none" w:pos="3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March 30, 2019</w:t>
      </w:r>
    </w:p>
    <w:p>
      <w:pPr>
        <w:ind w:left="50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39" w:lineRule="exact"/>
        <w:rPr>
          <w:sz w:val="24"/>
          <w:szCs w:val="24"/>
          <w:color w:val="auto"/>
        </w:rPr>
      </w:pPr>
    </w:p>
    <w:p>
      <w:pPr>
        <w:ind w:left="3960" w:right="1420" w:hanging="3949"/>
        <w:spacing w:after="0" w:line="323" w:lineRule="exact"/>
        <w:tabs>
          <w:tab w:leader="none" w:pos="31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u w:val="single" w:color="auto"/>
          <w:color w:val="auto"/>
        </w:rPr>
        <w:t>0</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22684</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UNIVERSAL FOREST PRODUCTS,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0" w:lineRule="exact"/>
        <w:rPr>
          <w:sz w:val="24"/>
          <w:szCs w:val="24"/>
          <w:color w:val="auto"/>
        </w:rPr>
      </w:pPr>
    </w:p>
    <w:tbl>
      <w:tblPr>
        <w:tblLayout w:type="fixed"/>
        <w:tblInd w:w="540" w:type="dxa"/>
        <w:tblCellMar>
          <w:top w:w="0" w:type="dxa"/>
          <w:left w:w="0" w:type="dxa"/>
          <w:bottom w:w="0" w:type="dxa"/>
          <w:right w:w="0" w:type="dxa"/>
        </w:tblCellMar>
      </w:tblPr>
      <w:tr>
        <w:trPr>
          <w:trHeight w:val="270"/>
        </w:trPr>
        <w:tc>
          <w:tcPr>
            <w:tcW w:w="532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rPr>
              <w:t>Michigan</w:t>
            </w:r>
          </w:p>
        </w:tc>
        <w:tc>
          <w:tcPr>
            <w:tcW w:w="4060" w:type="dxa"/>
            <w:vAlign w:val="bottom"/>
          </w:tcPr>
          <w:p>
            <w:pPr>
              <w:jc w:val="center"/>
              <w:ind w:right="90"/>
              <w:spacing w:after="0" w:line="207" w:lineRule="exact"/>
              <w:rPr>
                <w:sz w:val="20"/>
                <w:szCs w:val="20"/>
                <w:color w:val="auto"/>
              </w:rPr>
            </w:pPr>
            <w:r>
              <w:rPr>
                <w:rFonts w:ascii="Times New Roman" w:cs="Times New Roman" w:eastAsia="Times New Roman" w:hAnsi="Times New Roman"/>
                <w:sz w:val="18"/>
                <w:szCs w:val="18"/>
                <w:color w:val="auto"/>
              </w:rPr>
              <w:t>38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1465835</w:t>
            </w:r>
          </w:p>
        </w:tc>
      </w:tr>
      <w:tr>
        <w:trPr>
          <w:trHeight w:val="198"/>
        </w:trPr>
        <w:tc>
          <w:tcPr>
            <w:tcW w:w="4200" w:type="dxa"/>
            <w:vAlign w:val="bottom"/>
            <w:tcBorders>
              <w:top w:val="single" w:sz="8" w:color="auto"/>
            </w:tcBorders>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10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60" w:type="dxa"/>
            <w:vAlign w:val="bottom"/>
            <w:tcBorders>
              <w:top w:val="single" w:sz="8" w:color="auto"/>
            </w:tcBorders>
          </w:tcPr>
          <w:p>
            <w:pPr>
              <w:jc w:val="center"/>
              <w:ind w:right="70"/>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532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w w:val="99"/>
              </w:rPr>
              <w:t>organization)</w:t>
            </w:r>
          </w:p>
        </w:tc>
        <w:tc>
          <w:tcPr>
            <w:tcW w:w="4060" w:type="dxa"/>
            <w:vAlign w:val="bottom"/>
          </w:tcPr>
          <w:p>
            <w:pPr>
              <w:spacing w:after="0"/>
              <w:rPr>
                <w:sz w:val="20"/>
                <w:szCs w:val="20"/>
                <w:color w:val="auto"/>
              </w:rPr>
            </w:pPr>
          </w:p>
        </w:tc>
      </w:tr>
      <w:tr>
        <w:trPr>
          <w:trHeight w:val="439"/>
        </w:trPr>
        <w:tc>
          <w:tcPr>
            <w:tcW w:w="532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w w:val="99"/>
              </w:rPr>
              <w:t>2801 East Beltline NE, Grand Rapids, Michigan</w:t>
            </w:r>
          </w:p>
        </w:tc>
        <w:tc>
          <w:tcPr>
            <w:tcW w:w="406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49525</w:t>
            </w:r>
          </w:p>
        </w:tc>
      </w:tr>
      <w:tr>
        <w:trPr>
          <w:trHeight w:val="234"/>
        </w:trPr>
        <w:tc>
          <w:tcPr>
            <w:tcW w:w="42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6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(Zip Code)</w:t>
            </w:r>
          </w:p>
        </w:tc>
      </w:tr>
      <w:tr>
        <w:trPr>
          <w:trHeight w:val="346"/>
        </w:trPr>
        <w:tc>
          <w:tcPr>
            <w:tcW w:w="5320" w:type="dxa"/>
            <w:vAlign w:val="bottom"/>
            <w:gridSpan w:val="3"/>
          </w:tcPr>
          <w:p>
            <w:pPr>
              <w:ind w:left="440"/>
              <w:spacing w:after="0" w:line="207" w:lineRule="exact"/>
              <w:rPr>
                <w:sz w:val="20"/>
                <w:szCs w:val="20"/>
                <w:color w:val="auto"/>
              </w:rPr>
            </w:pPr>
            <w:r>
              <w:rPr>
                <w:rFonts w:ascii="Times New Roman" w:cs="Times New Roman" w:eastAsia="Times New Roman" w:hAnsi="Times New Roman"/>
                <w:sz w:val="18"/>
                <w:szCs w:val="18"/>
                <w:color w:val="auto"/>
                <w:w w:val="99"/>
              </w:rPr>
              <w:t>Registrant’s telephone number, including area code (616) 364</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6161</w:t>
            </w:r>
          </w:p>
        </w:tc>
        <w:tc>
          <w:tcPr>
            <w:tcW w:w="4060" w:type="dxa"/>
            <w:vAlign w:val="bottom"/>
          </w:tcPr>
          <w:p>
            <w:pPr>
              <w:spacing w:after="0"/>
              <w:rPr>
                <w:sz w:val="24"/>
                <w:szCs w:val="24"/>
                <w:color w:val="auto"/>
              </w:rPr>
            </w:pPr>
          </w:p>
        </w:tc>
      </w:tr>
      <w:tr>
        <w:trPr>
          <w:trHeight w:val="20"/>
        </w:trPr>
        <w:tc>
          <w:tcPr>
            <w:tcW w:w="420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bl>
    <w:p>
      <w:pPr>
        <w:spacing w:after="0" w:line="22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1797050</wp:posOffset>
            </wp:positionH>
            <wp:positionV relativeFrom="paragraph">
              <wp:posOffset>17145</wp:posOffset>
            </wp:positionV>
            <wp:extent cx="30270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7" w:lineRule="exact"/>
        <w:rPr>
          <w:sz w:val="24"/>
          <w:szCs w:val="24"/>
          <w:color w:val="auto"/>
        </w:rPr>
      </w:pPr>
    </w:p>
    <w:p>
      <w:pPr>
        <w:jc w:val="both"/>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ind w:left="20"/>
        <w:spacing w:after="0" w:line="229" w:lineRule="exact"/>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Exchange Act.</w:t>
      </w:r>
    </w:p>
    <w:p>
      <w:pPr>
        <w:sectPr>
          <w:pgSz w:w="11900" w:h="16838" w:orient="portrait"/>
          <w:cols w:equalWidth="0" w:num="1">
            <w:col w:w="10420"/>
          </w:cols>
          <w:pgMar w:left="740" w:top="229" w:right="739" w:bottom="1440" w:gutter="0" w:footer="0" w:header="0"/>
        </w:sectPr>
      </w:pPr>
    </w:p>
    <w:p>
      <w:pPr>
        <w:spacing w:after="0" w:line="56" w:lineRule="exact"/>
        <w:rPr>
          <w:sz w:val="24"/>
          <w:szCs w:val="24"/>
          <w:color w:val="auto"/>
        </w:rPr>
      </w:pPr>
    </w:p>
    <w:p>
      <w:pPr>
        <w:ind w:left="5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both"/>
        <w:ind w:right="840"/>
        <w:spacing w:after="0" w:line="250"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30" w:lineRule="exact"/>
        <w:rPr>
          <w:sz w:val="24"/>
          <w:szCs w:val="24"/>
          <w:color w:val="auto"/>
        </w:rPr>
      </w:pPr>
    </w:p>
    <w:p>
      <w:pPr>
        <w:sectPr>
          <w:pgSz w:w="11900" w:h="16838" w:orient="portrait"/>
          <w:cols w:equalWidth="0" w:num="4">
            <w:col w:w="2500" w:space="720"/>
            <w:col w:w="1460" w:space="320"/>
            <w:col w:w="1820" w:space="500"/>
            <w:col w:w="3100"/>
          </w:cols>
          <w:pgMar w:left="740" w:top="229" w:right="739" w:bottom="1440" w:gutter="0" w:footer="0" w:header="0"/>
          <w:type w:val="continuous"/>
        </w:sectPr>
      </w:pPr>
    </w:p>
    <w:p>
      <w:pPr>
        <w:ind w:left="20" w:right="3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Indicate by checkmark whether the registrant is a shell company (as defined by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w w:val="97"/>
              </w:rPr>
              <w:t>Class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 as of March 30, 2019</w:t>
            </w:r>
          </w:p>
        </w:tc>
        <w:tc>
          <w:tcPr>
            <w:tcW w:w="50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 par value</w:t>
            </w:r>
          </w:p>
        </w:tc>
        <w:tc>
          <w:tcPr>
            <w:tcW w:w="1020" w:type="dxa"/>
            <w:vAlign w:val="bottom"/>
          </w:tcPr>
          <w:p>
            <w:pPr>
              <w:spacing w:after="0"/>
              <w:rPr>
                <w:sz w:val="20"/>
                <w:szCs w:val="20"/>
                <w:color w:val="auto"/>
              </w:rPr>
            </w:pPr>
          </w:p>
        </w:tc>
        <w:tc>
          <w:tcPr>
            <w:tcW w:w="4180" w:type="dxa"/>
            <w:vAlign w:val="bottom"/>
            <w:tcBorders>
              <w:top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61,352,372</w:t>
            </w:r>
          </w:p>
        </w:tc>
        <w:tc>
          <w:tcPr>
            <w:tcW w:w="500" w:type="dxa"/>
            <w:vAlign w:val="bottom"/>
          </w:tcPr>
          <w:p>
            <w:pPr>
              <w:spacing w:after="0"/>
              <w:rPr>
                <w:sz w:val="20"/>
                <w:szCs w:val="20"/>
                <w:color w:val="auto"/>
              </w:rPr>
            </w:pPr>
          </w:p>
        </w:tc>
      </w:tr>
      <w:tr>
        <w:trPr>
          <w:trHeight w:val="103"/>
        </w:trPr>
        <w:tc>
          <w:tcPr>
            <w:tcW w:w="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r>
      <w:tr>
        <w:trPr>
          <w:trHeight w:val="588"/>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229" w:right="7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6"/>
          </w:tcPr>
          <w:p>
            <w:pPr>
              <w:spacing w:after="0"/>
              <w:rPr>
                <w:rFonts w:ascii="Times New Roman" w:cs="Times New Roman" w:eastAsia="Times New Roman" w:hAnsi="Times New Roman"/>
                <w:sz w:val="18"/>
                <w:szCs w:val="18"/>
                <w:color w:val="0563C1"/>
              </w:rPr>
            </w:pPr>
            <w:hyperlink w:anchor="page2">
              <w:r>
                <w:rPr>
                  <w:rFonts w:ascii="Times New Roman" w:cs="Times New Roman" w:eastAsia="Times New Roman" w:hAnsi="Times New Roman"/>
                  <w:sz w:val="18"/>
                  <w:szCs w:val="18"/>
                  <w:color w:val="0563C1"/>
                </w:rPr>
                <w:t>Table of Contents</w:t>
              </w:r>
            </w:hyperlink>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563C1"/>
            </w:tcBorders>
          </w:tcPr>
          <w:p>
            <w:pPr>
              <w:spacing w:after="0"/>
              <w:rPr>
                <w:sz w:val="24"/>
                <w:szCs w:val="24"/>
                <w:color w:val="auto"/>
              </w:rPr>
            </w:pPr>
          </w:p>
        </w:tc>
        <w:tc>
          <w:tcPr>
            <w:tcW w:w="84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80" w:type="dxa"/>
            <w:vAlign w:val="bottom"/>
            <w:gridSpan w:val="12"/>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UNIVERSAL FOREST PRODUCTS, INC.</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10"/>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6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Page No.</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Item 1.</w:t>
            </w:r>
          </w:p>
        </w:tc>
        <w:tc>
          <w:tcPr>
            <w:tcW w:w="6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at March 30, 2019, December 29, 2018 and</w:t>
              </w:r>
            </w:hyperlink>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March 31, 2018</w:t>
              </w:r>
            </w:hyperlink>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Earnings and Comprehensive Income for the</w:t>
              </w:r>
            </w:hyperlink>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Three Months Ended March 30, 2019 and March 31, 2018</w:t>
              </w:r>
            </w:hyperlink>
          </w:p>
        </w:tc>
        <w:tc>
          <w:tcPr>
            <w:tcW w:w="8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Shareholders’ Equity for the Three Months</w:t>
              </w:r>
            </w:hyperlink>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Ended March 30, 2019 and March 31, 2018</w:t>
              </w:r>
            </w:hyperlink>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Three Months Ended March 30,</w:t>
              </w:r>
            </w:hyperlink>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2019 and March 31, 2018</w:t>
              </w:r>
            </w:hyperlink>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Unaudited Condensed Consolidated Financial Statements</w:t>
              </w:r>
            </w:hyperlink>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Item 2.</w:t>
              </w:r>
            </w:hyperlink>
          </w:p>
        </w:tc>
        <w:tc>
          <w:tcPr>
            <w:tcW w:w="66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3.</w:t>
              </w:r>
            </w:hyperlink>
          </w:p>
        </w:tc>
        <w:tc>
          <w:tcPr>
            <w:tcW w:w="66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Quantitative and Qualitative Disclosures about Market Risk</w:t>
              </w:r>
            </w:hyperlink>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4.</w:t>
              </w:r>
            </w:hyperlink>
          </w:p>
        </w:tc>
        <w:tc>
          <w:tcPr>
            <w:tcW w:w="66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Controls and Procedures</w:t>
              </w:r>
            </w:hyperlink>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Item 1.</w:t>
            </w:r>
          </w:p>
        </w:tc>
        <w:tc>
          <w:tcPr>
            <w:tcW w:w="66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Proceedings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1A.</w:t>
              </w:r>
            </w:hyperlink>
          </w:p>
        </w:tc>
        <w:tc>
          <w:tcPr>
            <w:tcW w:w="66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Risk Factors</w:t>
              </w:r>
            </w:hyperlink>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2.</w:t>
              </w:r>
            </w:hyperlink>
          </w:p>
        </w:tc>
        <w:tc>
          <w:tcPr>
            <w:tcW w:w="66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Unregistered Sales of Equity Securities and Use of Proceeds</w:t>
              </w:r>
            </w:hyperlink>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Item 3.</w:t>
            </w:r>
          </w:p>
        </w:tc>
        <w:tc>
          <w:tcPr>
            <w:tcW w:w="66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Item 4.</w:t>
            </w:r>
          </w:p>
        </w:tc>
        <w:tc>
          <w:tcPr>
            <w:tcW w:w="66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 Safety Disclosures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5.</w:t>
              </w:r>
            </w:hyperlink>
          </w:p>
        </w:tc>
        <w:tc>
          <w:tcPr>
            <w:tcW w:w="66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Other Information – NONE</w:t>
              </w:r>
            </w:hyperlink>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5"/>
            <w:shd w:val="clear" w:color="auto" w:fill="CCEEFF"/>
          </w:tcPr>
          <w:p>
            <w:pPr>
              <w:ind w:left="840"/>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6.</w:t>
              </w:r>
            </w:hyperlink>
          </w:p>
        </w:tc>
        <w:tc>
          <w:tcPr>
            <w:tcW w:w="668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Exhibits</w:t>
              </w:r>
            </w:hyperlink>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120" w:type="dxa"/>
            <w:vAlign w:val="bottom"/>
          </w:tcPr>
          <w:p>
            <w:pPr>
              <w:spacing w:after="0"/>
              <w:rPr>
                <w:sz w:val="16"/>
                <w:szCs w:val="16"/>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80" w:type="dxa"/>
            <w:vAlign w:val="bottom"/>
          </w:tcPr>
          <w:p>
            <w:pPr>
              <w:spacing w:after="0"/>
              <w:rPr>
                <w:sz w:val="16"/>
                <w:szCs w:val="16"/>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07"/>
        </w:trPr>
        <w:tc>
          <w:tcPr>
            <w:tcW w:w="5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5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17,111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27,316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25,326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32,425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16,197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14,755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444,111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343,450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430,251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279,265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271,871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261,808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52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300,898</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284,349</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259,898</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520" w:type="dxa"/>
            <w:vAlign w:val="bottom"/>
          </w:tcPr>
          <w:p>
            <w:pPr>
              <w:ind w:left="440"/>
              <w:spacing w:after="0" w:line="136" w:lineRule="exact"/>
              <w:rPr>
                <w:sz w:val="20"/>
                <w:szCs w:val="20"/>
                <w:color w:val="auto"/>
              </w:rPr>
            </w:pPr>
            <w:r>
              <w:rPr>
                <w:rFonts w:ascii="Times New Roman" w:cs="Times New Roman" w:eastAsia="Times New Roman" w:hAnsi="Times New Roman"/>
                <w:sz w:val="14"/>
                <w:szCs w:val="14"/>
                <w:color w:val="auto"/>
              </w:rPr>
              <w:t>Total inventories</w:t>
            </w:r>
          </w:p>
        </w:tc>
        <w:tc>
          <w:tcPr>
            <w:tcW w:w="12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580,163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556,220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521,706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4,629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14,130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552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40,237</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38,525</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23,304</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1,103,472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995,278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1,043,713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INVESTMENTS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13,580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66,100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8,419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8,662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7,123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224,247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224,117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212,596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INDEFINITE-LIVED INTANGIBLE ASSETS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7,407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39,686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41,486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34,543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828,837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814,645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754,603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(472,671)</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(459,935)</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(441,032)</w:t>
            </w:r>
          </w:p>
        </w:tc>
        <w:tc>
          <w:tcPr>
            <w:tcW w:w="0" w:type="dxa"/>
            <w:vAlign w:val="bottom"/>
          </w:tcPr>
          <w:p>
            <w:pPr>
              <w:spacing w:after="0"/>
              <w:rPr>
                <w:sz w:val="1"/>
                <w:szCs w:val="1"/>
                <w:color w:val="auto"/>
              </w:rPr>
            </w:pPr>
          </w:p>
        </w:tc>
      </w:tr>
      <w:tr>
        <w:trPr>
          <w:trHeight w:val="143"/>
        </w:trPr>
        <w:tc>
          <w:tcPr>
            <w:tcW w:w="5520" w:type="dxa"/>
            <w:vAlign w:val="bottom"/>
            <w:tcBorders>
              <w:top w:val="single" w:sz="8" w:color="CCEEFF"/>
              <w:bottom w:val="single" w:sz="8" w:color="CCEEFF"/>
            </w:tcBorders>
          </w:tcPr>
          <w:p>
            <w:pPr>
              <w:ind w:left="360"/>
              <w:spacing w:after="0" w:line="136"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356,166</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354,710</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313,571</w:t>
            </w:r>
          </w:p>
        </w:tc>
        <w:tc>
          <w:tcPr>
            <w:tcW w:w="14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1,821,398</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1,647,548</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1,631,464</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552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overdraft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18,732</w:t>
            </w:r>
          </w:p>
        </w:tc>
        <w:tc>
          <w:tcPr>
            <w:tcW w:w="2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27,367</w:t>
            </w:r>
          </w:p>
        </w:tc>
        <w:tc>
          <w:tcPr>
            <w:tcW w:w="2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30,026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170,667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136,901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176,469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Compensation and benefits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70,867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104,109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61,976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12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45,618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41,645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42,633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liability</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5520" w:type="dxa"/>
            <w:vAlign w:val="bottom"/>
            <w:tcBorders>
              <w:bottom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520" w:type="dxa"/>
            <w:vAlign w:val="bottom"/>
          </w:tcPr>
          <w:p>
            <w:pPr>
              <w:ind w:left="440"/>
              <w:spacing w:after="0" w:line="136" w:lineRule="exact"/>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320,569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310,170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313,129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266,428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202,130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261,327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LIABILITY</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51,600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14,622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15,687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5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29,813</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30,877</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26,192</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683,032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558,864</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614,542</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Controlling interest shareholders’ equity:</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52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Preferred stock, no par value; shares authorized 1,000,000; issued and</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outstanding, none</w:t>
            </w:r>
          </w:p>
        </w:tc>
        <w:tc>
          <w:tcPr>
            <w:tcW w:w="12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52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Common stock, $1 par value; shares authorized 80,000,000; issued and</w:t>
            </w:r>
          </w:p>
        </w:tc>
        <w:tc>
          <w:tcPr>
            <w:tcW w:w="1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61,352</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60,884</w:t>
            </w: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61,544</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outstanding, 61,352,372, 60,883,749, and 61,543,902</w:t>
            </w: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190,879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178,540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172,929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875,457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839,917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768,223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5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120" w:type="dxa"/>
            <w:vAlign w:val="bottom"/>
          </w:tcPr>
          <w:p>
            <w:pPr>
              <w:spacing w:after="0"/>
              <w:rPr>
                <w:sz w:val="13"/>
                <w:szCs w:val="13"/>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(4,789)</w:t>
            </w:r>
          </w:p>
        </w:tc>
        <w:tc>
          <w:tcPr>
            <w:tcW w:w="80" w:type="dxa"/>
            <w:vAlign w:val="bottom"/>
          </w:tcPr>
          <w:p>
            <w:pPr>
              <w:spacing w:after="0"/>
              <w:rPr>
                <w:sz w:val="13"/>
                <w:szCs w:val="13"/>
                <w:color w:val="auto"/>
              </w:rPr>
            </w:pPr>
          </w:p>
        </w:tc>
        <w:tc>
          <w:tcPr>
            <w:tcW w:w="11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(5,938)</w:t>
            </w:r>
          </w:p>
        </w:tc>
        <w:tc>
          <w:tcPr>
            <w:tcW w:w="120" w:type="dxa"/>
            <w:vAlign w:val="bottom"/>
          </w:tcPr>
          <w:p>
            <w:pPr>
              <w:spacing w:after="0"/>
              <w:rPr>
                <w:sz w:val="13"/>
                <w:szCs w:val="13"/>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149"/>
        </w:trPr>
        <w:tc>
          <w:tcPr>
            <w:tcW w:w="5520" w:type="dxa"/>
            <w:vAlign w:val="bottom"/>
            <w:tcBorders>
              <w:top w:val="single" w:sz="8" w:color="CCEEFF"/>
            </w:tcBorders>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Total controlling interest shareholders’ equity</w:t>
            </w: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1,122,899</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1,073,403</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1,001,556</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52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15,467</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15,281</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15,366</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520" w:type="dxa"/>
            <w:vAlign w:val="bottom"/>
            <w:tcBorders>
              <w:bottom w:val="single" w:sz="8" w:color="CCEEFF"/>
            </w:tcBorders>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TOTAL SHAREHOLDERS’ EQUITY</w:t>
            </w: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1,138,366</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1,088,684</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1,016,922</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20" w:type="dxa"/>
            <w:vAlign w:val="bottom"/>
          </w:tcPr>
          <w:p>
            <w:pPr>
              <w:spacing w:after="0" w:line="163" w:lineRule="exact"/>
              <w:rPr>
                <w:sz w:val="20"/>
                <w:szCs w:val="20"/>
                <w:color w:val="auto"/>
              </w:rPr>
            </w:pPr>
            <w:r>
              <w:rPr>
                <w:rFonts w:ascii="Times New Roman" w:cs="Times New Roman" w:eastAsia="Times New Roman" w:hAnsi="Times New Roman"/>
                <w:sz w:val="16"/>
                <w:szCs w:val="16"/>
                <w:color w:val="auto"/>
              </w:rPr>
              <w:t>TOTAL LIABILITIES AND SHAREHOLDERS’ EQUITY</w:t>
            </w: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1,821,398</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1,647,548</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1,631,464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ind w:left="1440" w:right="1940"/>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bl>
      <w:tblPr>
        <w:tblLayout w:type="fixed"/>
        <w:tblInd w:w="0" w:type="dxa"/>
        <w:tblCellMar>
          <w:top w:w="0" w:type="dxa"/>
          <w:left w:w="0" w:type="dxa"/>
          <w:bottom w:w="0" w:type="dxa"/>
          <w:right w:w="0" w:type="dxa"/>
        </w:tblCellMar>
      </w:tblPr>
      <w:tr>
        <w:trPr>
          <w:trHeight w:val="168"/>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6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32"/>
              <w:spacing w:after="0" w:line="12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0"/>
                <w:szCs w:val="10"/>
                <w:color w:val="auto"/>
              </w:rPr>
            </w:pPr>
          </w:p>
        </w:tc>
      </w:tr>
      <w:tr>
        <w:trPr>
          <w:trHeight w:val="180"/>
        </w:trPr>
        <w:tc>
          <w:tcPr>
            <w:tcW w:w="6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993,857</w:t>
            </w:r>
          </w:p>
        </w:tc>
        <w:tc>
          <w:tcPr>
            <w:tcW w:w="220" w:type="dxa"/>
            <w:vAlign w:val="bottom"/>
            <w:shd w:val="clear" w:color="auto" w:fill="CCEEFF"/>
          </w:tcPr>
          <w:p>
            <w:pPr>
              <w:spacing w:after="0"/>
              <w:rPr>
                <w:sz w:val="18"/>
                <w:szCs w:val="18"/>
                <w:color w:val="auto"/>
              </w:rPr>
            </w:pPr>
          </w:p>
        </w:tc>
      </w:tr>
      <w:tr>
        <w:trPr>
          <w:trHeight w:val="223"/>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860,858</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862,968</w:t>
            </w:r>
          </w:p>
        </w:tc>
        <w:tc>
          <w:tcPr>
            <w:tcW w:w="220" w:type="dxa"/>
            <w:vAlign w:val="bottom"/>
            <w:tcBorders>
              <w:bottom w:val="single" w:sz="8" w:color="CCEEFF"/>
            </w:tcBorders>
          </w:tcPr>
          <w:p>
            <w:pPr>
              <w:spacing w:after="0"/>
              <w:rPr>
                <w:sz w:val="19"/>
                <w:szCs w:val="19"/>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130,889</w:t>
            </w:r>
          </w:p>
        </w:tc>
        <w:tc>
          <w:tcPr>
            <w:tcW w:w="2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93,206</w:t>
            </w:r>
          </w:p>
        </w:tc>
        <w:tc>
          <w:tcPr>
            <w:tcW w:w="220" w:type="dxa"/>
            <w:vAlign w:val="bottom"/>
          </w:tcPr>
          <w:p>
            <w:pPr>
              <w:spacing w:after="0"/>
              <w:rPr>
                <w:sz w:val="18"/>
                <w:szCs w:val="18"/>
                <w:color w:val="auto"/>
              </w:rPr>
            </w:pPr>
          </w:p>
        </w:tc>
      </w:tr>
      <w:tr>
        <w:trPr>
          <w:trHeight w:val="23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GAIN ON DISPOSITION OF ASSETS</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(6,534)</w:t>
            </w:r>
          </w:p>
        </w:tc>
      </w:tr>
      <w:tr>
        <w:trPr>
          <w:trHeight w:val="203"/>
        </w:trPr>
        <w:tc>
          <w:tcPr>
            <w:tcW w:w="6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48,446</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44,217</w:t>
            </w:r>
          </w:p>
        </w:tc>
        <w:tc>
          <w:tcPr>
            <w:tcW w:w="220" w:type="dxa"/>
            <w:vAlign w:val="bottom"/>
            <w:tcBorders>
              <w:top w:val="single" w:sz="8" w:color="CCEEFF"/>
            </w:tcBorders>
          </w:tcPr>
          <w:p>
            <w:pPr>
              <w:spacing w:after="0"/>
              <w:rPr>
                <w:sz w:val="17"/>
                <w:szCs w:val="17"/>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20" w:type="dxa"/>
            <w:vAlign w:val="bottom"/>
            <w:shd w:val="clear" w:color="auto" w:fill="CCEEFF"/>
          </w:tcPr>
          <w:p>
            <w:pPr>
              <w:spacing w:after="0"/>
              <w:rPr>
                <w:sz w:val="18"/>
                <w:szCs w:val="18"/>
                <w:color w:val="auto"/>
              </w:rPr>
            </w:pPr>
          </w:p>
        </w:tc>
      </w:tr>
      <w:tr>
        <w:trPr>
          <w:trHeight w:val="22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(1,593)</w:t>
            </w: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w:t>
            </w:r>
          </w:p>
        </w:tc>
      </w:tr>
      <w:tr>
        <w:trPr>
          <w:trHeight w:val="236"/>
        </w:trPr>
        <w:tc>
          <w:tcPr>
            <w:tcW w:w="64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47,579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43,156</w:t>
            </w:r>
          </w:p>
        </w:tc>
        <w:tc>
          <w:tcPr>
            <w:tcW w:w="220" w:type="dxa"/>
            <w:vAlign w:val="bottom"/>
          </w:tcPr>
          <w:p>
            <w:pPr>
              <w:spacing w:after="0"/>
              <w:rPr>
                <w:sz w:val="17"/>
                <w:szCs w:val="17"/>
                <w:color w:val="auto"/>
              </w:rPr>
            </w:pPr>
          </w:p>
        </w:tc>
      </w:tr>
      <w:tr>
        <w:trPr>
          <w:trHeight w:val="236"/>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0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36,002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33,582</w:t>
            </w:r>
          </w:p>
        </w:tc>
        <w:tc>
          <w:tcPr>
            <w:tcW w:w="220" w:type="dxa"/>
            <w:vAlign w:val="bottom"/>
          </w:tcPr>
          <w:p>
            <w:pPr>
              <w:spacing w:after="0"/>
              <w:rPr>
                <w:sz w:val="17"/>
                <w:szCs w:val="17"/>
                <w:color w:val="auto"/>
              </w:rPr>
            </w:pPr>
          </w:p>
        </w:tc>
      </w:tr>
      <w:tr>
        <w:trPr>
          <w:trHeight w:val="22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EARNINGS ATTRIBUTABLE TO NONCONTROLLING INTEREST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w:t>
            </w:r>
          </w:p>
        </w:tc>
      </w:tr>
      <w:tr>
        <w:trPr>
          <w:trHeight w:val="223"/>
        </w:trPr>
        <w:tc>
          <w:tcPr>
            <w:tcW w:w="644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EARNINGS ATTRIBUTABLE TO CONTROLLING INTEREST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35,540</w:t>
            </w:r>
          </w:p>
        </w:tc>
        <w:tc>
          <w:tcPr>
            <w:tcW w:w="220" w:type="dxa"/>
            <w:vAlign w:val="bottom"/>
            <w:tcBorders>
              <w:top w:val="single" w:sz="8" w:color="CCEEFF"/>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32,833</w:t>
            </w:r>
          </w:p>
        </w:tc>
        <w:tc>
          <w:tcPr>
            <w:tcW w:w="220" w:type="dxa"/>
            <w:vAlign w:val="bottom"/>
            <w:tcBorders>
              <w:top w:val="single" w:sz="8" w:color="CCEEFF"/>
              <w:bottom w:val="single" w:sz="8" w:color="CCEEFF"/>
            </w:tcBorders>
          </w:tcPr>
          <w:p>
            <w:pPr>
              <w:spacing w:after="0"/>
              <w:rPr>
                <w:sz w:val="19"/>
                <w:szCs w:val="19"/>
                <w:color w:val="auto"/>
              </w:rPr>
            </w:pPr>
          </w:p>
        </w:tc>
      </w:tr>
      <w:tr>
        <w:trPr>
          <w:trHeight w:val="216"/>
        </w:trPr>
        <w:tc>
          <w:tcPr>
            <w:tcW w:w="6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 -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33,582</w:t>
            </w:r>
          </w:p>
        </w:tc>
        <w:tc>
          <w:tcPr>
            <w:tcW w:w="220" w:type="dxa"/>
            <w:vAlign w:val="bottom"/>
          </w:tcPr>
          <w:p>
            <w:pPr>
              <w:spacing w:after="0"/>
              <w:rPr>
                <w:sz w:val="18"/>
                <w:szCs w:val="18"/>
                <w:color w:val="auto"/>
              </w:rPr>
            </w:pPr>
          </w:p>
        </w:tc>
      </w:tr>
      <w:tr>
        <w:trPr>
          <w:trHeight w:val="23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GAIN (LOSS)</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w:t>
            </w:r>
          </w:p>
        </w:tc>
      </w:tr>
      <w:tr>
        <w:trPr>
          <w:trHeight w:val="203"/>
        </w:trPr>
        <w:tc>
          <w:tcPr>
            <w:tcW w:w="6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37,375</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33,143</w:t>
            </w:r>
          </w:p>
        </w:tc>
        <w:tc>
          <w:tcPr>
            <w:tcW w:w="220" w:type="dxa"/>
            <w:vAlign w:val="bottom"/>
            <w:tcBorders>
              <w:top w:val="single" w:sz="8" w:color="CCEEFF"/>
            </w:tcBorders>
          </w:tcPr>
          <w:p>
            <w:pPr>
              <w:spacing w:after="0"/>
              <w:rPr>
                <w:sz w:val="17"/>
                <w:szCs w:val="17"/>
                <w:color w:val="auto"/>
              </w:rPr>
            </w:pPr>
          </w:p>
        </w:tc>
      </w:tr>
      <w:tr>
        <w:trPr>
          <w:trHeight w:val="223"/>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(1,594)</w:t>
            </w:r>
          </w:p>
        </w:tc>
      </w:tr>
      <w:tr>
        <w:trPr>
          <w:trHeight w:val="223"/>
        </w:trPr>
        <w:tc>
          <w:tcPr>
            <w:tcW w:w="6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COMPREHENSIVE INCOME ATTRIBUTABLE TO CONTROLLING INTEREST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36,689</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31,549</w:t>
            </w:r>
          </w:p>
        </w:tc>
        <w:tc>
          <w:tcPr>
            <w:tcW w:w="220" w:type="dxa"/>
            <w:vAlign w:val="bottom"/>
            <w:tcBorders>
              <w:top w:val="single" w:sz="8" w:color="CCEEFF"/>
            </w:tcBorders>
          </w:tcPr>
          <w:p>
            <w:pPr>
              <w:spacing w:after="0"/>
              <w:rPr>
                <w:sz w:val="19"/>
                <w:szCs w:val="19"/>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9"/>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Controlling Interest Shareholders’ Equity</w:t>
            </w: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r>
        <w:trPr>
          <w:trHeight w:val="106"/>
        </w:trPr>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220"/>
              <w:spacing w:after="0" w:line="106"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22"/>
        </w:trPr>
        <w:tc>
          <w:tcPr>
            <w:tcW w:w="3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2"/>
        </w:trPr>
        <w:tc>
          <w:tcPr>
            <w:tcW w:w="3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10"/>
                <w:szCs w:val="10"/>
                <w:color w:val="auto"/>
              </w:rPr>
            </w:pPr>
          </w:p>
        </w:tc>
        <w:tc>
          <w:tcPr>
            <w:tcW w:w="920" w:type="dxa"/>
            <w:vAlign w:val="bottom"/>
            <w:gridSpan w:val="3"/>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7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4"/>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40" w:type="dxa"/>
            <w:vAlign w:val="bottom"/>
          </w:tcPr>
          <w:p>
            <w:pPr>
              <w:spacing w:after="0"/>
              <w:rPr>
                <w:sz w:val="12"/>
                <w:szCs w:val="12"/>
                <w:color w:val="auto"/>
              </w:rPr>
            </w:pPr>
          </w:p>
        </w:tc>
        <w:tc>
          <w:tcPr>
            <w:tcW w:w="620" w:type="dxa"/>
            <w:vAlign w:val="bottom"/>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5"/>
        </w:trPr>
        <w:tc>
          <w:tcPr>
            <w:tcW w:w="340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at December 30, 2017</w:t>
            </w: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61,192</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161,928</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736,212</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144</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14,547</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974,023</w:t>
            </w:r>
          </w:p>
        </w:tc>
      </w:tr>
      <w:tr>
        <w:trPr>
          <w:trHeight w:val="135"/>
        </w:trPr>
        <w:tc>
          <w:tcPr>
            <w:tcW w:w="3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earnings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32,833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749</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33,582</w:t>
            </w:r>
          </w:p>
        </w:tc>
      </w:tr>
      <w:tr>
        <w:trPr>
          <w:trHeight w:val="135"/>
        </w:trPr>
        <w:tc>
          <w:tcPr>
            <w:tcW w:w="3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(785)</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845</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w:t>
            </w:r>
          </w:p>
        </w:tc>
      </w:tr>
      <w:tr>
        <w:trPr>
          <w:trHeight w:val="135"/>
        </w:trPr>
        <w:tc>
          <w:tcPr>
            <w:tcW w:w="3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gain (loss) on investment &amp; foreign currency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(499)</w:t>
            </w:r>
          </w:p>
        </w:tc>
      </w:tr>
      <w:tr>
        <w:trPr>
          <w:trHeight w:val="135"/>
        </w:trPr>
        <w:tc>
          <w:tcPr>
            <w:tcW w:w="3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Distributions to noncontrolling interest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(775)</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(775)</w:t>
            </w:r>
          </w:p>
        </w:tc>
      </w:tr>
      <w:tr>
        <w:trPr>
          <w:trHeight w:val="135"/>
        </w:trPr>
        <w:tc>
          <w:tcPr>
            <w:tcW w:w="3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7,469 shares under employee stock plans</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207</w:t>
            </w:r>
          </w:p>
        </w:tc>
      </w:tr>
      <w:tr>
        <w:trPr>
          <w:trHeight w:val="135"/>
        </w:trPr>
        <w:tc>
          <w:tcPr>
            <w:tcW w:w="3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253,289 shares under stock grant programs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5,292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5,545</w:t>
            </w:r>
          </w:p>
        </w:tc>
      </w:tr>
      <w:tr>
        <w:trPr>
          <w:trHeight w:val="135"/>
        </w:trPr>
        <w:tc>
          <w:tcPr>
            <w:tcW w:w="3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117,068 shares under deferred compensation plans</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3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Repurchase of 25,812 shares</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(822)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(848)</w:t>
            </w:r>
          </w:p>
        </w:tc>
      </w:tr>
      <w:tr>
        <w:trPr>
          <w:trHeight w:val="117"/>
        </w:trPr>
        <w:tc>
          <w:tcPr>
            <w:tcW w:w="34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Expense associated with share-based compensation</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53"/>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arrangements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1,034</w:t>
            </w:r>
          </w:p>
        </w:tc>
      </w:tr>
      <w:tr>
        <w:trPr>
          <w:trHeight w:val="155"/>
        </w:trPr>
        <w:tc>
          <w:tcPr>
            <w:tcW w:w="340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Accrued expense under deferred compensation plans</w:t>
            </w: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4,593</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4,593</w:t>
            </w:r>
          </w:p>
        </w:tc>
      </w:tr>
      <w:tr>
        <w:trPr>
          <w:trHeight w:val="122"/>
        </w:trPr>
        <w:tc>
          <w:tcPr>
            <w:tcW w:w="3400" w:type="dxa"/>
            <w:vAlign w:val="bottom"/>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Balance at March 31, 2018</w:t>
            </w:r>
          </w:p>
        </w:tc>
        <w:tc>
          <w:tcPr>
            <w:tcW w:w="120" w:type="dxa"/>
            <w:vAlign w:val="bottom"/>
          </w:tcPr>
          <w:p>
            <w:pPr>
              <w:jc w:val="right"/>
              <w:ind w:right="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61,544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172,929</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jc w:val="right"/>
              <w:ind w:right="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768,223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(1,140)</w:t>
            </w:r>
          </w:p>
        </w:tc>
        <w:tc>
          <w:tcPr>
            <w:tcW w:w="140" w:type="dxa"/>
            <w:vAlign w:val="bottom"/>
          </w:tcPr>
          <w:p>
            <w:pPr>
              <w:spacing w:after="0"/>
              <w:rPr>
                <w:sz w:val="10"/>
                <w:szCs w:val="10"/>
                <w:color w:val="auto"/>
              </w:rPr>
            </w:pPr>
          </w:p>
        </w:tc>
        <w:tc>
          <w:tcPr>
            <w:tcW w:w="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15,366</w:t>
            </w:r>
          </w:p>
        </w:tc>
        <w:tc>
          <w:tcPr>
            <w:tcW w:w="140" w:type="dxa"/>
            <w:vAlign w:val="bottom"/>
          </w:tcPr>
          <w:p>
            <w:pPr>
              <w:spacing w:after="0"/>
              <w:rPr>
                <w:sz w:val="10"/>
                <w:szCs w:val="10"/>
                <w:color w:val="auto"/>
              </w:rPr>
            </w:pPr>
          </w:p>
        </w:tc>
        <w:tc>
          <w:tcPr>
            <w:tcW w:w="220" w:type="dxa"/>
            <w:vAlign w:val="bottom"/>
          </w:tcPr>
          <w:p>
            <w:pPr>
              <w:jc w:val="right"/>
              <w:ind w:right="107"/>
              <w:spacing w:after="0" w:line="122"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1,016,922</w:t>
            </w:r>
          </w:p>
        </w:tc>
      </w:tr>
      <w:tr>
        <w:trPr>
          <w:trHeight w:val="135"/>
        </w:trPr>
        <w:tc>
          <w:tcPr>
            <w:tcW w:w="3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at December 29, 2018</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60,884</w:t>
            </w:r>
          </w:p>
        </w:tc>
        <w:tc>
          <w:tcPr>
            <w:tcW w:w="10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178,540</w:t>
            </w:r>
          </w:p>
        </w:tc>
        <w:tc>
          <w:tcPr>
            <w:tcW w:w="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839,917</w:t>
            </w: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(5,938)</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15,281</w:t>
            </w:r>
          </w:p>
        </w:tc>
        <w:tc>
          <w:tcPr>
            <w:tcW w:w="360" w:type="dxa"/>
            <w:vAlign w:val="bottom"/>
            <w:gridSpan w:val="2"/>
            <w:shd w:val="clear" w:color="auto" w:fill="CCEEFF"/>
          </w:tcPr>
          <w:p>
            <w:pPr>
              <w:jc w:val="right"/>
              <w:ind w:right="10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1,088,684</w:t>
            </w:r>
          </w:p>
        </w:tc>
      </w:tr>
      <w:tr>
        <w:trPr>
          <w:trHeight w:val="135"/>
        </w:trPr>
        <w:tc>
          <w:tcPr>
            <w:tcW w:w="3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earnings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35,540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462</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36,002</w:t>
            </w:r>
          </w:p>
        </w:tc>
      </w:tr>
      <w:tr>
        <w:trPr>
          <w:trHeight w:val="135"/>
        </w:trPr>
        <w:tc>
          <w:tcPr>
            <w:tcW w:w="3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224</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w:t>
            </w:r>
          </w:p>
        </w:tc>
      </w:tr>
      <w:tr>
        <w:trPr>
          <w:trHeight w:val="135"/>
        </w:trPr>
        <w:tc>
          <w:tcPr>
            <w:tcW w:w="3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gain (loss) on debt 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167</w:t>
            </w:r>
          </w:p>
        </w:tc>
      </w:tr>
      <w:tr>
        <w:trPr>
          <w:trHeight w:val="135"/>
        </w:trPr>
        <w:tc>
          <w:tcPr>
            <w:tcW w:w="3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Distributions to noncontrolling interest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(500)</w:t>
            </w:r>
          </w:p>
        </w:tc>
      </w:tr>
      <w:tr>
        <w:trPr>
          <w:trHeight w:val="135"/>
        </w:trPr>
        <w:tc>
          <w:tcPr>
            <w:tcW w:w="3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10,259 shares under employee stock purchase plans</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261</w:t>
            </w:r>
          </w:p>
        </w:tc>
      </w:tr>
      <w:tr>
        <w:trPr>
          <w:trHeight w:val="135"/>
        </w:trPr>
        <w:tc>
          <w:tcPr>
            <w:tcW w:w="34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320,069 shares under stock grant programs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6,101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6,421</w:t>
            </w:r>
          </w:p>
        </w:tc>
      </w:tr>
      <w:tr>
        <w:trPr>
          <w:trHeight w:val="135"/>
        </w:trPr>
        <w:tc>
          <w:tcPr>
            <w:tcW w:w="3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138,295 shares under deferred compensation plans</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34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Expense associated with share-based compensation</w:t>
            </w: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5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arrangements</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w:t>
            </w:r>
          </w:p>
        </w:tc>
      </w:tr>
      <w:tr>
        <w:trPr>
          <w:trHeight w:val="142"/>
        </w:trPr>
        <w:tc>
          <w:tcPr>
            <w:tcW w:w="340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Accrued expense under deferred compensation plans</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4,899</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4,899</w:t>
            </w:r>
          </w:p>
        </w:tc>
      </w:tr>
      <w:tr>
        <w:trPr>
          <w:trHeight w:val="142"/>
        </w:trPr>
        <w:tc>
          <w:tcPr>
            <w:tcW w:w="340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at March 30, 2019</w:t>
            </w: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61,352</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190,879</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875,457</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(4,789)</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15,467</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1,138,366</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6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88"/>
              <w:spacing w:after="0" w:line="12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0"/>
                <w:szCs w:val="10"/>
                <w:color w:val="auto"/>
              </w:rPr>
            </w:pPr>
          </w:p>
        </w:tc>
      </w:tr>
      <w:tr>
        <w:trPr>
          <w:trHeight w:val="180"/>
        </w:trPr>
        <w:tc>
          <w:tcPr>
            <w:tcW w:w="61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360" w:type="dxa"/>
            <w:vAlign w:val="bottom"/>
            <w:tcBorders>
              <w:bottom w:val="single" w:sz="8" w:color="CCEEFF"/>
            </w:tcBorders>
          </w:tcPr>
          <w:p>
            <w:pPr>
              <w:spacing w:after="0"/>
              <w:rPr>
                <w:sz w:val="15"/>
                <w:szCs w:val="15"/>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36,002</w:t>
            </w:r>
          </w:p>
        </w:tc>
        <w:tc>
          <w:tcPr>
            <w:tcW w:w="20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33,582</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earnings to net cash from operating activities: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12,712</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1,228</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Expense associated with share-based and grant compensation arrangements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1,094</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income taxes credits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(519)</w:t>
            </w:r>
          </w:p>
        </w:tc>
      </w:tr>
      <w:tr>
        <w:trPr>
          <w:trHeight w:val="149"/>
        </w:trPr>
        <w:tc>
          <w:tcPr>
            <w:tcW w:w="6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(1,348)</w:t>
            </w:r>
          </w:p>
        </w:tc>
        <w:tc>
          <w:tcPr>
            <w:tcW w:w="12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1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gain on disposition of assets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(6,534)</w:t>
            </w:r>
          </w:p>
        </w:tc>
      </w:tr>
      <w:tr>
        <w:trPr>
          <w:trHeight w:val="149"/>
        </w:trPr>
        <w:tc>
          <w:tcPr>
            <w:tcW w:w="6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in: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(100,716)</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(99,765)</w:t>
            </w:r>
          </w:p>
        </w:tc>
      </w:tr>
      <w:tr>
        <w:trPr>
          <w:trHeight w:val="149"/>
        </w:trPr>
        <w:tc>
          <w:tcPr>
            <w:tcW w:w="61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(23,649)</w:t>
            </w:r>
          </w:p>
        </w:tc>
        <w:tc>
          <w:tcPr>
            <w:tcW w:w="12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(57,403)</w:t>
            </w:r>
          </w:p>
        </w:tc>
      </w:tr>
      <w:tr>
        <w:trPr>
          <w:trHeight w:val="149"/>
        </w:trPr>
        <w:tc>
          <w:tcPr>
            <w:tcW w:w="61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payable and cash overdraft</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25,056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39,935</w:t>
            </w:r>
          </w:p>
        </w:tc>
        <w:tc>
          <w:tcPr>
            <w:tcW w:w="360" w:type="dxa"/>
            <w:vAlign w:val="bottom"/>
            <w:shd w:val="clear" w:color="auto" w:fill="CCEEFF"/>
          </w:tcPr>
          <w:p>
            <w:pPr>
              <w:spacing w:after="0"/>
              <w:rPr>
                <w:sz w:val="12"/>
                <w:szCs w:val="12"/>
                <w:color w:val="auto"/>
              </w:rPr>
            </w:pPr>
          </w:p>
        </w:tc>
      </w:tr>
      <w:tr>
        <w:trPr>
          <w:trHeight w:val="156"/>
        </w:trPr>
        <w:tc>
          <w:tcPr>
            <w:tcW w:w="61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liabilities and other</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(7,924)</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(8,502)</w:t>
            </w:r>
          </w:p>
        </w:tc>
      </w:tr>
      <w:tr>
        <w:trPr>
          <w:trHeight w:val="149"/>
        </w:trPr>
        <w:tc>
          <w:tcPr>
            <w:tcW w:w="6120" w:type="dxa"/>
            <w:vAlign w:val="bottom"/>
            <w:tcBorders>
              <w:top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4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(55,829)</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(84,172)</w:t>
            </w:r>
          </w:p>
        </w:tc>
        <w:tc>
          <w:tcPr>
            <w:tcW w:w="360" w:type="dxa"/>
            <w:vAlign w:val="bottom"/>
            <w:tcBorders>
              <w:top w:val="single" w:sz="8" w:color="CCEEFF"/>
            </w:tcBorders>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(15,883)</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(24,362)</w:t>
            </w:r>
          </w:p>
        </w:tc>
      </w:tr>
      <w:tr>
        <w:trPr>
          <w:trHeight w:val="149"/>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36,250</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Acquisitions, net of cash received</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(8,787)</w:t>
            </w:r>
          </w:p>
        </w:tc>
      </w:tr>
      <w:tr>
        <w:trPr>
          <w:trHeight w:val="149"/>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(6,718)</w:t>
            </w:r>
          </w:p>
        </w:tc>
      </w:tr>
      <w:tr>
        <w:trPr>
          <w:trHeight w:val="149"/>
        </w:trPr>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investments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5,045</w:t>
            </w:r>
          </w:p>
        </w:tc>
        <w:tc>
          <w:tcPr>
            <w:tcW w:w="360" w:type="dxa"/>
            <w:vAlign w:val="bottom"/>
            <w:shd w:val="clear" w:color="auto" w:fill="CCEEFF"/>
          </w:tcPr>
          <w:p>
            <w:pPr>
              <w:spacing w:after="0"/>
              <w:rPr>
                <w:sz w:val="12"/>
                <w:szCs w:val="12"/>
                <w:color w:val="auto"/>
              </w:rPr>
            </w:pPr>
          </w:p>
        </w:tc>
      </w:tr>
      <w:tr>
        <w:trPr>
          <w:trHeight w:val="156"/>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(124)</w:t>
            </w:r>
          </w:p>
        </w:tc>
      </w:tr>
      <w:tr>
        <w:trPr>
          <w:trHeight w:val="149"/>
        </w:trPr>
        <w:tc>
          <w:tcPr>
            <w:tcW w:w="6120" w:type="dxa"/>
            <w:vAlign w:val="bottom"/>
            <w:tcBorders>
              <w:top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4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(15,551)</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1,304</w:t>
            </w:r>
          </w:p>
        </w:tc>
        <w:tc>
          <w:tcPr>
            <w:tcW w:w="360" w:type="dxa"/>
            <w:vAlign w:val="bottom"/>
            <w:tcBorders>
              <w:top w:val="single" w:sz="8" w:color="CCEEFF"/>
            </w:tcBorders>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237,560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296,342</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under revolving credit facilities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(173,232)</w:t>
            </w:r>
          </w:p>
        </w:tc>
        <w:tc>
          <w:tcPr>
            <w:tcW w:w="12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(179,429)</w:t>
            </w:r>
          </w:p>
        </w:tc>
      </w:tr>
      <w:tr>
        <w:trPr>
          <w:trHeight w:val="149"/>
        </w:trPr>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 of debt</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1,376</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of debt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(3,029)</w:t>
            </w:r>
          </w:p>
        </w:tc>
        <w:tc>
          <w:tcPr>
            <w:tcW w:w="12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(5,232)</w:t>
            </w:r>
          </w:p>
        </w:tc>
      </w:tr>
      <w:tr>
        <w:trPr>
          <w:trHeight w:val="149"/>
        </w:trPr>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(775)</w:t>
            </w:r>
          </w:p>
        </w:tc>
      </w:tr>
      <w:tr>
        <w:trPr>
          <w:trHeight w:val="149"/>
        </w:trPr>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(848)</w:t>
            </w:r>
          </w:p>
        </w:tc>
      </w:tr>
      <w:tr>
        <w:trPr>
          <w:trHeight w:val="156"/>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(70)</w:t>
            </w:r>
          </w:p>
        </w:tc>
      </w:tr>
      <w:tr>
        <w:trPr>
          <w:trHeight w:val="149"/>
        </w:trPr>
        <w:tc>
          <w:tcPr>
            <w:tcW w:w="6120" w:type="dxa"/>
            <w:vAlign w:val="bottom"/>
            <w:tcBorders>
              <w:top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4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61,069</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111,570</w:t>
            </w:r>
          </w:p>
        </w:tc>
        <w:tc>
          <w:tcPr>
            <w:tcW w:w="360" w:type="dxa"/>
            <w:vAlign w:val="bottom"/>
            <w:tcBorders>
              <w:top w:val="single" w:sz="8" w:color="CCEEFF"/>
            </w:tcBorders>
            <w:shd w:val="clear" w:color="auto" w:fill="CCEEFF"/>
          </w:tcPr>
          <w:p>
            <w:pPr>
              <w:spacing w:after="0"/>
              <w:rPr>
                <w:sz w:val="12"/>
                <w:szCs w:val="12"/>
                <w:color w:val="auto"/>
              </w:rPr>
            </w:pPr>
          </w:p>
        </w:tc>
      </w:tr>
      <w:tr>
        <w:trPr>
          <w:trHeight w:val="156"/>
        </w:trPr>
        <w:tc>
          <w:tcPr>
            <w:tcW w:w="61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4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360" w:type="dxa"/>
            <w:vAlign w:val="bottom"/>
            <w:tcBorders>
              <w:bottom w:val="single" w:sz="8" w:color="CCEEFF"/>
            </w:tcBorders>
          </w:tcPr>
          <w:p>
            <w:pPr>
              <w:spacing w:after="0"/>
              <w:rPr>
                <w:sz w:val="13"/>
                <w:szCs w:val="13"/>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(10,063)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28,935</w:t>
            </w:r>
          </w:p>
        </w:tc>
        <w:tc>
          <w:tcPr>
            <w:tcW w:w="360" w:type="dxa"/>
            <w:vAlign w:val="bottom"/>
            <w:shd w:val="clear" w:color="auto" w:fill="CCEEFF"/>
          </w:tcPr>
          <w:p>
            <w:pPr>
              <w:spacing w:after="0"/>
              <w:rPr>
                <w:sz w:val="12"/>
                <w:szCs w:val="12"/>
                <w:color w:val="auto"/>
              </w:rPr>
            </w:pPr>
          </w:p>
        </w:tc>
      </w:tr>
      <w:tr>
        <w:trPr>
          <w:trHeight w:val="156"/>
        </w:trPr>
        <w:tc>
          <w:tcPr>
            <w:tcW w:w="61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4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28,198</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28,816</w:t>
            </w:r>
          </w:p>
        </w:tc>
        <w:tc>
          <w:tcPr>
            <w:tcW w:w="360" w:type="dxa"/>
            <w:vAlign w:val="bottom"/>
            <w:tcBorders>
              <w:bottom w:val="single" w:sz="8" w:color="CCEEFF"/>
            </w:tcBorders>
          </w:tcPr>
          <w:p>
            <w:pPr>
              <w:spacing w:after="0"/>
              <w:rPr>
                <w:sz w:val="13"/>
                <w:szCs w:val="13"/>
                <w:color w:val="auto"/>
              </w:rPr>
            </w:pPr>
          </w:p>
        </w:tc>
      </w:tr>
      <w:tr>
        <w:trPr>
          <w:trHeight w:val="156"/>
        </w:trPr>
        <w:tc>
          <w:tcPr>
            <w:tcW w:w="61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18,135</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57,751</w:t>
            </w:r>
          </w:p>
        </w:tc>
        <w:tc>
          <w:tcPr>
            <w:tcW w:w="360" w:type="dxa"/>
            <w:vAlign w:val="bottom"/>
            <w:tcBorders>
              <w:bottom w:val="single" w:sz="8" w:color="CCEEFF"/>
            </w:tcBorders>
            <w:shd w:val="clear" w:color="auto" w:fill="CCEEFF"/>
          </w:tcPr>
          <w:p>
            <w:pPr>
              <w:spacing w:after="0"/>
              <w:rPr>
                <w:sz w:val="13"/>
                <w:szCs w:val="13"/>
                <w:color w:val="auto"/>
              </w:rPr>
            </w:pPr>
          </w:p>
        </w:tc>
      </w:tr>
      <w:tr>
        <w:trPr>
          <w:trHeight w:val="81"/>
        </w:trPr>
        <w:tc>
          <w:tcPr>
            <w:tcW w:w="6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27,316</w:t>
            </w:r>
          </w:p>
        </w:tc>
        <w:tc>
          <w:tcPr>
            <w:tcW w:w="20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28,339</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 beginning of period</w:t>
            </w:r>
          </w:p>
        </w:tc>
        <w:tc>
          <w:tcPr>
            <w:tcW w:w="4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477</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28,198</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28,816</w:t>
            </w:r>
          </w:p>
        </w:tc>
        <w:tc>
          <w:tcPr>
            <w:tcW w:w="360" w:type="dxa"/>
            <w:vAlign w:val="bottom"/>
            <w:tcBorders>
              <w:bottom w:val="single" w:sz="8" w:color="CCEEFF"/>
            </w:tcBorders>
          </w:tcPr>
          <w:p>
            <w:pPr>
              <w:spacing w:after="0"/>
              <w:rPr>
                <w:sz w:val="12"/>
                <w:szCs w:val="12"/>
                <w:color w:val="auto"/>
              </w:rPr>
            </w:pPr>
          </w:p>
        </w:tc>
      </w:tr>
      <w:tr>
        <w:trPr>
          <w:trHeight w:val="81"/>
        </w:trPr>
        <w:tc>
          <w:tcPr>
            <w:tcW w:w="6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r>
      <w:tr>
        <w:trPr>
          <w:trHeight w:val="149"/>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17,111</w:t>
            </w:r>
          </w:p>
        </w:tc>
        <w:tc>
          <w:tcPr>
            <w:tcW w:w="20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25,326</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 end of period</w:t>
            </w:r>
          </w:p>
        </w:tc>
        <w:tc>
          <w:tcPr>
            <w:tcW w:w="4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32,425</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18,135</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57,751</w:t>
            </w:r>
          </w:p>
        </w:tc>
        <w:tc>
          <w:tcPr>
            <w:tcW w:w="360" w:type="dxa"/>
            <w:vAlign w:val="bottom"/>
            <w:tcBorders>
              <w:bottom w:val="single" w:sz="8" w:color="CCEEFF"/>
            </w:tcBorders>
          </w:tcPr>
          <w:p>
            <w:pPr>
              <w:spacing w:after="0"/>
              <w:rPr>
                <w:sz w:val="12"/>
                <w:szCs w:val="12"/>
                <w:color w:val="auto"/>
              </w:rPr>
            </w:pPr>
          </w:p>
        </w:tc>
      </w:tr>
      <w:tr>
        <w:trPr>
          <w:trHeight w:val="81"/>
        </w:trPr>
        <w:tc>
          <w:tcPr>
            <w:tcW w:w="6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r>
      <w:tr>
        <w:trPr>
          <w:trHeight w:val="149"/>
        </w:trPr>
        <w:tc>
          <w:tcPr>
            <w:tcW w:w="6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SUPPLEMENTAL INFORMATION:</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6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843</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1,245</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88"/>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issued under deferred compensation plans</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4,237</w:t>
            </w:r>
          </w:p>
        </w:tc>
        <w:tc>
          <w:tcPr>
            <w:tcW w:w="360" w:type="dxa"/>
            <w:vAlign w:val="bottom"/>
          </w:tcPr>
          <w:p>
            <w:pPr>
              <w:spacing w:after="0"/>
              <w:rPr>
                <w:sz w:val="16"/>
                <w:szCs w:val="16"/>
                <w:color w:val="auto"/>
              </w:rPr>
            </w:pPr>
          </w:p>
        </w:tc>
      </w:tr>
    </w:tbl>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p>
      <w:pPr>
        <w:spacing w:after="0" w:line="203" w:lineRule="exact"/>
        <w:rPr>
          <w:sz w:val="20"/>
          <w:szCs w:val="20"/>
          <w:color w:val="auto"/>
        </w:rPr>
      </w:pPr>
    </w:p>
    <w:p>
      <w:pPr>
        <w:ind w:left="500" w:hanging="497"/>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ind w:left="48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87" w:lineRule="exact"/>
        <w:rPr>
          <w:rFonts w:ascii="Times New Roman" w:cs="Times New Roman" w:eastAsia="Times New Roman" w:hAnsi="Times New Roman"/>
          <w:sz w:val="18"/>
          <w:szCs w:val="18"/>
          <w:b w:val="1"/>
          <w:bCs w:val="1"/>
          <w:color w:val="auto"/>
        </w:rPr>
      </w:pPr>
    </w:p>
    <w:p>
      <w:pPr>
        <w:ind w:left="480" w:right="100"/>
        <w:spacing w:after="0" w:line="2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December 29, 2018.</w:t>
      </w:r>
    </w:p>
    <w:p>
      <w:pPr>
        <w:spacing w:after="0" w:line="201" w:lineRule="exact"/>
        <w:rPr>
          <w:rFonts w:ascii="Times New Roman" w:cs="Times New Roman" w:eastAsia="Times New Roman" w:hAnsi="Times New Roman"/>
          <w:sz w:val="18"/>
          <w:szCs w:val="18"/>
          <w:b w:val="1"/>
          <w:bCs w:val="1"/>
          <w:color w:val="auto"/>
        </w:rPr>
      </w:pPr>
    </w:p>
    <w:p>
      <w:pPr>
        <w:ind w:left="480" w:right="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March 31, 2018 balances in the accompanying unaudited consolidated condensed balance sheets.</w:t>
      </w:r>
    </w:p>
    <w:p>
      <w:pPr>
        <w:spacing w:after="0" w:line="179" w:lineRule="exact"/>
        <w:rPr>
          <w:rFonts w:ascii="Times New Roman" w:cs="Times New Roman" w:eastAsia="Times New Roman" w:hAnsi="Times New Roman"/>
          <w:sz w:val="18"/>
          <w:szCs w:val="18"/>
          <w:b w:val="1"/>
          <w:bCs w:val="1"/>
          <w:color w:val="auto"/>
        </w:rPr>
      </w:pPr>
    </w:p>
    <w:p>
      <w:pPr>
        <w:ind w:left="480" w:hanging="477"/>
        <w:spacing w:after="0"/>
        <w:tabs>
          <w:tab w:leader="none" w:pos="4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7" w:lineRule="exact"/>
        <w:rPr>
          <w:sz w:val="20"/>
          <w:szCs w:val="20"/>
          <w:color w:val="auto"/>
        </w:rPr>
      </w:pPr>
    </w:p>
    <w:p>
      <w:pPr>
        <w:ind w:left="480" w:right="180"/>
        <w:spacing w:after="0" w:line="284" w:lineRule="auto"/>
        <w:rPr>
          <w:sz w:val="20"/>
          <w:szCs w:val="20"/>
          <w:color w:val="auto"/>
        </w:rPr>
      </w:pPr>
      <w:r>
        <w:rPr>
          <w:rFonts w:ascii="Times New Roman" w:cs="Times New Roman" w:eastAsia="Times New Roman" w:hAnsi="Times New Roman"/>
          <w:sz w:val="18"/>
          <w:szCs w:val="18"/>
          <w:color w:val="auto"/>
        </w:rPr>
        <w:t xml:space="preserve">We apply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to assets and liabilities measured at fair value. Assets measured at fair value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March 30, 2019</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35"/>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180" w:type="dxa"/>
            <w:vAlign w:val="bottom"/>
          </w:tcPr>
          <w:p>
            <w:pPr>
              <w:spacing w:after="0"/>
              <w:rPr>
                <w:sz w:val="10"/>
                <w:szCs w:val="10"/>
                <w:color w:val="auto"/>
              </w:rPr>
            </w:pPr>
          </w:p>
        </w:tc>
        <w:tc>
          <w:tcPr>
            <w:tcW w:w="78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4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200" w:type="dxa"/>
            <w:vAlign w:val="bottom"/>
          </w:tcPr>
          <w:p>
            <w:pPr>
              <w:spacing w:after="0"/>
              <w:rPr>
                <w:sz w:val="10"/>
                <w:szCs w:val="10"/>
                <w:color w:val="auto"/>
              </w:rPr>
            </w:pPr>
          </w:p>
        </w:tc>
        <w:tc>
          <w:tcPr>
            <w:tcW w:w="960" w:type="dxa"/>
            <w:vAlign w:val="bottom"/>
            <w:gridSpan w:val="3"/>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0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funds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Hedge funds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Domestic stock funds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International stock funds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16"/>
        </w:trPr>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Target funds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Bond funds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23"/>
        </w:trPr>
        <w:tc>
          <w:tcPr>
            <w:tcW w:w="2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Alternative funds</w:t>
            </w: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mutual funds</w:t>
            </w: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0" w:type="dxa"/>
            <w:vAlign w:val="bottom"/>
          </w:tcPr>
          <w:p>
            <w:pPr>
              <w:spacing w:after="0"/>
              <w:rPr>
                <w:sz w:val="1"/>
                <w:szCs w:val="1"/>
                <w:color w:val="auto"/>
              </w:rPr>
            </w:pPr>
          </w:p>
        </w:tc>
      </w:tr>
      <w:tr>
        <w:trPr>
          <w:trHeight w:val="203"/>
        </w:trPr>
        <w:tc>
          <w:tcPr>
            <w:tcW w:w="22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18,810</w:t>
            </w:r>
          </w:p>
        </w:tc>
        <w:tc>
          <w:tcPr>
            <w:tcW w:w="18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10,312</w:t>
            </w:r>
          </w:p>
        </w:tc>
        <w:tc>
          <w:tcPr>
            <w:tcW w:w="1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1,782</w:t>
            </w:r>
          </w:p>
        </w:tc>
        <w:tc>
          <w:tcPr>
            <w:tcW w:w="18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30,904</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12,231</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12,945</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25,176</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Assets at fair value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25,176</w:t>
            </w:r>
          </w:p>
        </w:tc>
        <w:tc>
          <w:tcPr>
            <w:tcW w:w="0" w:type="dxa"/>
            <w:vAlign w:val="bottom"/>
          </w:tcPr>
          <w:p>
            <w:pPr>
              <w:spacing w:after="0"/>
              <w:rPr>
                <w:sz w:val="1"/>
                <w:szCs w:val="1"/>
                <w:color w:val="auto"/>
              </w:rPr>
            </w:pPr>
          </w:p>
        </w:tc>
      </w:tr>
      <w:tr>
        <w:trPr>
          <w:trHeight w:val="27"/>
        </w:trPr>
        <w:tc>
          <w:tcPr>
            <w:tcW w:w="2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80" w:right="120"/>
        <w:spacing w:after="0" w:line="266" w:lineRule="auto"/>
        <w:rPr>
          <w:sz w:val="20"/>
          <w:szCs w:val="20"/>
          <w:color w:val="auto"/>
        </w:rPr>
      </w:pPr>
      <w:r>
        <w:rPr>
          <w:rFonts w:ascii="Times New Roman" w:cs="Times New Roman" w:eastAsia="Times New Roman" w:hAnsi="Times New Roman"/>
          <w:sz w:val="18"/>
          <w:szCs w:val="18"/>
          <w:color w:val="auto"/>
        </w:rPr>
        <w:t>We maintain money market, mutual funds, bonds, and/or stocks in our non-qualified deferred compensation plan and our wholly owned licensed captive insurance company. These funds are valued at prices quoted in an active exchange market and are included in “Cash and Cash Equivalents”, “Investments”, “Restricted Cash”, and</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1" w:right="139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7" w:lineRule="exact"/>
        <w:rPr>
          <w:sz w:val="20"/>
          <w:szCs w:val="20"/>
          <w:color w:val="auto"/>
        </w:rPr>
      </w:pPr>
    </w:p>
    <w:p>
      <w:pPr>
        <w:ind w:left="480"/>
        <w:spacing w:after="0" w:line="284" w:lineRule="auto"/>
        <w:rPr>
          <w:sz w:val="20"/>
          <w:szCs w:val="20"/>
          <w:color w:val="auto"/>
        </w:rPr>
      </w:pPr>
      <w:r>
        <w:rPr>
          <w:rFonts w:ascii="Times New Roman" w:cs="Times New Roman" w:eastAsia="Times New Roman" w:hAnsi="Times New Roman"/>
          <w:sz w:val="18"/>
          <w:szCs w:val="18"/>
          <w:color w:val="auto"/>
        </w:rPr>
        <w:t xml:space="preserve">“Restricted Investments”. We have elected not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to any of our financial instruments except for those expressly required by U.S. GAAP.</w:t>
      </w:r>
    </w:p>
    <w:p>
      <w:pPr>
        <w:spacing w:after="0" w:line="160" w:lineRule="exact"/>
        <w:rPr>
          <w:sz w:val="20"/>
          <w:szCs w:val="20"/>
          <w:color w:val="auto"/>
        </w:rPr>
      </w:pPr>
    </w:p>
    <w:p>
      <w:pPr>
        <w:ind w:left="480"/>
        <w:spacing w:after="0" w:line="282" w:lineRule="auto"/>
        <w:rPr>
          <w:sz w:val="20"/>
          <w:szCs w:val="20"/>
          <w:color w:val="auto"/>
        </w:rPr>
      </w:pPr>
      <w:r>
        <w:rPr>
          <w:rFonts w:ascii="Times New Roman" w:cs="Times New Roman" w:eastAsia="Times New Roman" w:hAnsi="Times New Roman"/>
          <w:sz w:val="18"/>
          <w:szCs w:val="18"/>
          <w:color w:val="auto"/>
        </w:rPr>
        <w:t>During 2018, we purchased a private real estate income trust which are valued as a Level 3 asset. We did not maintain any Level 3 assets or liabilities at March 31, 2018.</w:t>
      </w:r>
    </w:p>
    <w:p>
      <w:pPr>
        <w:spacing w:after="0" w:line="162" w:lineRule="exact"/>
        <w:rPr>
          <w:sz w:val="20"/>
          <w:szCs w:val="20"/>
          <w:color w:val="auto"/>
        </w:rPr>
      </w:pPr>
    </w:p>
    <w:p>
      <w:pPr>
        <w:jc w:val="both"/>
        <w:ind w:left="480" w:right="120"/>
        <w:spacing w:after="0" w:line="266" w:lineRule="auto"/>
        <w:rPr>
          <w:sz w:val="20"/>
          <w:szCs w:val="20"/>
          <w:color w:val="auto"/>
        </w:rPr>
      </w:pPr>
      <w:r>
        <w:rPr>
          <w:rFonts w:ascii="Times New Roman" w:cs="Times New Roman" w:eastAsia="Times New Roman" w:hAnsi="Times New Roman"/>
          <w:sz w:val="18"/>
          <w:szCs w:val="18"/>
          <w:color w:val="auto"/>
        </w:rPr>
        <w:t>In accordance with our investment policy, our wholly-owned captive, Ardellis Insurance Ltd. (“Ardellis”), maintains an investment portfolio, totaling $29.3 million as of March 30, 2019, consisting of domestic and international stocks, hedge funds, and fixed income bonds.</w:t>
      </w:r>
    </w:p>
    <w:p>
      <w:pPr>
        <w:spacing w:after="0" w:line="176" w:lineRule="exact"/>
        <w:rPr>
          <w:sz w:val="20"/>
          <w:szCs w:val="20"/>
          <w:color w:val="auto"/>
        </w:rPr>
      </w:pPr>
    </w:p>
    <w:p>
      <w:pPr>
        <w:ind w:left="480" w:right="480"/>
        <w:spacing w:after="0" w:line="282" w:lineRule="auto"/>
        <w:rPr>
          <w:sz w:val="20"/>
          <w:szCs w:val="20"/>
          <w:color w:val="auto"/>
        </w:rPr>
      </w:pPr>
      <w:r>
        <w:rPr>
          <w:rFonts w:ascii="Times New Roman" w:cs="Times New Roman" w:eastAsia="Times New Roman" w:hAnsi="Times New Roman"/>
          <w:sz w:val="18"/>
          <w:szCs w:val="18"/>
          <w:color w:val="auto"/>
        </w:rPr>
        <w:t>Ardellis’ available for sale investment portfolio, including funds held with the State of Michigan, consists of the following (in thousands):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80"/>
        </w:trPr>
        <w:tc>
          <w:tcPr>
            <w:tcW w:w="4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30,2019</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0"/>
                <w:szCs w:val="10"/>
                <w:color w:val="auto"/>
              </w:rPr>
            </w:pPr>
          </w:p>
        </w:tc>
        <w:tc>
          <w:tcPr>
            <w:tcW w:w="920" w:type="dxa"/>
            <w:vAlign w:val="bottom"/>
            <w:gridSpan w:val="3"/>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80"/>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Hedge Funds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28,359</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80" w:right="280"/>
        <w:spacing w:after="0" w:line="258" w:lineRule="auto"/>
        <w:rPr>
          <w:sz w:val="20"/>
          <w:szCs w:val="20"/>
          <w:color w:val="auto"/>
        </w:rPr>
      </w:pPr>
      <w:r>
        <w:rPr>
          <w:rFonts w:ascii="Times New Roman" w:cs="Times New Roman" w:eastAsia="Times New Roman" w:hAnsi="Times New Roman"/>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hedge funds consist of the private real estate income trust which is valued as a Level 3 asset. The net unrealized gain was $1.0 million. Carrying amounts above are recorded in the investments and restricted investments line items within the balance sheet as of March 30, 2019.</w:t>
      </w:r>
    </w:p>
    <w:p>
      <w:pPr>
        <w:spacing w:after="0" w:line="193" w:lineRule="exact"/>
        <w:rPr>
          <w:sz w:val="20"/>
          <w:szCs w:val="20"/>
          <w:color w:val="auto"/>
        </w:rPr>
      </w:pPr>
    </w:p>
    <w:p>
      <w:pPr>
        <w:ind w:left="500" w:hanging="497"/>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rFonts w:ascii="Times New Roman" w:cs="Times New Roman" w:eastAsia="Times New Roman" w:hAnsi="Times New Roman"/>
          <w:sz w:val="18"/>
          <w:szCs w:val="18"/>
          <w:b w:val="1"/>
          <w:bCs w:val="1"/>
          <w:color w:val="auto"/>
        </w:rPr>
      </w:pPr>
    </w:p>
    <w:p>
      <w:pPr>
        <w:ind w:left="4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28, 2014, the FASB issued ASU No. 2014-09 (Accounting Standard Codification 606), Revenue from Contracts with Customers. Topic 606 supersedes the revenue recognition requirements in Accounting Standards Codification Topic 605, Revenue Recognition, and requires the recognition of revenue when promised goods or services are transferred to customers in an amount that reflects the considerations to which the entity expects to be entitled to in exchange for those goods or services. The ASU requires additional disclosure about the nature, amount, timing and uncertainty of revenue and cash flows arising from customer contracts, including significant judgments and changes in judgments. The Company has adopted the requirements of the new standard as of January 1, 2018, and utilized the modified retrospective method of transition which was applied to all contracts.</w:t>
      </w:r>
    </w:p>
    <w:p>
      <w:pPr>
        <w:spacing w:after="0" w:line="185" w:lineRule="exact"/>
        <w:rPr>
          <w:rFonts w:ascii="Times New Roman" w:cs="Times New Roman" w:eastAsia="Times New Roman" w:hAnsi="Times New Roman"/>
          <w:sz w:val="18"/>
          <w:szCs w:val="18"/>
          <w:b w:val="1"/>
          <w:bCs w:val="1"/>
          <w:color w:val="auto"/>
        </w:rPr>
      </w:pPr>
    </w:p>
    <w:p>
      <w:pPr>
        <w:jc w:val="both"/>
        <w:ind w:left="48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completed the new revenue recognition standard assessment and determined that there was no material impact to our consolidated financial statements, aside from additional required disclosures, thus no needed adjustment to the opening retained earnings for the annual reporting period.</w:t>
      </w:r>
    </w:p>
    <w:p>
      <w:pPr>
        <w:spacing w:after="0" w:line="176" w:lineRule="exact"/>
        <w:rPr>
          <w:rFonts w:ascii="Times New Roman" w:cs="Times New Roman" w:eastAsia="Times New Roman" w:hAnsi="Times New Roman"/>
          <w:sz w:val="18"/>
          <w:szCs w:val="18"/>
          <w:b w:val="1"/>
          <w:bCs w:val="1"/>
          <w:color w:val="auto"/>
        </w:rPr>
      </w:pPr>
    </w:p>
    <w:p>
      <w:pPr>
        <w:ind w:left="48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the three markets (retail, industrial, and construction) that the Company operates, there are a variety of written and oral contracts that are utilized to generate revenue from the sale of wood, wood composite and other</w:t>
      </w:r>
    </w:p>
    <w:p>
      <w:pPr>
        <w:ind w:left="480" w:right="10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ind w:left="480" w:right="220"/>
        <w:spacing w:after="0" w:line="261" w:lineRule="auto"/>
        <w:rPr>
          <w:sz w:val="20"/>
          <w:szCs w:val="20"/>
          <w:color w:val="auto"/>
        </w:rPr>
      </w:pPr>
      <w:r>
        <w:rPr>
          <w:rFonts w:ascii="Times New Roman" w:cs="Times New Roman" w:eastAsia="Times New Roman" w:hAnsi="Times New Roman"/>
          <w:sz w:val="18"/>
          <w:szCs w:val="18"/>
          <w:color w:val="auto"/>
        </w:rPr>
        <w:t>Certain customer products that we provide require installation by the Company or a 3</w:t>
      </w:r>
      <w:r>
        <w:rPr>
          <w:rFonts w:ascii="Times New Roman" w:cs="Times New Roman" w:eastAsia="Times New Roman" w:hAnsi="Times New Roman"/>
          <w:sz w:val="8"/>
          <w:szCs w:val="8"/>
          <w:color w:val="auto"/>
        </w:rPr>
        <w:t>rd</w:t>
      </w:r>
      <w:r>
        <w:rPr>
          <w:rFonts w:ascii="Times New Roman" w:cs="Times New Roman" w:eastAsia="Times New Roman" w:hAnsi="Times New Roman"/>
          <w:sz w:val="18"/>
          <w:szCs w:val="18"/>
          <w:color w:val="auto"/>
        </w:rPr>
        <w:t xml:space="preserve"> party. Installation revenue is recognized upon completion, which is typically 2-3 days after receipt. If it is determined to utilize a 3</w:t>
      </w:r>
      <w:r>
        <w:rPr>
          <w:rFonts w:ascii="Times New Roman" w:cs="Times New Roman" w:eastAsia="Times New Roman" w:hAnsi="Times New Roman"/>
          <w:sz w:val="8"/>
          <w:szCs w:val="8"/>
          <w:color w:val="auto"/>
        </w:rPr>
        <w:t>rd</w:t>
      </w:r>
      <w:r>
        <w:rPr>
          <w:rFonts w:ascii="Times New Roman" w:cs="Times New Roman" w:eastAsia="Times New Roman" w:hAnsi="Times New Roman"/>
          <w:sz w:val="18"/>
          <w:szCs w:val="18"/>
          <w:color w:val="auto"/>
        </w:rPr>
        <w:t xml:space="preserve"> party for installation, the party will act as an agent to the Company until completion of the installation. Installation revenue represents an immaterial share of the Company’s total sales.</w:t>
      </w:r>
    </w:p>
    <w:p>
      <w:pPr>
        <w:spacing w:after="0" w:line="180" w:lineRule="exact"/>
        <w:rPr>
          <w:sz w:val="20"/>
          <w:szCs w:val="20"/>
          <w:color w:val="auto"/>
        </w:rPr>
      </w:pPr>
    </w:p>
    <w:p>
      <w:pPr>
        <w:ind w:left="480" w:right="60"/>
        <w:spacing w:after="0" w:line="256" w:lineRule="auto"/>
        <w:rPr>
          <w:sz w:val="20"/>
          <w:szCs w:val="20"/>
          <w:color w:val="auto"/>
        </w:rPr>
      </w:pPr>
      <w:r>
        <w:rPr>
          <w:rFonts w:ascii="Times New Roman" w:cs="Times New Roman" w:eastAsia="Times New Roman" w:hAnsi="Times New Roman"/>
          <w:sz w:val="18"/>
          <w:szCs w:val="18"/>
          <w:color w:val="auto"/>
        </w:rPr>
        <w:t>The Company utilizes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the volume returns and refunds are estimated on a historical and expected basis which is a reduction of revenue recognized.</w:t>
      </w:r>
    </w:p>
    <w:p>
      <w:pPr>
        <w:spacing w:after="0" w:line="188" w:lineRule="exact"/>
        <w:rPr>
          <w:sz w:val="20"/>
          <w:szCs w:val="20"/>
          <w:color w:val="auto"/>
        </w:rPr>
      </w:pPr>
    </w:p>
    <w:p>
      <w:pPr>
        <w:ind w:left="480" w:right="40"/>
        <w:spacing w:after="0" w:line="254" w:lineRule="auto"/>
        <w:rPr>
          <w:sz w:val="20"/>
          <w:szCs w:val="20"/>
          <w:color w:val="auto"/>
        </w:rPr>
      </w:pPr>
      <w:r>
        <w:rPr>
          <w:rFonts w:ascii="Times New Roman" w:cs="Times New Roman" w:eastAsia="Times New Roman" w:hAnsi="Times New Roman"/>
          <w:sz w:val="18"/>
          <w:szCs w:val="18"/>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89" w:lineRule="exact"/>
        <w:rPr>
          <w:sz w:val="20"/>
          <w:szCs w:val="20"/>
          <w:color w:val="auto"/>
        </w:rPr>
      </w:pPr>
    </w:p>
    <w:p>
      <w:pPr>
        <w:ind w:left="480" w:right="40"/>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our gross revenues disaggregated by revenue source:</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Pr>
          <w:p>
            <w:pPr>
              <w:spacing w:after="0"/>
              <w:rPr>
                <w:sz w:val="13"/>
                <w:szCs w:val="13"/>
                <w:color w:val="auto"/>
              </w:rPr>
            </w:pPr>
          </w:p>
        </w:tc>
      </w:tr>
      <w:tr>
        <w:trPr>
          <w:trHeight w:val="193"/>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Market Classification</w:t>
            </w:r>
          </w:p>
        </w:tc>
        <w:tc>
          <w:tcPr>
            <w:tcW w:w="1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6"/>
                <w:szCs w:val="16"/>
                <w:color w:val="auto"/>
              </w:rPr>
            </w:pPr>
          </w:p>
        </w:tc>
        <w:tc>
          <w:tcPr>
            <w:tcW w:w="10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3"/>
        </w:trPr>
        <w:tc>
          <w:tcPr>
            <w:tcW w:w="3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FOB Shipping Point Revenue</w:t>
            </w:r>
          </w:p>
        </w:tc>
        <w:tc>
          <w:tcPr>
            <w:tcW w:w="9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996,823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981,691</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w:t>
            </w:r>
          </w:p>
        </w:tc>
      </w:tr>
      <w:tr>
        <w:trPr>
          <w:trHeight w:val="223"/>
        </w:trPr>
        <w:tc>
          <w:tcPr>
            <w:tcW w:w="3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Construction Contract Revenue</w:t>
            </w:r>
          </w:p>
        </w:tc>
        <w:tc>
          <w:tcPr>
            <w:tcW w:w="9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29,976</w:t>
            </w: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Sales</w:t>
            </w: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1,011,667</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(17,810)</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3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0" w:lineRule="exact"/>
        <w:rPr>
          <w:sz w:val="20"/>
          <w:szCs w:val="20"/>
          <w:color w:val="auto"/>
        </w:rPr>
      </w:pPr>
    </w:p>
    <w:p>
      <w:pPr>
        <w:spacing w:after="0" w:line="214" w:lineRule="exact"/>
        <w:rPr>
          <w:sz w:val="20"/>
          <w:szCs w:val="20"/>
          <w:color w:val="auto"/>
        </w:rPr>
      </w:pPr>
    </w:p>
    <w:p>
      <w:pPr>
        <w:jc w:val="both"/>
        <w:ind w:left="480" w:right="340"/>
        <w:spacing w:after="0" w:line="266" w:lineRule="auto"/>
        <w:rPr>
          <w:sz w:val="20"/>
          <w:szCs w:val="20"/>
          <w:color w:val="auto"/>
        </w:rPr>
      </w:pPr>
      <w:r>
        <w:rPr>
          <w:rFonts w:ascii="Times New Roman" w:cs="Times New Roman" w:eastAsia="Times New Roman" w:hAnsi="Times New Roman"/>
          <w:sz w:val="18"/>
          <w:szCs w:val="18"/>
          <w:color w:val="auto"/>
        </w:rPr>
        <w:t>In the first three months of 2019, the North and West segments comprise the construction contract revenue above, $19.4 million and $15.4 million, respectively, compared to $20.6 million and $9.4 million, respectively, during the same period of 2018. Construction contract revenue is primarily made up of site-built and framing customers.</w:t>
      </w:r>
    </w:p>
    <w:p>
      <w:pPr>
        <w:spacing w:after="0" w:line="176" w:lineRule="exact"/>
        <w:rPr>
          <w:sz w:val="20"/>
          <w:szCs w:val="20"/>
          <w:color w:val="auto"/>
        </w:rPr>
      </w:pPr>
    </w:p>
    <w:p>
      <w:pPr>
        <w:ind w:left="480" w:right="4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over time accounting accounts which are included in “Other current assets” and “Accrued liabilities: Other”, respectively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29,</w:t>
            </w:r>
          </w:p>
        </w:tc>
        <w:tc>
          <w:tcPr>
            <w:tcW w:w="8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0"/>
        </w:trPr>
        <w:tc>
          <w:tcPr>
            <w:tcW w:w="368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Earnings in Excess of Billings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80" w:type="dxa"/>
            <w:vAlign w:val="bottom"/>
            <w:shd w:val="clear" w:color="auto" w:fill="CCEEFF"/>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 and Earnings</w:t>
            </w: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80" w:type="dxa"/>
            <w:vAlign w:val="bottom"/>
          </w:tcPr>
          <w:p>
            <w:pPr>
              <w:spacing w:after="0"/>
              <w:rPr>
                <w:sz w:val="20"/>
                <w:szCs w:val="20"/>
                <w:color w:val="auto"/>
              </w:rPr>
            </w:pPr>
          </w:p>
        </w:tc>
      </w:tr>
      <w:tr>
        <w:trPr>
          <w:trHeight w:val="859"/>
        </w:trPr>
        <w:tc>
          <w:tcPr>
            <w:tcW w:w="3680" w:type="dxa"/>
            <w:vAlign w:val="bottom"/>
          </w:tcPr>
          <w:p>
            <w:pPr>
              <w:spacing w:after="0"/>
              <w:rPr>
                <w:sz w:val="24"/>
                <w:szCs w:val="24"/>
                <w:color w:val="auto"/>
              </w:rPr>
            </w:pPr>
          </w:p>
        </w:tc>
        <w:tc>
          <w:tcPr>
            <w:tcW w:w="22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29"/>
        </w:trPr>
        <w:tc>
          <w:tcPr>
            <w:tcW w:w="368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ind w:left="500" w:hanging="497"/>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computation of earnings per share (“EPS”) is as follows (in thousands):</w:t>
      </w:r>
    </w:p>
    <w:p>
      <w:pPr>
        <w:spacing w:after="0" w:line="23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4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1"/>
                <w:szCs w:val="11"/>
                <w:color w:val="auto"/>
              </w:rPr>
            </w:pPr>
          </w:p>
        </w:tc>
      </w:tr>
      <w:tr>
        <w:trPr>
          <w:trHeight w:val="180"/>
        </w:trPr>
        <w:tc>
          <w:tcPr>
            <w:tcW w:w="64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32,833</w:t>
            </w:r>
          </w:p>
        </w:tc>
        <w:tc>
          <w:tcPr>
            <w:tcW w:w="220" w:type="dxa"/>
            <w:vAlign w:val="bottom"/>
          </w:tcPr>
          <w:p>
            <w:pPr>
              <w:spacing w:after="0"/>
              <w:rPr>
                <w:sz w:val="18"/>
                <w:szCs w:val="18"/>
                <w:color w:val="auto"/>
              </w:rPr>
            </w:pPr>
          </w:p>
        </w:tc>
      </w:tr>
      <w:tr>
        <w:trPr>
          <w:trHeight w:val="23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 for earnings allocated to non-vested restricted common stock</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(865)</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(724)</w:t>
            </w:r>
          </w:p>
        </w:tc>
      </w:tr>
      <w:tr>
        <w:trPr>
          <w:trHeight w:val="210"/>
        </w:trPr>
        <w:tc>
          <w:tcPr>
            <w:tcW w:w="6480" w:type="dxa"/>
            <w:vAlign w:val="bottom"/>
            <w:tcBorders>
              <w:top w:val="single" w:sz="8" w:color="CCEEFF"/>
              <w:bottom w:val="single" w:sz="8" w:color="CCEEFF"/>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rPr>
              <w:t>Net earnings for calculating EPS</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34,675</w:t>
            </w:r>
          </w:p>
        </w:tc>
        <w:tc>
          <w:tcPr>
            <w:tcW w:w="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32,109</w:t>
            </w:r>
          </w:p>
        </w:tc>
        <w:tc>
          <w:tcPr>
            <w:tcW w:w="220" w:type="dxa"/>
            <w:vAlign w:val="bottom"/>
            <w:tcBorders>
              <w:top w:val="single" w:sz="8" w:color="CCEEFF"/>
              <w:bottom w:val="single" w:sz="8" w:color="CCEEFF"/>
            </w:tcBorders>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61,636</w:t>
            </w:r>
          </w:p>
        </w:tc>
        <w:tc>
          <w:tcPr>
            <w:tcW w:w="220" w:type="dxa"/>
            <w:vAlign w:val="bottom"/>
          </w:tcPr>
          <w:p>
            <w:pPr>
              <w:spacing w:after="0"/>
              <w:rPr>
                <w:sz w:val="18"/>
                <w:szCs w:val="18"/>
                <w:color w:val="auto"/>
              </w:rPr>
            </w:pPr>
          </w:p>
        </w:tc>
      </w:tr>
      <w:tr>
        <w:trPr>
          <w:trHeight w:val="23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 for non-vested restricted common stock</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(1,493)</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(1,358)</w:t>
            </w:r>
          </w:p>
        </w:tc>
      </w:tr>
      <w:tr>
        <w:trPr>
          <w:trHeight w:val="203"/>
        </w:trPr>
        <w:tc>
          <w:tcPr>
            <w:tcW w:w="6480" w:type="dxa"/>
            <w:vAlign w:val="bottom"/>
            <w:tcBorders>
              <w:top w:val="single" w:sz="8" w:color="CCEEFF"/>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rPr>
              <w:t>Shares for calculating basic EPS</w:t>
            </w: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59,879</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60,278</w:t>
            </w:r>
          </w:p>
        </w:tc>
        <w:tc>
          <w:tcPr>
            <w:tcW w:w="220" w:type="dxa"/>
            <w:vAlign w:val="bottom"/>
            <w:tcBorders>
              <w:top w:val="single" w:sz="8" w:color="CCEEFF"/>
            </w:tcBorders>
          </w:tcPr>
          <w:p>
            <w:pPr>
              <w:spacing w:after="0"/>
              <w:rPr>
                <w:sz w:val="17"/>
                <w:szCs w:val="17"/>
                <w:color w:val="auto"/>
              </w:rPr>
            </w:pPr>
          </w:p>
        </w:tc>
      </w:tr>
      <w:tr>
        <w:trPr>
          <w:trHeight w:val="236"/>
        </w:trPr>
        <w:tc>
          <w:tcPr>
            <w:tcW w:w="6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dilutive restricted common stock</w:t>
            </w: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10"/>
        </w:trPr>
        <w:tc>
          <w:tcPr>
            <w:tcW w:w="6480" w:type="dxa"/>
            <w:vAlign w:val="bottom"/>
            <w:tcBorders>
              <w:bottom w:val="single" w:sz="8" w:color="CCEEFF"/>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rPr>
              <w:t>Shares for calculating diluted EPS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59,954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60,363</w:t>
            </w:r>
          </w:p>
        </w:tc>
        <w:tc>
          <w:tcPr>
            <w:tcW w:w="220" w:type="dxa"/>
            <w:vAlign w:val="bottom"/>
            <w:tcBorders>
              <w:bottom w:val="single" w:sz="8" w:color="CCEEFF"/>
            </w:tcBorders>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20" w:type="dxa"/>
            <w:vAlign w:val="bottom"/>
          </w:tcPr>
          <w:p>
            <w:pPr>
              <w:spacing w:after="0"/>
              <w:rPr>
                <w:sz w:val="18"/>
                <w:szCs w:val="18"/>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80" w:hanging="477"/>
        <w:spacing w:after="0"/>
        <w:tabs>
          <w:tab w:leader="none" w:pos="4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GUARANTEES</w:t>
      </w:r>
    </w:p>
    <w:p>
      <w:pPr>
        <w:spacing w:after="0" w:line="229" w:lineRule="exact"/>
        <w:rPr>
          <w:rFonts w:ascii="Times New Roman" w:cs="Times New Roman" w:eastAsia="Times New Roman" w:hAnsi="Times New Roman"/>
          <w:sz w:val="18"/>
          <w:szCs w:val="18"/>
          <w:b w:val="1"/>
          <w:bCs w:val="1"/>
          <w:color w:val="auto"/>
        </w:rPr>
      </w:pPr>
    </w:p>
    <w:p>
      <w:pPr>
        <w:ind w:left="480"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61" w:lineRule="exact"/>
        <w:rPr>
          <w:rFonts w:ascii="Times New Roman" w:cs="Times New Roman" w:eastAsia="Times New Roman" w:hAnsi="Times New Roman"/>
          <w:sz w:val="18"/>
          <w:szCs w:val="18"/>
          <w:b w:val="1"/>
          <w:bCs w:val="1"/>
          <w:color w:val="auto"/>
        </w:rPr>
      </w:pPr>
    </w:p>
    <w:p>
      <w:pPr>
        <w:ind w:left="480" w:right="1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and Auburndale, FL. In addition, a reserve was established for our facility in Thornton, CA to remove certain lead containing materials which existed on the property at the time of purchase.</w:t>
      </w:r>
    </w:p>
    <w:p>
      <w:pPr>
        <w:spacing w:after="0" w:line="185" w:lineRule="exact"/>
        <w:rPr>
          <w:rFonts w:ascii="Times New Roman" w:cs="Times New Roman" w:eastAsia="Times New Roman" w:hAnsi="Times New Roman"/>
          <w:sz w:val="18"/>
          <w:szCs w:val="18"/>
          <w:b w:val="1"/>
          <w:bCs w:val="1"/>
          <w:color w:val="auto"/>
        </w:rPr>
      </w:pPr>
    </w:p>
    <w:p>
      <w:pPr>
        <w:ind w:left="4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 consolidated basis, we have reserved approximately $2.0 million and $2.6 million on March 30, 2019, and March 31, 2018, respectively, representing the estimated costs to complete future remediation efforts. These amounts have not been reduced by an insurance receivable.</w:t>
      </w:r>
    </w:p>
    <w:p>
      <w:pPr>
        <w:spacing w:after="0" w:line="176" w:lineRule="exact"/>
        <w:rPr>
          <w:rFonts w:ascii="Times New Roman" w:cs="Times New Roman" w:eastAsia="Times New Roman" w:hAnsi="Times New Roman"/>
          <w:sz w:val="18"/>
          <w:szCs w:val="18"/>
          <w:b w:val="1"/>
          <w:bCs w:val="1"/>
          <w:color w:val="auto"/>
        </w:rPr>
      </w:pPr>
    </w:p>
    <w:p>
      <w:pPr>
        <w:ind w:left="480" w:righ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on March 30, 2019,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76" w:lineRule="exact"/>
        <w:rPr>
          <w:rFonts w:ascii="Times New Roman" w:cs="Times New Roman" w:eastAsia="Times New Roman" w:hAnsi="Times New Roman"/>
          <w:sz w:val="18"/>
          <w:szCs w:val="18"/>
          <w:b w:val="1"/>
          <w:bCs w:val="1"/>
          <w:color w:val="auto"/>
        </w:rPr>
      </w:pPr>
    </w:p>
    <w:p>
      <w:pPr>
        <w:ind w:left="48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30, 2019, we had outstanding purchase commitments on commenced capital projects of approximately $18.5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ind w:left="480" w:right="39"/>
        <w:spacing w:after="0" w:line="258" w:lineRule="auto"/>
        <w:rPr>
          <w:sz w:val="20"/>
          <w:szCs w:val="20"/>
          <w:color w:val="auto"/>
        </w:rPr>
      </w:pPr>
      <w:r>
        <w:rPr>
          <w:rFonts w:ascii="Times New Roman" w:cs="Times New Roman" w:eastAsia="Times New Roman" w:hAnsi="Times New Roman"/>
          <w:sz w:val="18"/>
          <w:szCs w:val="18"/>
          <w:color w:val="auto"/>
        </w:rPr>
        <w:t>We provide a variety of warranties for products we manufacture. Historically, warranty claims have not been material. We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4" w:lineRule="exact"/>
        <w:rPr>
          <w:sz w:val="20"/>
          <w:szCs w:val="20"/>
          <w:color w:val="auto"/>
        </w:rPr>
      </w:pPr>
    </w:p>
    <w:p>
      <w:pPr>
        <w:ind w:left="480" w:right="79"/>
        <w:spacing w:after="0" w:line="255" w:lineRule="auto"/>
        <w:rPr>
          <w:sz w:val="20"/>
          <w:szCs w:val="20"/>
          <w:color w:val="auto"/>
        </w:rPr>
      </w:pPr>
      <w:r>
        <w:rPr>
          <w:rFonts w:ascii="Times New Roman" w:cs="Times New Roman" w:eastAsia="Times New Roman" w:hAnsi="Times New Roman"/>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insure the project owner that the products and installation services are completed in accordance with our contractual obligations. We have agreed to indemnify the surety for claims made against the bonds. As of March 30, 2019, we had approximately $13.6 million outstanding payment and performance bonds for open projects. We had approximately $9.1 million in payment and performance bonds outstanding for completed projects which are still under warranty.</w:t>
      </w:r>
    </w:p>
    <w:p>
      <w:pPr>
        <w:spacing w:after="0" w:line="189" w:lineRule="exact"/>
        <w:rPr>
          <w:sz w:val="20"/>
          <w:szCs w:val="20"/>
          <w:color w:val="auto"/>
        </w:rPr>
      </w:pPr>
    </w:p>
    <w:p>
      <w:pPr>
        <w:ind w:left="480" w:right="159"/>
        <w:spacing w:after="0" w:line="282" w:lineRule="auto"/>
        <w:rPr>
          <w:sz w:val="20"/>
          <w:szCs w:val="20"/>
          <w:color w:val="auto"/>
        </w:rPr>
      </w:pPr>
      <w:r>
        <w:rPr>
          <w:rFonts w:ascii="Times New Roman" w:cs="Times New Roman" w:eastAsia="Times New Roman" w:hAnsi="Times New Roman"/>
          <w:sz w:val="18"/>
          <w:szCs w:val="18"/>
          <w:color w:val="auto"/>
        </w:rPr>
        <w:t>On March 30, 2019, we had outstanding letters of credit totaling $30.6 million, primarily related to certain insurance contracts and industrial development revenue bonds described further below.</w:t>
      </w:r>
    </w:p>
    <w:p>
      <w:pPr>
        <w:spacing w:after="0" w:line="162" w:lineRule="exact"/>
        <w:rPr>
          <w:sz w:val="20"/>
          <w:szCs w:val="20"/>
          <w:color w:val="auto"/>
        </w:rPr>
      </w:pPr>
    </w:p>
    <w:p>
      <w:pPr>
        <w:jc w:val="both"/>
        <w:ind w:left="500" w:right="119"/>
        <w:spacing w:after="0" w:line="261" w:lineRule="auto"/>
        <w:rPr>
          <w:sz w:val="20"/>
          <w:szCs w:val="20"/>
          <w:color w:val="auto"/>
        </w:rPr>
      </w:pPr>
      <w:r>
        <w:rPr>
          <w:rFonts w:ascii="Times New Roman" w:cs="Times New Roman" w:eastAsia="Times New Roman" w:hAnsi="Times New Roman"/>
          <w:sz w:val="18"/>
          <w:szCs w:val="18"/>
          <w:color w:val="auto"/>
        </w:rPr>
        <w:t>In lieu of cash deposits, we provide irrevocable letters of credit in favor of our insurers to guarantee our performance under certain insurance contracts. We currently have irrevocable letters of credit outstanding totaling approximately $20.8 million for these types of insurance arrangements. We have reserves recorded on our balance sheet, in accrued liabilities, that reflect our expected future liabilities under these insurance arrangements.</w:t>
      </w:r>
    </w:p>
    <w:p>
      <w:pPr>
        <w:spacing w:after="0" w:line="180" w:lineRule="exact"/>
        <w:rPr>
          <w:sz w:val="20"/>
          <w:szCs w:val="20"/>
          <w:color w:val="auto"/>
        </w:rPr>
      </w:pPr>
    </w:p>
    <w:p>
      <w:pPr>
        <w:ind w:left="480" w:right="59"/>
        <w:spacing w:after="0" w:line="258" w:lineRule="auto"/>
        <w:rPr>
          <w:sz w:val="20"/>
          <w:szCs w:val="20"/>
          <w:color w:val="auto"/>
        </w:rPr>
      </w:pPr>
      <w:r>
        <w:rPr>
          <w:rFonts w:ascii="Times New Roman" w:cs="Times New Roman" w:eastAsia="Times New Roman" w:hAnsi="Times New Roman"/>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$9.8 million related to our outstanding industrial development revenue bonds. These letters of credit have varying terms but may be renewed at the option of the issuing banks.</w:t>
      </w:r>
    </w:p>
    <w:p>
      <w:pPr>
        <w:spacing w:after="0" w:line="184" w:lineRule="exact"/>
        <w:rPr>
          <w:sz w:val="20"/>
          <w:szCs w:val="20"/>
          <w:color w:val="auto"/>
        </w:rPr>
      </w:pPr>
    </w:p>
    <w:p>
      <w:pPr>
        <w:ind w:left="480" w:right="119"/>
        <w:spacing w:after="0" w:line="261" w:lineRule="auto"/>
        <w:rPr>
          <w:sz w:val="20"/>
          <w:szCs w:val="20"/>
          <w:color w:val="auto"/>
        </w:rPr>
      </w:pPr>
      <w:r>
        <w:rPr>
          <w:rFonts w:ascii="Times New Roman" w:cs="Times New Roman" w:eastAsia="Times New Roman" w:hAnsi="Times New Roman"/>
          <w:sz w:val="18"/>
          <w:szCs w:val="18"/>
          <w:color w:val="auto"/>
        </w:rPr>
        <w:t>Certain wholly owned domestic subsidiaries have guaranteed the indebtedness of Universal Forest Products, Inc. in certain debt agreements, including the Series 2012 and 2018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0" w:lineRule="exact"/>
        <w:rPr>
          <w:sz w:val="20"/>
          <w:szCs w:val="20"/>
          <w:color w:val="auto"/>
        </w:rPr>
      </w:pPr>
    </w:p>
    <w:p>
      <w:pPr>
        <w:ind w:left="480" w:right="439"/>
        <w:spacing w:after="0" w:line="282" w:lineRule="auto"/>
        <w:rPr>
          <w:sz w:val="20"/>
          <w:szCs w:val="20"/>
          <w:color w:val="auto"/>
        </w:rPr>
      </w:pPr>
      <w:r>
        <w:rPr>
          <w:rFonts w:ascii="Times New Roman" w:cs="Times New Roman" w:eastAsia="Times New Roman" w:hAnsi="Times New Roman"/>
          <w:sz w:val="18"/>
          <w:szCs w:val="18"/>
          <w:color w:val="auto"/>
        </w:rPr>
        <w:t>We did not enter into any new guarantee arrangements during the first quarter of 2019 which would require us to recognize a liability on our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ind w:left="460" w:hanging="457"/>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left="480" w:right="100"/>
        <w:spacing w:after="0" w:line="282" w:lineRule="auto"/>
        <w:rPr>
          <w:sz w:val="20"/>
          <w:szCs w:val="20"/>
          <w:color w:val="auto"/>
        </w:rPr>
      </w:pPr>
      <w:r>
        <w:rPr>
          <w:rFonts w:ascii="Times New Roman" w:cs="Times New Roman" w:eastAsia="Times New Roman" w:hAnsi="Times New Roman"/>
          <w:sz w:val="18"/>
          <w:szCs w:val="18"/>
          <w:color w:val="auto"/>
        </w:rPr>
        <w:t>We completed the following acquisitions in 2018, none in 2019, which were accounted for using the purchase method in thousands unless otherwise noted:</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680" w:type="dxa"/>
            <w:vAlign w:val="bottom"/>
            <w:tcBorders>
              <w:top w:val="single" w:sz="8" w:color="auto"/>
              <w:left w:val="single" w:sz="8" w:color="auto"/>
              <w:right w:val="single" w:sz="8" w:color="auto"/>
            </w:tcBorders>
          </w:tcPr>
          <w:p>
            <w:pPr>
              <w:spacing w:after="0"/>
              <w:rPr>
                <w:sz w:val="17"/>
                <w:szCs w:val="17"/>
                <w:color w:val="auto"/>
              </w:rPr>
            </w:pPr>
          </w:p>
        </w:tc>
        <w:tc>
          <w:tcPr>
            <w:tcW w:w="1500" w:type="dxa"/>
            <w:vAlign w:val="bottom"/>
            <w:tcBorders>
              <w:top w:val="single" w:sz="8" w:color="auto"/>
              <w:right w:val="single" w:sz="8" w:color="auto"/>
            </w:tcBorders>
          </w:tcPr>
          <w:p>
            <w:pPr>
              <w:spacing w:after="0"/>
              <w:rPr>
                <w:sz w:val="17"/>
                <w:szCs w:val="17"/>
                <w:color w:val="auto"/>
              </w:rPr>
            </w:pPr>
          </w:p>
        </w:tc>
        <w:tc>
          <w:tcPr>
            <w:tcW w:w="184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Net</w:t>
            </w:r>
          </w:p>
        </w:tc>
        <w:tc>
          <w:tcPr>
            <w:tcW w:w="7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5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8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right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140" w:type="dxa"/>
            <w:vAlign w:val="bottom"/>
          </w:tcPr>
          <w:p>
            <w:pPr>
              <w:spacing w:after="0"/>
              <w:rPr>
                <w:sz w:val="17"/>
                <w:szCs w:val="17"/>
                <w:color w:val="auto"/>
              </w:rPr>
            </w:pPr>
          </w:p>
        </w:tc>
        <w:tc>
          <w:tcPr>
            <w:tcW w:w="1000" w:type="dxa"/>
            <w:vAlign w:val="bottom"/>
            <w:tcBorders>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Tangible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225"/>
        </w:trPr>
        <w:tc>
          <w:tcPr>
            <w:tcW w:w="2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shd w:val="clear" w:color="auto" w:fill="CCEBFF"/>
          </w:tcPr>
          <w:p>
            <w:pPr>
              <w:spacing w:after="0"/>
              <w:rPr>
                <w:sz w:val="16"/>
                <w:szCs w:val="16"/>
                <w:color w:val="auto"/>
              </w:rPr>
            </w:pPr>
          </w:p>
        </w:tc>
        <w:tc>
          <w:tcPr>
            <w:tcW w:w="1500" w:type="dxa"/>
            <w:vAlign w:val="bottom"/>
            <w:tcBorders>
              <w:right w:val="single" w:sz="8" w:color="auto"/>
            </w:tcBorders>
            <w:shd w:val="clear" w:color="auto" w:fill="CCEBFF"/>
          </w:tcPr>
          <w:p>
            <w:pPr>
              <w:spacing w:after="0"/>
              <w:rPr>
                <w:sz w:val="16"/>
                <w:szCs w:val="16"/>
                <w:color w:val="auto"/>
              </w:rPr>
            </w:pPr>
          </w:p>
        </w:tc>
        <w:tc>
          <w:tcPr>
            <w:tcW w:w="18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9"/>
              </w:rPr>
              <w:t>$15,115</w:t>
            </w:r>
          </w:p>
        </w:tc>
        <w:tc>
          <w:tcPr>
            <w:tcW w:w="120" w:type="dxa"/>
            <w:vAlign w:val="bottom"/>
            <w:shd w:val="clear" w:color="auto" w:fill="CCEBFF"/>
          </w:tcPr>
          <w:p>
            <w:pPr>
              <w:spacing w:after="0"/>
              <w:rPr>
                <w:sz w:val="16"/>
                <w:szCs w:val="16"/>
                <w:color w:val="auto"/>
              </w:rPr>
            </w:pPr>
          </w:p>
        </w:tc>
        <w:tc>
          <w:tcPr>
            <w:tcW w:w="106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7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15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October 22, 2018</w:t>
            </w:r>
          </w:p>
        </w:tc>
        <w:tc>
          <w:tcPr>
            <w:tcW w:w="18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B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right w:val="single" w:sz="8" w:color="auto"/>
            </w:tcBorders>
            <w:shd w:val="clear" w:color="auto" w:fill="CCEBFF"/>
          </w:tcPr>
          <w:p>
            <w:pPr>
              <w:jc w:val="right"/>
              <w:ind w:right="19"/>
              <w:spacing w:after="0"/>
              <w:rPr>
                <w:sz w:val="20"/>
                <w:szCs w:val="20"/>
                <w:color w:val="auto"/>
              </w:rPr>
            </w:pPr>
            <w:r>
              <w:rPr>
                <w:rFonts w:ascii="Times New Roman" w:cs="Times New Roman" w:eastAsia="Times New Roman" w:hAnsi="Times New Roman"/>
                <w:sz w:val="16"/>
                <w:szCs w:val="16"/>
                <w:color w:val="auto"/>
              </w:rPr>
              <w:t>8,592</w:t>
            </w:r>
          </w:p>
        </w:tc>
        <w:tc>
          <w:tcPr>
            <w:tcW w:w="140" w:type="dxa"/>
            <w:vAlign w:val="bottom"/>
            <w:shd w:val="clear" w:color="auto" w:fill="CCEB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6,523</w:t>
            </w:r>
          </w:p>
        </w:tc>
        <w:tc>
          <w:tcPr>
            <w:tcW w:w="7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6"/>
              </w:rPr>
              <w:t>North</w:t>
            </w:r>
          </w:p>
        </w:tc>
        <w:tc>
          <w:tcPr>
            <w:tcW w:w="0" w:type="dxa"/>
            <w:vAlign w:val="bottom"/>
          </w:tcPr>
          <w:p>
            <w:pPr>
              <w:spacing w:after="0"/>
              <w:rPr>
                <w:sz w:val="1"/>
                <w:szCs w:val="1"/>
                <w:color w:val="auto"/>
              </w:rPr>
            </w:pPr>
          </w:p>
        </w:tc>
      </w:tr>
      <w:tr>
        <w:trPr>
          <w:trHeight w:val="213"/>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Pak-Rite, LTD ("Pak-Rite")</w:t>
            </w:r>
          </w:p>
        </w:tc>
        <w:tc>
          <w:tcPr>
            <w:tcW w:w="1500" w:type="dxa"/>
            <w:vAlign w:val="bottom"/>
            <w:tcBorders>
              <w:bottom w:val="single" w:sz="8" w:color="auto"/>
              <w:right w:val="single" w:sz="8" w:color="auto"/>
            </w:tcBorders>
            <w:shd w:val="clear" w:color="auto" w:fill="CCEBFF"/>
          </w:tcPr>
          <w:p>
            <w:pPr>
              <w:spacing w:after="0"/>
              <w:rPr>
                <w:sz w:val="18"/>
                <w:szCs w:val="18"/>
                <w:color w:val="auto"/>
              </w:rPr>
            </w:pPr>
          </w:p>
        </w:tc>
        <w:tc>
          <w:tcPr>
            <w:tcW w:w="184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6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7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68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 designer and manufacturer of packaging for high-value products, such as medical, aerospace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and automation equipment. Pak-Rite had annual sales of approximately $15 million. The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acquisition of Pak-Rite allows us to grow our portfolio of packaging products and our presence in</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1500" w:type="dxa"/>
            <w:vAlign w:val="bottom"/>
            <w:tcBorders>
              <w:bottom w:val="single" w:sz="8" w:color="auto"/>
              <w:right w:val="single" w:sz="8" w:color="CCEBFF"/>
            </w:tcBorders>
            <w:shd w:val="clear" w:color="auto" w:fill="CCEBFF"/>
          </w:tcPr>
          <w:p>
            <w:pPr>
              <w:spacing w:after="0"/>
              <w:rPr>
                <w:sz w:val="20"/>
                <w:szCs w:val="20"/>
                <w:color w:val="auto"/>
              </w:rPr>
            </w:pPr>
            <w:r>
              <w:rPr>
                <w:rFonts w:ascii="Times New Roman" w:cs="Times New Roman" w:eastAsia="Times New Roman" w:hAnsi="Times New Roman"/>
                <w:sz w:val="16"/>
                <w:szCs w:val="16"/>
                <w:color w:val="auto"/>
              </w:rPr>
              <w:t>this region.</w:t>
            </w:r>
          </w:p>
        </w:tc>
        <w:tc>
          <w:tcPr>
            <w:tcW w:w="1840" w:type="dxa"/>
            <w:vAlign w:val="bottom"/>
            <w:tcBorders>
              <w:bottom w:val="single" w:sz="8" w:color="auto"/>
              <w:right w:val="single" w:sz="8" w:color="CCEBFF"/>
            </w:tcBorders>
            <w:shd w:val="clear" w:color="auto" w:fill="CCEBFF"/>
          </w:tcPr>
          <w:p>
            <w:pPr>
              <w:spacing w:after="0"/>
              <w:rPr>
                <w:sz w:val="19"/>
                <w:szCs w:val="19"/>
                <w:color w:val="auto"/>
              </w:rPr>
            </w:pPr>
          </w:p>
        </w:tc>
        <w:tc>
          <w:tcPr>
            <w:tcW w:w="120" w:type="dxa"/>
            <w:vAlign w:val="bottom"/>
            <w:tcBorders>
              <w:bottom w:val="single" w:sz="8" w:color="auto"/>
            </w:tcBorders>
            <w:shd w:val="clear" w:color="auto" w:fill="CCEBFF"/>
          </w:tcPr>
          <w:p>
            <w:pPr>
              <w:spacing w:after="0"/>
              <w:rPr>
                <w:sz w:val="19"/>
                <w:szCs w:val="19"/>
                <w:color w:val="auto"/>
              </w:rPr>
            </w:pPr>
          </w:p>
        </w:tc>
        <w:tc>
          <w:tcPr>
            <w:tcW w:w="106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1000" w:type="dxa"/>
            <w:vAlign w:val="bottom"/>
            <w:tcBorders>
              <w:bottom w:val="single" w:sz="8" w:color="auto"/>
              <w:right w:val="single" w:sz="8" w:color="CCEBFF"/>
            </w:tcBorders>
            <w:shd w:val="clear" w:color="auto" w:fill="CCEBFF"/>
          </w:tcPr>
          <w:p>
            <w:pPr>
              <w:spacing w:after="0"/>
              <w:rPr>
                <w:sz w:val="19"/>
                <w:szCs w:val="19"/>
                <w:color w:val="auto"/>
              </w:rPr>
            </w:pPr>
          </w:p>
        </w:tc>
        <w:tc>
          <w:tcPr>
            <w:tcW w:w="74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$1,016</w:t>
            </w:r>
          </w:p>
        </w:tc>
        <w:tc>
          <w:tcPr>
            <w:tcW w:w="1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July 31, 2018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250</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West</w:t>
            </w:r>
          </w:p>
        </w:tc>
        <w:tc>
          <w:tcPr>
            <w:tcW w:w="0" w:type="dxa"/>
            <w:vAlign w:val="bottom"/>
          </w:tcPr>
          <w:p>
            <w:pPr>
              <w:spacing w:after="0"/>
              <w:rPr>
                <w:sz w:val="1"/>
                <w:szCs w:val="1"/>
                <w:color w:val="auto"/>
              </w:rPr>
            </w:pPr>
          </w:p>
        </w:tc>
      </w:tr>
      <w:tr>
        <w:trPr>
          <w:trHeight w:val="213"/>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The Pallet Place, LLC ("Pallet Place")</w:t>
            </w:r>
          </w:p>
        </w:tc>
        <w:tc>
          <w:tcPr>
            <w:tcW w:w="150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680" w:type="dxa"/>
            <w:vAlign w:val="bottom"/>
            <w:tcBorders>
              <w:left w:val="single" w:sz="8" w:color="auto"/>
              <w:right w:val="single" w:sz="8" w:color="auto"/>
            </w:tcBorders>
            <w:vMerge w:val="continue"/>
          </w:tcPr>
          <w:p>
            <w:pPr>
              <w:spacing w:after="0"/>
              <w:rPr>
                <w:sz w:val="16"/>
                <w:szCs w:val="16"/>
                <w:color w:val="auto"/>
              </w:rPr>
            </w:pPr>
          </w:p>
        </w:tc>
        <w:tc>
          <w:tcPr>
            <w:tcW w:w="56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A manufacturer and distributor of total packaging solutions in timber, crates, skids, and</w:t>
            </w: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pallets. Pallet Place had annual sales of approximately $5 million. The acquisition of Pallet Place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allows us to increase our industrial business and creates operating leverage by consolidating with</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tcPr>
          <w:p>
            <w:pPr>
              <w:spacing w:after="0"/>
              <w:rPr>
                <w:sz w:val="19"/>
                <w:szCs w:val="19"/>
                <w:color w:val="auto"/>
              </w:rPr>
            </w:pPr>
          </w:p>
        </w:tc>
        <w:tc>
          <w:tcPr>
            <w:tcW w:w="3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another regional operation.</w:t>
            </w: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shd w:val="clear" w:color="auto" w:fill="CCEBFF"/>
          </w:tcPr>
          <w:p>
            <w:pPr>
              <w:spacing w:after="0"/>
              <w:rPr>
                <w:sz w:val="16"/>
                <w:szCs w:val="16"/>
                <w:color w:val="auto"/>
              </w:rPr>
            </w:pPr>
          </w:p>
        </w:tc>
        <w:tc>
          <w:tcPr>
            <w:tcW w:w="1500" w:type="dxa"/>
            <w:vAlign w:val="bottom"/>
            <w:tcBorders>
              <w:right w:val="single" w:sz="8" w:color="auto"/>
            </w:tcBorders>
            <w:shd w:val="clear" w:color="auto" w:fill="CCEBFF"/>
          </w:tcPr>
          <w:p>
            <w:pPr>
              <w:spacing w:after="0"/>
              <w:rPr>
                <w:sz w:val="16"/>
                <w:szCs w:val="16"/>
                <w:color w:val="auto"/>
              </w:rPr>
            </w:pPr>
          </w:p>
        </w:tc>
        <w:tc>
          <w:tcPr>
            <w:tcW w:w="18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$23,866</w:t>
            </w:r>
          </w:p>
        </w:tc>
        <w:tc>
          <w:tcPr>
            <w:tcW w:w="120" w:type="dxa"/>
            <w:vAlign w:val="bottom"/>
            <w:shd w:val="clear" w:color="auto" w:fill="CCEBFF"/>
          </w:tcPr>
          <w:p>
            <w:pPr>
              <w:spacing w:after="0"/>
              <w:rPr>
                <w:sz w:val="16"/>
                <w:szCs w:val="16"/>
                <w:color w:val="auto"/>
              </w:rPr>
            </w:pPr>
          </w:p>
        </w:tc>
        <w:tc>
          <w:tcPr>
            <w:tcW w:w="106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7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15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June 1, 2018</w:t>
            </w:r>
          </w:p>
        </w:tc>
        <w:tc>
          <w:tcPr>
            <w:tcW w:w="18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B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right w:val="single" w:sz="8" w:color="auto"/>
            </w:tcBorders>
            <w:shd w:val="clear" w:color="auto" w:fill="CCEBFF"/>
          </w:tcPr>
          <w:p>
            <w:pPr>
              <w:jc w:val="right"/>
              <w:ind w:right="19"/>
              <w:spacing w:after="0"/>
              <w:rPr>
                <w:sz w:val="20"/>
                <w:szCs w:val="20"/>
                <w:color w:val="auto"/>
              </w:rPr>
            </w:pPr>
            <w:r>
              <w:rPr>
                <w:rFonts w:ascii="Times New Roman" w:cs="Times New Roman" w:eastAsia="Times New Roman" w:hAnsi="Times New Roman"/>
                <w:sz w:val="16"/>
                <w:szCs w:val="16"/>
                <w:color w:val="auto"/>
              </w:rPr>
              <w:t>12,497</w:t>
            </w:r>
          </w:p>
        </w:tc>
        <w:tc>
          <w:tcPr>
            <w:tcW w:w="140" w:type="dxa"/>
            <w:vAlign w:val="bottom"/>
            <w:shd w:val="clear" w:color="auto" w:fill="CCEB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11,369</w:t>
            </w:r>
          </w:p>
        </w:tc>
        <w:tc>
          <w:tcPr>
            <w:tcW w:w="7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6"/>
              </w:rPr>
              <w:t>South</w:t>
            </w:r>
          </w:p>
        </w:tc>
        <w:tc>
          <w:tcPr>
            <w:tcW w:w="0" w:type="dxa"/>
            <w:vAlign w:val="bottom"/>
          </w:tcPr>
          <w:p>
            <w:pPr>
              <w:spacing w:after="0"/>
              <w:rPr>
                <w:sz w:val="1"/>
                <w:szCs w:val="1"/>
                <w:color w:val="auto"/>
              </w:rPr>
            </w:pPr>
          </w:p>
        </w:tc>
      </w:tr>
      <w:tr>
        <w:trPr>
          <w:trHeight w:val="213"/>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North American Container Corporation</w:t>
            </w:r>
          </w:p>
        </w:tc>
        <w:tc>
          <w:tcPr>
            <w:tcW w:w="1500" w:type="dxa"/>
            <w:vAlign w:val="bottom"/>
            <w:tcBorders>
              <w:bottom w:val="single" w:sz="8" w:color="auto"/>
              <w:right w:val="single" w:sz="8" w:color="auto"/>
            </w:tcBorders>
            <w:shd w:val="clear" w:color="auto" w:fill="CCEBFF"/>
          </w:tcPr>
          <w:p>
            <w:pPr>
              <w:spacing w:after="0"/>
              <w:rPr>
                <w:sz w:val="18"/>
                <w:szCs w:val="18"/>
                <w:color w:val="auto"/>
              </w:rPr>
            </w:pPr>
          </w:p>
        </w:tc>
        <w:tc>
          <w:tcPr>
            <w:tcW w:w="184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6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7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680" w:type="dxa"/>
            <w:vAlign w:val="bottom"/>
            <w:tcBorders>
              <w:left w:val="single" w:sz="8" w:color="auto"/>
              <w:right w:val="single" w:sz="8" w:color="auto"/>
            </w:tcBorders>
            <w:vMerge w:val="continue"/>
            <w:shd w:val="clear" w:color="auto" w:fill="CCEBFF"/>
          </w:tcPr>
          <w:p>
            <w:pPr>
              <w:spacing w:after="0"/>
              <w:rPr>
                <w:sz w:val="14"/>
                <w:szCs w:val="14"/>
                <w:color w:val="auto"/>
              </w:rPr>
            </w:pPr>
          </w:p>
        </w:tc>
        <w:tc>
          <w:tcPr>
            <w:tcW w:w="6400" w:type="dxa"/>
            <w:vAlign w:val="bottom"/>
            <w:tcBorders>
              <w:right w:val="single" w:sz="8" w:color="auto"/>
            </w:tcBorders>
            <w:gridSpan w:val="7"/>
            <w:shd w:val="clear" w:color="auto" w:fill="CCEBFF"/>
          </w:tcPr>
          <w:p>
            <w:pPr>
              <w:spacing w:after="0" w:line="172" w:lineRule="exact"/>
              <w:rPr>
                <w:sz w:val="20"/>
                <w:szCs w:val="20"/>
                <w:color w:val="auto"/>
              </w:rPr>
            </w:pPr>
            <w:r>
              <w:rPr>
                <w:rFonts w:ascii="Times New Roman" w:cs="Times New Roman" w:eastAsia="Times New Roman" w:hAnsi="Times New Roman"/>
                <w:sz w:val="16"/>
                <w:szCs w:val="16"/>
                <w:color w:val="auto"/>
              </w:rPr>
              <w:t>A manufacturer of structural packaging products, including steel, corrugated and hardwood</w:t>
            </w: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("NACC")</w:t>
            </w: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packaging. NACC had annual sales of approximately $71 million. The acquisition of NACC</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allows us to enhance our presence in this region, expand our product offering, and serve customers</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1500" w:type="dxa"/>
            <w:vAlign w:val="bottom"/>
            <w:tcBorders>
              <w:bottom w:val="single" w:sz="8" w:color="auto"/>
              <w:right w:val="single" w:sz="8" w:color="CCEBFF"/>
            </w:tcBorders>
            <w:shd w:val="clear" w:color="auto" w:fill="CCEBFF"/>
          </w:tcPr>
          <w:p>
            <w:pPr>
              <w:spacing w:after="0"/>
              <w:rPr>
                <w:sz w:val="20"/>
                <w:szCs w:val="20"/>
                <w:color w:val="auto"/>
              </w:rPr>
            </w:pPr>
            <w:r>
              <w:rPr>
                <w:rFonts w:ascii="Times New Roman" w:cs="Times New Roman" w:eastAsia="Times New Roman" w:hAnsi="Times New Roman"/>
                <w:sz w:val="16"/>
                <w:szCs w:val="16"/>
                <w:color w:val="auto"/>
              </w:rPr>
              <w:t>more cost effectively.</w:t>
            </w:r>
          </w:p>
        </w:tc>
        <w:tc>
          <w:tcPr>
            <w:tcW w:w="1840" w:type="dxa"/>
            <w:vAlign w:val="bottom"/>
            <w:tcBorders>
              <w:bottom w:val="single" w:sz="8" w:color="auto"/>
              <w:right w:val="single" w:sz="8" w:color="CCEBFF"/>
            </w:tcBorders>
            <w:shd w:val="clear" w:color="auto" w:fill="CCEBFF"/>
          </w:tcPr>
          <w:p>
            <w:pPr>
              <w:spacing w:after="0"/>
              <w:rPr>
                <w:sz w:val="19"/>
                <w:szCs w:val="19"/>
                <w:color w:val="auto"/>
              </w:rPr>
            </w:pPr>
          </w:p>
        </w:tc>
        <w:tc>
          <w:tcPr>
            <w:tcW w:w="120" w:type="dxa"/>
            <w:vAlign w:val="bottom"/>
            <w:tcBorders>
              <w:bottom w:val="single" w:sz="8" w:color="auto"/>
            </w:tcBorders>
            <w:shd w:val="clear" w:color="auto" w:fill="CCEBFF"/>
          </w:tcPr>
          <w:p>
            <w:pPr>
              <w:spacing w:after="0"/>
              <w:rPr>
                <w:sz w:val="19"/>
                <w:szCs w:val="19"/>
                <w:color w:val="auto"/>
              </w:rPr>
            </w:pPr>
          </w:p>
        </w:tc>
        <w:tc>
          <w:tcPr>
            <w:tcW w:w="106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1000" w:type="dxa"/>
            <w:vAlign w:val="bottom"/>
            <w:tcBorders>
              <w:bottom w:val="single" w:sz="8" w:color="auto"/>
              <w:right w:val="single" w:sz="8" w:color="CCEBFF"/>
            </w:tcBorders>
            <w:shd w:val="clear" w:color="auto" w:fill="CCEBFF"/>
          </w:tcPr>
          <w:p>
            <w:pPr>
              <w:spacing w:after="0"/>
              <w:rPr>
                <w:sz w:val="19"/>
                <w:szCs w:val="19"/>
                <w:color w:val="auto"/>
              </w:rPr>
            </w:pPr>
          </w:p>
        </w:tc>
        <w:tc>
          <w:tcPr>
            <w:tcW w:w="74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$3,890</w:t>
            </w:r>
          </w:p>
        </w:tc>
        <w:tc>
          <w:tcPr>
            <w:tcW w:w="1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April 9, 2018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2,235</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West</w:t>
            </w:r>
          </w:p>
        </w:tc>
        <w:tc>
          <w:tcPr>
            <w:tcW w:w="0" w:type="dxa"/>
            <w:vAlign w:val="bottom"/>
          </w:tcPr>
          <w:p>
            <w:pPr>
              <w:spacing w:after="0"/>
              <w:rPr>
                <w:sz w:val="1"/>
                <w:szCs w:val="1"/>
                <w:color w:val="auto"/>
              </w:rPr>
            </w:pPr>
          </w:p>
        </w:tc>
      </w:tr>
      <w:tr>
        <w:trPr>
          <w:trHeight w:val="213"/>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Fontana Wood Products ("Fontana")</w:t>
            </w:r>
          </w:p>
        </w:tc>
        <w:tc>
          <w:tcPr>
            <w:tcW w:w="150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680" w:type="dxa"/>
            <w:vAlign w:val="bottom"/>
            <w:tcBorders>
              <w:left w:val="single" w:sz="8" w:color="auto"/>
              <w:right w:val="single" w:sz="8" w:color="auto"/>
            </w:tcBorders>
            <w:vMerge w:val="continue"/>
          </w:tcPr>
          <w:p>
            <w:pPr>
              <w:spacing w:after="0"/>
              <w:rPr>
                <w:sz w:val="16"/>
                <w:szCs w:val="16"/>
                <w:color w:val="auto"/>
              </w:rPr>
            </w:pP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A manufacturer and distributor of lumber and trusses in the Southern California region. Fontana</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had annual sales of approximately $12 million. The acquisition of Fontana allows us to expand</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our manufactured housing business and creates operating leverage by consolidating with another</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regional operation.</w:t>
            </w:r>
          </w:p>
        </w:tc>
        <w:tc>
          <w:tcPr>
            <w:tcW w:w="1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shd w:val="clear" w:color="auto" w:fill="CCEBFF"/>
          </w:tcPr>
          <w:p>
            <w:pPr>
              <w:spacing w:after="0"/>
              <w:rPr>
                <w:sz w:val="16"/>
                <w:szCs w:val="16"/>
                <w:color w:val="auto"/>
              </w:rPr>
            </w:pPr>
          </w:p>
        </w:tc>
        <w:tc>
          <w:tcPr>
            <w:tcW w:w="1500" w:type="dxa"/>
            <w:vAlign w:val="bottom"/>
            <w:tcBorders>
              <w:right w:val="single" w:sz="8" w:color="auto"/>
            </w:tcBorders>
            <w:shd w:val="clear" w:color="auto" w:fill="CCEBFF"/>
          </w:tcPr>
          <w:p>
            <w:pPr>
              <w:spacing w:after="0"/>
              <w:rPr>
                <w:sz w:val="16"/>
                <w:szCs w:val="16"/>
                <w:color w:val="auto"/>
              </w:rPr>
            </w:pPr>
          </w:p>
        </w:tc>
        <w:tc>
          <w:tcPr>
            <w:tcW w:w="18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$1,347</w:t>
            </w:r>
          </w:p>
        </w:tc>
        <w:tc>
          <w:tcPr>
            <w:tcW w:w="120" w:type="dxa"/>
            <w:vAlign w:val="bottom"/>
            <w:shd w:val="clear" w:color="auto" w:fill="CCEBFF"/>
          </w:tcPr>
          <w:p>
            <w:pPr>
              <w:spacing w:after="0"/>
              <w:rPr>
                <w:sz w:val="16"/>
                <w:szCs w:val="16"/>
                <w:color w:val="auto"/>
              </w:rPr>
            </w:pPr>
          </w:p>
        </w:tc>
        <w:tc>
          <w:tcPr>
            <w:tcW w:w="106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7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150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April 3, 2018</w:t>
            </w:r>
          </w:p>
        </w:tc>
        <w:tc>
          <w:tcPr>
            <w:tcW w:w="18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B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right w:val="single" w:sz="8" w:color="auto"/>
            </w:tcBorders>
            <w:shd w:val="clear" w:color="auto" w:fill="CCEBFF"/>
          </w:tcPr>
          <w:p>
            <w:pPr>
              <w:jc w:val="right"/>
              <w:ind w:right="19"/>
              <w:spacing w:after="0"/>
              <w:rPr>
                <w:sz w:val="20"/>
                <w:szCs w:val="20"/>
                <w:color w:val="auto"/>
              </w:rPr>
            </w:pPr>
            <w:r>
              <w:rPr>
                <w:rFonts w:ascii="Times New Roman" w:cs="Times New Roman" w:eastAsia="Times New Roman" w:hAnsi="Times New Roman"/>
                <w:sz w:val="16"/>
                <w:szCs w:val="16"/>
                <w:color w:val="auto"/>
              </w:rPr>
              <w:t>1,287</w:t>
            </w:r>
          </w:p>
        </w:tc>
        <w:tc>
          <w:tcPr>
            <w:tcW w:w="140" w:type="dxa"/>
            <w:vAlign w:val="bottom"/>
            <w:shd w:val="clear" w:color="auto" w:fill="CCEB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74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8"/>
              </w:rPr>
              <w:t>All Other</w:t>
            </w:r>
          </w:p>
        </w:tc>
        <w:tc>
          <w:tcPr>
            <w:tcW w:w="0" w:type="dxa"/>
            <w:vAlign w:val="bottom"/>
          </w:tcPr>
          <w:p>
            <w:pPr>
              <w:spacing w:after="0"/>
              <w:rPr>
                <w:sz w:val="1"/>
                <w:szCs w:val="1"/>
                <w:color w:val="auto"/>
              </w:rPr>
            </w:pPr>
          </w:p>
        </w:tc>
      </w:tr>
      <w:tr>
        <w:trPr>
          <w:trHeight w:val="213"/>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Expert Packaging ("Expert")</w:t>
            </w:r>
          </w:p>
        </w:tc>
        <w:tc>
          <w:tcPr>
            <w:tcW w:w="1500" w:type="dxa"/>
            <w:vAlign w:val="bottom"/>
            <w:tcBorders>
              <w:bottom w:val="single" w:sz="8" w:color="auto"/>
              <w:right w:val="single" w:sz="8" w:color="auto"/>
            </w:tcBorders>
            <w:shd w:val="clear" w:color="auto" w:fill="CCEBFF"/>
          </w:tcPr>
          <w:p>
            <w:pPr>
              <w:spacing w:after="0"/>
              <w:rPr>
                <w:sz w:val="18"/>
                <w:szCs w:val="18"/>
                <w:color w:val="auto"/>
              </w:rPr>
            </w:pPr>
          </w:p>
        </w:tc>
        <w:tc>
          <w:tcPr>
            <w:tcW w:w="184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6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7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68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 manufacturer and distributor of total packaging solutions in timber, crates, pallets, and</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BFF"/>
          </w:tcPr>
          <w:p>
            <w:pPr>
              <w:spacing w:after="0"/>
              <w:rPr>
                <w:sz w:val="17"/>
                <w:szCs w:val="17"/>
                <w:color w:val="auto"/>
              </w:rPr>
            </w:pPr>
          </w:p>
        </w:tc>
        <w:tc>
          <w:tcPr>
            <w:tcW w:w="640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skids. Expert had annual sales of approximately $3.6 million. The acquisition of Expert allows us</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5660" w:type="dxa"/>
            <w:vAlign w:val="bottom"/>
            <w:tcBorders>
              <w:bottom w:val="single" w:sz="8" w:color="auto"/>
              <w:right w:val="single" w:sz="8" w:color="CCEBFF"/>
            </w:tcBorders>
            <w:gridSpan w:val="6"/>
            <w:shd w:val="clear" w:color="auto" w:fill="CCEBFF"/>
          </w:tcPr>
          <w:p>
            <w:pPr>
              <w:spacing w:after="0"/>
              <w:rPr>
                <w:sz w:val="20"/>
                <w:szCs w:val="20"/>
                <w:color w:val="auto"/>
              </w:rPr>
            </w:pPr>
            <w:r>
              <w:rPr>
                <w:rFonts w:ascii="Times New Roman" w:cs="Times New Roman" w:eastAsia="Times New Roman" w:hAnsi="Times New Roman"/>
                <w:sz w:val="16"/>
                <w:szCs w:val="16"/>
                <w:color w:val="auto"/>
              </w:rPr>
              <w:t>to make progress on our goal of becoming a global provider of packaging solutions.</w:t>
            </w:r>
          </w:p>
        </w:tc>
        <w:tc>
          <w:tcPr>
            <w:tcW w:w="74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$2,942</w:t>
            </w:r>
          </w:p>
        </w:tc>
        <w:tc>
          <w:tcPr>
            <w:tcW w:w="1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January 23, 2018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850</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West</w:t>
            </w:r>
          </w:p>
        </w:tc>
        <w:tc>
          <w:tcPr>
            <w:tcW w:w="0" w:type="dxa"/>
            <w:vAlign w:val="bottom"/>
          </w:tcPr>
          <w:p>
            <w:pPr>
              <w:spacing w:after="0"/>
              <w:rPr>
                <w:sz w:val="1"/>
                <w:szCs w:val="1"/>
                <w:color w:val="auto"/>
              </w:rPr>
            </w:pPr>
          </w:p>
        </w:tc>
      </w:tr>
      <w:tr>
        <w:trPr>
          <w:trHeight w:val="213"/>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Spinner Wood Products, LLC</w:t>
            </w:r>
          </w:p>
        </w:tc>
        <w:tc>
          <w:tcPr>
            <w:tcW w:w="150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680" w:type="dxa"/>
            <w:vAlign w:val="bottom"/>
            <w:tcBorders>
              <w:left w:val="single" w:sz="8" w:color="auto"/>
              <w:right w:val="single" w:sz="8" w:color="auto"/>
            </w:tcBorders>
            <w:vMerge w:val="continue"/>
          </w:tcPr>
          <w:p>
            <w:pPr>
              <w:spacing w:after="0"/>
              <w:rPr>
                <w:sz w:val="14"/>
                <w:szCs w:val="14"/>
                <w:color w:val="auto"/>
              </w:rPr>
            </w:pPr>
          </w:p>
        </w:tc>
        <w:tc>
          <w:tcPr>
            <w:tcW w:w="6400" w:type="dxa"/>
            <w:vAlign w:val="bottom"/>
            <w:tcBorders>
              <w:right w:val="single" w:sz="8" w:color="auto"/>
            </w:tcBorders>
            <w:gridSpan w:val="7"/>
          </w:tcPr>
          <w:p>
            <w:pPr>
              <w:spacing w:after="0" w:line="172" w:lineRule="exact"/>
              <w:rPr>
                <w:sz w:val="20"/>
                <w:szCs w:val="20"/>
                <w:color w:val="auto"/>
              </w:rPr>
            </w:pPr>
            <w:r>
              <w:rPr>
                <w:rFonts w:ascii="Times New Roman" w:cs="Times New Roman" w:eastAsia="Times New Roman" w:hAnsi="Times New Roman"/>
                <w:sz w:val="16"/>
                <w:szCs w:val="16"/>
                <w:color w:val="auto"/>
              </w:rPr>
              <w:t>A manufacturer and distributor of agricultural bin and various industrial packaging. Spinner had</w:t>
            </w: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("Spinner")</w:t>
            </w: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annual sales of approximately $8 million. The acquisition of Spinner allows us to expand our</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4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industrial packaging product offering and creates operating leverage by consolidating with other</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regional operations.</w:t>
            </w:r>
          </w:p>
        </w:tc>
        <w:tc>
          <w:tcPr>
            <w:tcW w:w="1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auto"/>
              <w:right w:val="single" w:sz="8" w:color="auto"/>
            </w:tcBorders>
            <w:shd w:val="clear" w:color="auto" w:fill="CCEEFF"/>
          </w:tcPr>
          <w:p>
            <w:pPr>
              <w:spacing w:after="0"/>
              <w:rPr>
                <w:sz w:val="16"/>
                <w:szCs w:val="16"/>
                <w:color w:val="auto"/>
              </w:rPr>
            </w:pPr>
          </w:p>
        </w:tc>
        <w:tc>
          <w:tcPr>
            <w:tcW w:w="1500" w:type="dxa"/>
            <w:vAlign w:val="bottom"/>
            <w:tcBorders>
              <w:right w:val="single" w:sz="8" w:color="auto"/>
            </w:tcBorders>
            <w:shd w:val="clear" w:color="auto" w:fill="CCEEFF"/>
          </w:tcPr>
          <w:p>
            <w:pPr>
              <w:spacing w:after="0"/>
              <w:rPr>
                <w:sz w:val="16"/>
                <w:szCs w:val="16"/>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$5,784</w:t>
            </w:r>
          </w:p>
        </w:tc>
        <w:tc>
          <w:tcPr>
            <w:tcW w:w="120" w:type="dxa"/>
            <w:vAlign w:val="bottom"/>
            <w:shd w:val="clear" w:color="auto" w:fill="CCEEFF"/>
          </w:tcPr>
          <w:p>
            <w:pPr>
              <w:spacing w:after="0"/>
              <w:rPr>
                <w:sz w:val="16"/>
                <w:szCs w:val="16"/>
                <w:color w:val="auto"/>
              </w:rPr>
            </w:pPr>
          </w:p>
        </w:tc>
        <w:tc>
          <w:tcPr>
            <w:tcW w:w="106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tcBorders>
              <w:right w:val="single" w:sz="8" w:color="auto"/>
            </w:tcBorders>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15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15, 2018</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7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North</w:t>
            </w:r>
          </w:p>
        </w:tc>
        <w:tc>
          <w:tcPr>
            <w:tcW w:w="0" w:type="dxa"/>
            <w:vAlign w:val="bottom"/>
          </w:tcPr>
          <w:p>
            <w:pPr>
              <w:spacing w:after="0"/>
              <w:rPr>
                <w:sz w:val="1"/>
                <w:szCs w:val="1"/>
                <w:color w:val="auto"/>
              </w:rPr>
            </w:pPr>
          </w:p>
        </w:tc>
      </w:tr>
      <w:tr>
        <w:trPr>
          <w:trHeight w:val="213"/>
        </w:trPr>
        <w:tc>
          <w:tcPr>
            <w:tcW w:w="268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Great Northern Lumber, LLC</w:t>
            </w:r>
          </w:p>
        </w:tc>
        <w:tc>
          <w:tcPr>
            <w:tcW w:w="1500" w:type="dxa"/>
            <w:vAlign w:val="bottom"/>
            <w:tcBorders>
              <w:bottom w:val="single" w:sz="8" w:color="auto"/>
              <w:right w:val="single" w:sz="8" w:color="auto"/>
            </w:tcBorders>
            <w:shd w:val="clear" w:color="auto" w:fill="CCEEFF"/>
          </w:tcPr>
          <w:p>
            <w:pPr>
              <w:spacing w:after="0"/>
              <w:rPr>
                <w:sz w:val="18"/>
                <w:szCs w:val="18"/>
                <w:color w:val="auto"/>
              </w:rPr>
            </w:pP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680" w:type="dxa"/>
            <w:vAlign w:val="bottom"/>
            <w:tcBorders>
              <w:left w:val="single" w:sz="8" w:color="auto"/>
              <w:right w:val="single" w:sz="8" w:color="auto"/>
            </w:tcBorders>
            <w:vMerge w:val="continue"/>
            <w:shd w:val="clear" w:color="auto" w:fill="CCEEFF"/>
          </w:tcPr>
          <w:p>
            <w:pPr>
              <w:spacing w:after="0"/>
              <w:rPr>
                <w:sz w:val="16"/>
                <w:szCs w:val="16"/>
                <w:color w:val="auto"/>
              </w:rPr>
            </w:pPr>
          </w:p>
        </w:tc>
        <w:tc>
          <w:tcPr>
            <w:tcW w:w="6400" w:type="dxa"/>
            <w:vAlign w:val="bottom"/>
            <w:tcBorders>
              <w:right w:val="single" w:sz="8" w:color="auto"/>
            </w:tcBorders>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A manufacturer of industrial products as well as serving the concrete forming market in the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6400" w:type="dxa"/>
            <w:vAlign w:val="bottom"/>
            <w:tcBorders>
              <w:right w:val="single" w:sz="8" w:color="auto"/>
            </w:tcBorders>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Chicago area. Great Northern Lumber had annual sales of approximately $25 million. The</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shd w:val="clear" w:color="auto" w:fill="CCEEFF"/>
          </w:tcPr>
          <w:p>
            <w:pPr>
              <w:spacing w:after="0"/>
              <w:rPr>
                <w:sz w:val="17"/>
                <w:szCs w:val="17"/>
                <w:color w:val="auto"/>
              </w:rPr>
            </w:pPr>
          </w:p>
        </w:tc>
        <w:tc>
          <w:tcPr>
            <w:tcW w:w="6400" w:type="dxa"/>
            <w:vAlign w:val="bottom"/>
            <w:tcBorders>
              <w:right w:val="single" w:sz="8" w:color="auto"/>
            </w:tcBorders>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 Great Northern Lumber enables us to expand our concrete forming product offering</w:t>
            </w:r>
          </w:p>
        </w:tc>
        <w:tc>
          <w:tcPr>
            <w:tcW w:w="0" w:type="dxa"/>
            <w:vAlign w:val="bottom"/>
          </w:tcPr>
          <w:p>
            <w:pPr>
              <w:spacing w:after="0"/>
              <w:rPr>
                <w:sz w:val="1"/>
                <w:szCs w:val="1"/>
                <w:color w:val="auto"/>
              </w:rPr>
            </w:pPr>
          </w:p>
        </w:tc>
      </w:tr>
      <w:tr>
        <w:trPr>
          <w:trHeight w:val="223"/>
        </w:trPr>
        <w:tc>
          <w:tcPr>
            <w:tcW w:w="268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regional coverage.</w:t>
            </w:r>
          </w:p>
        </w:tc>
        <w:tc>
          <w:tcPr>
            <w:tcW w:w="1840" w:type="dxa"/>
            <w:vAlign w:val="bottom"/>
            <w:tcBorders>
              <w:bottom w:val="single" w:sz="8" w:color="auto"/>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CCEEFF"/>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1" w:right="139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00" w:lineRule="exact"/>
        <w:rPr>
          <w:sz w:val="20"/>
          <w:szCs w:val="20"/>
          <w:color w:val="auto"/>
        </w:rPr>
      </w:pPr>
    </w:p>
    <w:p>
      <w:pPr>
        <w:spacing w:after="0" w:line="24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intangible assets for each acquisition were finalized and allocated to their respective identifiable intangible asset and goodwill accounts during 2018, except for the NACC and Pak-Rite acquisitions. In aggregate, acquisitions completed since the end of March 2018 and not consolidated with other operations contributed approximately $28.5 million in revenue and a $1.2 million operating profit during the first quarter of 2019.</w:t>
      </w:r>
    </w:p>
    <w:p>
      <w:pPr>
        <w:spacing w:after="0" w:line="176" w:lineRule="exact"/>
        <w:rPr>
          <w:sz w:val="20"/>
          <w:szCs w:val="20"/>
          <w:color w:val="auto"/>
        </w:rPr>
      </w:pPr>
    </w:p>
    <w:p>
      <w:pPr>
        <w:ind w:left="500" w:hanging="497"/>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ASC 280, Segment Reporting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76"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7"/>
          <w:szCs w:val="17"/>
          <w:color w:val="auto"/>
        </w:rPr>
        <w:t>The Company operates manufacturing, treating and distribution facilities throughout North America, but primarily in the United States. The Company manages the operations of its individual locations primarily through a geographic reporting structure under which each location is included in a region and regions are included in our North, South, West, and International divisions. The exceptions to this geographic reporting and management structure are (a) the Company’s Alternative Materials Division, which offers a portfolio of non-wood products and distributes those products nation-wide</w:t>
      </w:r>
    </w:p>
    <w:p>
      <w:pPr>
        <w:spacing w:after="0" w:line="3" w:lineRule="exact"/>
        <w:rPr>
          <w:sz w:val="20"/>
          <w:szCs w:val="20"/>
          <w:color w:val="auto"/>
        </w:rPr>
      </w:pPr>
    </w:p>
    <w:p>
      <w:pPr>
        <w:ind w:right="380" w:firstLine="3"/>
        <w:spacing w:after="0" w:line="255"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distribution unit (referred to as UFPD) which distributes a variety of products to the manufactured housing industry nation-wide and is accounted for as a reporting unit within the North segment, and (c) the idX division, which designs, produces, and installs customized in-store environments for customers world-wide.</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With respect to the facilities in the north, south, and west segments, these facilities generally supply the three markets the Company serves nationally - Retail, Industrial, and Construction. Also, substantially all of our facilities support customers in the immediate geographical region surrounding the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Alternative Materials, International and idX division have been included in the “All Other” column of the table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“Corporate” column includes unallocated administrative costs and certain incentive compensation expense.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1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 March 30, 2019</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56"/>
        </w:trPr>
        <w:tc>
          <w:tcPr>
            <w:tcW w:w="3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b w:val="1"/>
                <w:bCs w:val="1"/>
                <w:color w:val="auto"/>
              </w:rPr>
              <w:t>North</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South</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West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13"/>
                <w:szCs w:val="13"/>
                <w:color w:val="auto"/>
              </w:rPr>
            </w:pPr>
          </w:p>
        </w:tc>
        <w:tc>
          <w:tcPr>
            <w:tcW w:w="900" w:type="dxa"/>
            <w:vAlign w:val="bottom"/>
            <w:gridSpan w:val="4"/>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22"/>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278,333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244,242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360,097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$ 132,453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$ 1,015,125</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57,653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100,896</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profit (loss)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48,446</w:t>
            </w:r>
          </w:p>
        </w:tc>
      </w:tr>
      <w:tr>
        <w:trPr>
          <w:trHeight w:val="601"/>
        </w:trPr>
        <w:tc>
          <w:tcPr>
            <w:tcW w:w="3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56"/>
        </w:trPr>
        <w:tc>
          <w:tcPr>
            <w:tcW w:w="31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North</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South</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West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270,186</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242,020</w:t>
            </w: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362,468</w:t>
            </w:r>
          </w:p>
        </w:tc>
        <w:tc>
          <w:tcPr>
            <w:tcW w:w="180" w:type="dxa"/>
            <w:vAlign w:val="bottom"/>
            <w:gridSpan w:val="2"/>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$ 119,183</w:t>
            </w:r>
          </w:p>
        </w:tc>
        <w:tc>
          <w:tcPr>
            <w:tcW w:w="1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$ 993,857</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15,599</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62,720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108,993</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profit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18,695</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3,313</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44,217</w:t>
            </w:r>
          </w:p>
        </w:tc>
      </w:tr>
    </w:tbl>
    <w:p>
      <w:pPr>
        <w:spacing w:after="0" w:line="221" w:lineRule="exact"/>
        <w:rPr>
          <w:sz w:val="20"/>
          <w:szCs w:val="20"/>
          <w:color w:val="auto"/>
        </w:rPr>
      </w:pPr>
    </w:p>
    <w:p>
      <w:pPr>
        <w:ind w:left="500" w:hanging="497"/>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state and local income taxes and permanent tax differences. Our effective tax rate was 24.3% in the first quarter of 2019 compared to 22.2% for same period in 2018. The increase was primarily due to recording certain discrete state income tax items in 2018, which lowered the effective tax rate last year.</w:t>
      </w:r>
    </w:p>
    <w:p>
      <w:pPr>
        <w:spacing w:after="0" w:line="176" w:lineRule="exact"/>
        <w:rPr>
          <w:sz w:val="20"/>
          <w:szCs w:val="20"/>
          <w:color w:val="auto"/>
        </w:rPr>
      </w:pPr>
    </w:p>
    <w:p>
      <w:pPr>
        <w:ind w:left="440" w:hanging="437"/>
        <w:spacing w:after="0"/>
        <w:tabs>
          <w:tab w:leader="none" w:pos="4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In February 2016, the Financial Accounting Standards Board (FASB) issued Accounting Standard Update (ASU) No.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“Leases (Topic 842)”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Under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an entity will be required to recognize assets and liabilities for the rights and obligations created by leases on the entity’s balance sheet for both finance and operating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leases. For leases with a term of 12 months or less, an entity can elect to not recognize lease assets and lease liabilities and expense the lease over a straight-line basis for the term of the lease.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requires new disclosures that depict the amount, timing, and uncertainty of cash flows pertaining to an entity’s leases. Companies are required to adopt the new standard for annual and interim periods beginning after December 15, 2018. Early adoption of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is permitted. The FASB decided to amend certain aspects of its new leasing standard in an attempt to provide a relief from implementation costs. Specifically, entities may elect not to restate their comparative periods in the period of adoption when transitioning to the new standard.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adoption of ASC 842, there was no cumulative effect adjustment to retained earnings or other components of equity.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elected the package of practical expedients whereby we are not required to 1) reassess whether any expired or existing contracts contain leases, 2) reassess the lease classification of existing leases, and 3) reassess initial direct costs for any existing leases. Additionally, we did not elect the hindsight practical expedient to determine the reasonably certain lease term for existing leases. We did elect to account for lease and related non-lease components as a single lease component. We elected to not recognize leases with an original term of 12 months or less as they are not significant to our consolidated balance sheet and income statement. We have assessed and updated our business processes, systems, and controls to ensure compliance with the new accounting and disclosure requirements in accordance with the new standard.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certain real estate under non-cancelable operating lease agreements with typical original terms ranging from one to ten years. We are required to pay real estate taxes and other occupancy costs under certain leases, which are variable in nature and not included in the right of use asset or lease liability. Certain leases carry renewal options of five to fifteen years. We believe that future leases will likely have similar terms. We also lease motor vehicles, equipment, and an aircraft under operating lease agreements for periods of one to ten years. We do not typically enter into leases with residual value guarantees.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finance leases will have no significant impact to our consolidated balance sheet and income statement as of March 30, 2019.</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30, 2019, we have no leases that have not yet commenced that would significantly impact the rights, obligations, and financial position of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rates implicit in our leases are primarily not readily available. To determine the discount rate used to present value the lease payments, the Company utilized the 5-year treasury note rate plus a blend of rate spreads associated with our revolver and 10-12-year senior notes. We feel the determined rate is a reasonable collectively representation of our lease population.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payments under non-cancelable operating leases on March 30, 2019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80"/>
        </w:trPr>
        <w:tc>
          <w:tcPr>
            <w:tcW w:w="5200" w:type="dxa"/>
            <w:vAlign w:val="bottom"/>
            <w:tcBorders>
              <w:bottom w:val="single" w:sz="8" w:color="CCEEFF"/>
            </w:tcBorders>
          </w:tcPr>
          <w:p>
            <w:pPr>
              <w:spacing w:after="0"/>
              <w:rPr>
                <w:sz w:val="15"/>
                <w:szCs w:val="15"/>
                <w:color w:val="auto"/>
              </w:rPr>
            </w:pPr>
          </w:p>
        </w:tc>
        <w:tc>
          <w:tcPr>
            <w:tcW w:w="29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(remainder of year)</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r>
      <w:tr>
        <w:trPr>
          <w:trHeight w:val="22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9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22,429</w:t>
            </w:r>
          </w:p>
        </w:tc>
      </w:tr>
      <w:tr>
        <w:trPr>
          <w:trHeight w:val="236"/>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78,682</w:t>
            </w:r>
          </w:p>
        </w:tc>
      </w:tr>
      <w:tr>
        <w:trPr>
          <w:trHeight w:val="203"/>
        </w:trPr>
        <w:tc>
          <w:tcPr>
            <w:tcW w:w="52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Less present value discount</w:t>
            </w:r>
          </w:p>
        </w:tc>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(12,582)</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66,100</w:t>
            </w:r>
          </w:p>
        </w:tc>
      </w:tr>
      <w:tr>
        <w:trPr>
          <w:trHeight w:val="27"/>
        </w:trPr>
        <w:tc>
          <w:tcPr>
            <w:tcW w:w="520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was approximately $6.4 million and $6.2 million during the first three months of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comparison purposes, we have included the future minimum payments under non-cancelable operating leases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2018, (in thousands):</w:t>
      </w:r>
    </w:p>
    <w:tbl>
      <w:tblPr>
        <w:tblLayout w:type="fixed"/>
        <w:tblInd w:w="0" w:type="dxa"/>
        <w:tblCellMar>
          <w:top w:w="0" w:type="dxa"/>
          <w:left w:w="0" w:type="dxa"/>
          <w:bottom w:w="0" w:type="dxa"/>
          <w:right w:w="0" w:type="dxa"/>
        </w:tblCellMar>
      </w:tblPr>
      <w:tr>
        <w:trPr>
          <w:trHeight w:val="146"/>
        </w:trPr>
        <w:tc>
          <w:tcPr>
            <w:tcW w:w="8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5"/>
              <w:spacing w:after="0" w:line="147"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49"/>
        </w:trPr>
        <w:tc>
          <w:tcPr>
            <w:tcW w:w="8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Leases</w:t>
            </w:r>
          </w:p>
        </w:tc>
      </w:tr>
      <w:tr>
        <w:trPr>
          <w:trHeight w:val="180"/>
        </w:trPr>
        <w:tc>
          <w:tcPr>
            <w:tcW w:w="8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12/29/2018</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17,242</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11,969</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9,784</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r>
      <w:tr>
        <w:trPr>
          <w:trHeight w:val="223"/>
        </w:trPr>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22,498</w:t>
            </w:r>
          </w:p>
        </w:tc>
      </w:tr>
      <w:tr>
        <w:trPr>
          <w:trHeight w:val="223"/>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76,221</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2018, the Company completed a sale and leaseback transaction related to one facility in Medley, Florida. The sale price for the property was approximately $36 million and created a $7 million pre-tax gain, which was entirely recognized in 2018. The Company leased back the facility for two years as it executes its long-term plan for Florida and the Southeast region, however only a minor portion of the property sold was leased back.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30, 2019, the weighted average lease term for operating leases is 7.04 years. Similarly, the weighted average discount rate for operating leases is 3.78%.</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88"/>
              </w:rPr>
              <w:t>J.</w:t>
            </w:r>
          </w:p>
        </w:tc>
        <w:tc>
          <w:tcPr>
            <w:tcW w:w="71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Below is a summary of common stock issuances for the first three months of 2019 and 2018:</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8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March 30, 2019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80" w:type="dxa"/>
            <w:vAlign w:val="bottom"/>
          </w:tcPr>
          <w:p>
            <w:pPr>
              <w:spacing w:after="0"/>
              <w:rPr>
                <w:sz w:val="16"/>
                <w:szCs w:val="16"/>
                <w:color w:val="auto"/>
              </w:rPr>
            </w:pPr>
          </w:p>
        </w:tc>
        <w:tc>
          <w:tcPr>
            <w:tcW w:w="7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4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46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7260" w:type="dxa"/>
            <w:vAlign w:val="bottom"/>
            <w:gridSpan w:val="4"/>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Share Issuance Activity</w:t>
            </w: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vMerge w:val="restart"/>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68"/>
        </w:trPr>
        <w:tc>
          <w:tcPr>
            <w:tcW w:w="7260" w:type="dxa"/>
            <w:vAlign w:val="bottom"/>
            <w:gridSpan w:val="4"/>
            <w:vMerge w:val="continue"/>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the long term stock incentive plan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211</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under the executive stock match grants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109</w:t>
            </w:r>
          </w:p>
        </w:tc>
        <w:tc>
          <w:tcPr>
            <w:tcW w:w="2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gridSpan w:val="2"/>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7260" w:type="dxa"/>
            <w:vAlign w:val="bottom"/>
            <w:gridSpan w:val="4"/>
          </w:tcPr>
          <w:p>
            <w:pPr>
              <w:spacing w:after="0"/>
              <w:rPr>
                <w:rFonts w:ascii="Times New Roman" w:cs="Times New Roman" w:eastAsia="Times New Roman" w:hAnsi="Times New Roman"/>
                <w:sz w:val="18"/>
                <w:szCs w:val="18"/>
                <w:color w:val="0563C1"/>
              </w:rPr>
            </w:pPr>
            <w:hyperlink w:anchor="page2">
              <w:r>
                <w:rPr>
                  <w:rFonts w:ascii="Times New Roman" w:cs="Times New Roman" w:eastAsia="Times New Roman" w:hAnsi="Times New Roman"/>
                  <w:sz w:val="18"/>
                  <w:szCs w:val="18"/>
                  <w:color w:val="0563C1"/>
                </w:rPr>
                <w:t>Table of Contents</w:t>
              </w:r>
            </w:hyperlink>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563C1"/>
            </w:tcBorders>
          </w:tcPr>
          <w:p>
            <w:pPr>
              <w:spacing w:after="0"/>
              <w:rPr>
                <w:sz w:val="24"/>
                <w:szCs w:val="24"/>
                <w:color w:val="auto"/>
              </w:rPr>
            </w:pPr>
          </w:p>
        </w:tc>
        <w:tc>
          <w:tcPr>
            <w:tcW w:w="1260" w:type="dxa"/>
            <w:vAlign w:val="bottom"/>
            <w:tcBorders>
              <w:top w:val="single" w:sz="8" w:color="0563C1"/>
            </w:tcBorders>
          </w:tcPr>
          <w:p>
            <w:pPr>
              <w:spacing w:after="0"/>
              <w:rPr>
                <w:sz w:val="24"/>
                <w:szCs w:val="24"/>
                <w:color w:val="auto"/>
              </w:rPr>
            </w:pPr>
          </w:p>
        </w:tc>
        <w:tc>
          <w:tcPr>
            <w:tcW w:w="520" w:type="dxa"/>
            <w:vAlign w:val="bottom"/>
          </w:tcPr>
          <w:p>
            <w:pPr>
              <w:spacing w:after="0"/>
              <w:rPr>
                <w:sz w:val="24"/>
                <w:szCs w:val="24"/>
                <w:color w:val="auto"/>
              </w:rPr>
            </w:pPr>
          </w:p>
        </w:tc>
        <w:tc>
          <w:tcPr>
            <w:tcW w:w="546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8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March 31, 2018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80" w:type="dxa"/>
            <w:vAlign w:val="bottom"/>
          </w:tcPr>
          <w:p>
            <w:pPr>
              <w:spacing w:after="0"/>
              <w:rPr>
                <w:sz w:val="16"/>
                <w:szCs w:val="16"/>
                <w:color w:val="auto"/>
              </w:rPr>
            </w:pPr>
          </w:p>
        </w:tc>
        <w:tc>
          <w:tcPr>
            <w:tcW w:w="7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7260" w:type="dxa"/>
            <w:vAlign w:val="bottom"/>
            <w:gridSpan w:val="4"/>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Share Issuance Activity</w:t>
            </w: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vMerge w:val="restart"/>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68"/>
        </w:trPr>
        <w:tc>
          <w:tcPr>
            <w:tcW w:w="7260" w:type="dxa"/>
            <w:vAlign w:val="bottom"/>
            <w:gridSpan w:val="4"/>
            <w:vMerge w:val="continue"/>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issued under the long term stock incentive plan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164</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Shares issued under the executive stock match grants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c>
          <w:tcPr>
            <w:tcW w:w="2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Forest Products, Inc. is a holding company with subsidiaries throughout North America, Europe, Asia, and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 that supply wood, wood composite and other products to three robust markets: retail, industrial,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The Company is headquartered in Grand Rapids, Mich. For more information about Universal Forest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or its affiliated operations, go to www.ufpi.com.</w:t>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2019.</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for the first quarter of 2019 were impacted by the following:</w:t>
      </w:r>
    </w:p>
    <w:p>
      <w:pPr>
        <w:spacing w:after="0" w:line="225" w:lineRule="exact"/>
        <w:rPr>
          <w:sz w:val="20"/>
          <w:szCs w:val="20"/>
          <w:color w:val="auto"/>
        </w:rPr>
      </w:pPr>
    </w:p>
    <w:p>
      <w:pPr>
        <w:ind w:left="820" w:right="60" w:hanging="331"/>
        <w:spacing w:after="0" w:line="261"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sales increased by 2% compared to the first quarter of 2018, which was comprised of a 7% increase in unit sales, offset by a 5% decrease in selling prices primarily due to the commodity lumber market (see Historical Lumber Prices below). Organic growth contributed 4% of our unit sales increase, while acquisitions contributed 3%. We experienced favorable organic growth to each of the primary markets we serve.</w:t>
      </w:r>
    </w:p>
    <w:p>
      <w:pPr>
        <w:spacing w:after="0" w:line="180" w:lineRule="exact"/>
        <w:rPr>
          <w:rFonts w:ascii="Times New Roman" w:cs="Times New Roman" w:eastAsia="Times New Roman" w:hAnsi="Times New Roman"/>
          <w:sz w:val="18"/>
          <w:szCs w:val="18"/>
          <w:color w:val="auto"/>
        </w:rPr>
      </w:pPr>
    </w:p>
    <w:p>
      <w:pPr>
        <w:ind w:left="820" w:hanging="331"/>
        <w:spacing w:after="0" w:line="258"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$7 million gain on the sale of certain real estate in the first quarter of 2018, our operating profits increased by 30% compared to the first quarter of 2018, which compares favorably with our 7% increase in unit sales. The improvement in our profit per unit was primarily due to the favorable impact of opportunistic buying in the fourth quarter of 2018, when lumber prices were low, and continued improvement in our sales mix of value-added products.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HISTORICAL LUMBER PRICES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experience significant fluctuations in the cost of commodity lumber products from primary producers (“Lumber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The following table presents the Random Lengths framing lumber composite price:</w:t>
      </w:r>
    </w:p>
    <w:p>
      <w:pPr>
        <w:spacing w:after="0" w:line="214"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Random Lengths Composite</w:t>
      </w: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0" w:type="dxa"/>
        <w:tblCellMar>
          <w:top w:w="0" w:type="dxa"/>
          <w:left w:w="0" w:type="dxa"/>
          <w:bottom w:w="0" w:type="dxa"/>
          <w:right w:w="0" w:type="dxa"/>
        </w:tblCellMar>
      </w:tblPr>
      <w:tr>
        <w:trPr>
          <w:trHeight w:val="162"/>
        </w:trPr>
        <w:tc>
          <w:tcPr>
            <w:tcW w:w="466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average</w:t>
            </w:r>
          </w:p>
        </w:tc>
        <w:tc>
          <w:tcPr>
            <w:tcW w:w="25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percentage change</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addition, a Southern Yellow Pine (“SYP”) composite price, which we prepare and use, is presented below. Our purchases of this species comprised approximately 44% and 42% of total lumber purchases through the first three months of 2019 and 2018, respectively.</w:t>
      </w:r>
    </w:p>
    <w:p>
      <w:pPr>
        <w:spacing w:after="0" w:line="18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Southern Yellow Pine</w:t>
      </w: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0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average</w:t>
            </w:r>
          </w:p>
        </w:tc>
        <w:tc>
          <w:tcPr>
            <w:tcW w:w="264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percentage change</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THE LUMBER MARKET ON OUR OPERATING RESULTS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45.9% and 53.1% of our sales in the first three months of 2019 and 2018, respectively.</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general description of the primary ways in which our products are priced.</w:t>
      </w:r>
    </w:p>
    <w:p>
      <w:pPr>
        <w:spacing w:after="0" w:line="225" w:lineRule="exact"/>
        <w:rPr>
          <w:sz w:val="20"/>
          <w:szCs w:val="20"/>
          <w:color w:val="auto"/>
        </w:rPr>
      </w:pPr>
    </w:p>
    <w:p>
      <w:pPr>
        <w:ind w:left="820" w:right="300" w:hanging="331"/>
        <w:spacing w:after="0" w:line="261"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w:t>
      </w:r>
      <w:r>
        <w:rPr>
          <w:rFonts w:ascii="Times New Roman" w:cs="Times New Roman" w:eastAsia="Times New Roman" w:hAnsi="Times New Roman"/>
          <w:sz w:val="18"/>
          <w:szCs w:val="18"/>
          <w:color w:val="auto"/>
        </w:rPr>
        <w:t xml:space="preserve"> These products include value-added products such as deck components and fencing sold to retail customers, as well as trusses, wall panels and other components sold to the construction market, and most industrial packaging products. Prices for these products are generally fixed at the time of the sales quotation for a specified period of time or are based upon a specific quantity. In order 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ind w:left="820" w:right="480"/>
        <w:spacing w:after="0" w:line="281" w:lineRule="auto"/>
        <w:rPr>
          <w:sz w:val="20"/>
          <w:szCs w:val="20"/>
          <w:color w:val="auto"/>
        </w:rPr>
      </w:pPr>
      <w:r>
        <w:rPr>
          <w:rFonts w:ascii="Times New Roman" w:cs="Times New Roman" w:eastAsia="Times New Roman" w:hAnsi="Times New Roman"/>
          <w:sz w:val="17"/>
          <w:szCs w:val="17"/>
          <w:color w:val="auto"/>
        </w:rPr>
        <w:t>maintain margins and reduce any exposure to adverse trends in the price of component lumber products, we attempt to lock in costs with our suppliers for these sales commitments. Also, the time period and quantity limitations eventually allow us to re-price our products for changes in lumber costs from our suppliers. We believe our sales of these products are at their highest relative level in our third and fourth quarter.</w:t>
      </w:r>
    </w:p>
    <w:p>
      <w:pPr>
        <w:spacing w:after="0" w:line="165" w:lineRule="exact"/>
        <w:rPr>
          <w:sz w:val="20"/>
          <w:szCs w:val="20"/>
          <w:color w:val="auto"/>
        </w:rPr>
      </w:pPr>
    </w:p>
    <w:p>
      <w:pPr>
        <w:ind w:left="820" w:right="20" w:hanging="331"/>
        <w:spacing w:after="0" w:line="255"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selling prices indexed to the reported Lumber Market with a fixed dollar “adder” to cover conversion costs and profits.</w:t>
      </w:r>
      <w:r>
        <w:rPr>
          <w:rFonts w:ascii="Times New Roman" w:cs="Times New Roman" w:eastAsia="Times New Roman" w:hAnsi="Times New Roman"/>
          <w:sz w:val="18"/>
          <w:szCs w:val="18"/>
          <w:color w:val="auto"/>
        </w:rPr>
        <w:t xml:space="preserve"> These products primarily include treated lumber, remanufactured lumber,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treated lumber sold to the retail market.</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each of the product pricing categories above, our margins are exposed to changes in the trend of lumber prices.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greatest risk associated with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lumber prices is on the following products:</w:t>
      </w:r>
    </w:p>
    <w:p>
      <w:pPr>
        <w:spacing w:after="0" w:line="225" w:lineRule="exact"/>
        <w:rPr>
          <w:sz w:val="20"/>
          <w:szCs w:val="20"/>
          <w:color w:val="auto"/>
        </w:rPr>
      </w:pPr>
    </w:p>
    <w:p>
      <w:pPr>
        <w:ind w:left="820" w:right="40" w:hanging="331"/>
        <w:spacing w:after="0" w:line="219" w:lineRule="exact"/>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significant inventory levels with low turnover rates, whose selling prices are indexed to the Lumber Market.</w:t>
      </w:r>
      <w:r>
        <w:rPr>
          <w:rFonts w:ascii="Times New Roman" w:cs="Times New Roman" w:eastAsia="Times New Roman" w:hAnsi="Times New Roman"/>
          <w:sz w:val="18"/>
          <w:szCs w:val="18"/>
          <w:color w:val="auto"/>
        </w:rPr>
        <w:t xml:space="preserve"> In other words, the longer the period of time these products remain in inventory, the greater the exposure to changes in the price of lumber. This would include treated lumber, which comprises approximately 16%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Times New Roman" w:cs="Times New Roman" w:eastAsia="Times New Roman" w:hAnsi="Times New Roman"/>
          <w:sz w:val="18"/>
          <w:szCs w:val="18"/>
          <w:i w:val="1"/>
          <w:iCs w:val="1"/>
          <w:color w:val="auto"/>
        </w:rPr>
        <w:t>Please refer to the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section of our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filed with the United States Securities and Exchange Commission.</w:t>
      </w:r>
      <w:r>
        <w:rPr>
          <w:rFonts w:ascii="Times New Roman" w:cs="Times New Roman" w:eastAsia="Times New Roman" w:hAnsi="Times New Roman"/>
          <w:sz w:val="18"/>
          <w:szCs w:val="18"/>
          <w:color w:val="auto"/>
        </w:rPr>
        <w:t>)</w:t>
      </w:r>
    </w:p>
    <w:p>
      <w:pPr>
        <w:spacing w:after="0" w:line="199" w:lineRule="exact"/>
        <w:rPr>
          <w:rFonts w:ascii="Times New Roman" w:cs="Times New Roman" w:eastAsia="Times New Roman" w:hAnsi="Times New Roman"/>
          <w:sz w:val="18"/>
          <w:szCs w:val="18"/>
          <w:color w:val="auto"/>
        </w:rPr>
      </w:pPr>
    </w:p>
    <w:p>
      <w:pPr>
        <w:ind w:left="820" w:right="20" w:hanging="331"/>
        <w:spacing w:after="0" w:line="313" w:lineRule="auto"/>
        <w:tabs>
          <w:tab w:leader="none" w:pos="8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Products with fixed selling prices sold under long-term supply arrangements, particularly those involving multi-family construction projects.</w:t>
      </w:r>
      <w:r>
        <w:rPr>
          <w:rFonts w:ascii="Times New Roman" w:cs="Times New Roman" w:eastAsia="Times New Roman" w:hAnsi="Times New Roman"/>
          <w:sz w:val="17"/>
          <w:szCs w:val="17"/>
          <w:color w:val="auto"/>
        </w:rPr>
        <w:t xml:space="preserve"> We attempt to mitigate this risk through our purchasing practices by locking in costs.</w:t>
      </w:r>
    </w:p>
    <w:p>
      <w:pPr>
        <w:spacing w:after="0" w:line="138"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1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Period 2</w:t>
            </w:r>
          </w:p>
        </w:tc>
      </w:tr>
      <w:tr>
        <w:trPr>
          <w:trHeight w:val="216"/>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Lumber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cost</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Product cost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Adder</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Sell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12.5 %</w:t>
            </w: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As is apparent from the preceding example, the </w:t>
      </w:r>
      <w:r>
        <w:rPr>
          <w:rFonts w:ascii="Times New Roman" w:cs="Times New Roman" w:eastAsia="Times New Roman" w:hAnsi="Times New Roman"/>
          <w:sz w:val="18"/>
          <w:szCs w:val="18"/>
          <w:u w:val="single" w:color="auto"/>
          <w:color w:val="auto"/>
        </w:rPr>
        <w:t>level</w:t>
      </w:r>
      <w:r>
        <w:rPr>
          <w:rFonts w:ascii="Times New Roman" w:cs="Times New Roman" w:eastAsia="Times New Roman" w:hAnsi="Times New Roman"/>
          <w:sz w:val="18"/>
          <w:szCs w:val="18"/>
          <w:color w:val="auto"/>
        </w:rPr>
        <w:t xml:space="preserve"> of lumber prices does not impact our overall profits, but does impact our margins. Gross margins are negatively impacted during periods of high lumber prices; conversely, we experience margin improvement when lumber prices are relatively low. In order to more effectively evaluate our profitability in such periods, we believe it is useful to compare our change in units shipped with our changes in costs and profits.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completed no business acquisitions during the first three months of 2019 and seven during all of 2018. The annual historical sales attributable to acquisitions completed in 2018 were approximately $140 million. These business combinations were not significant to our quarterly or year-to-date operating results individually or in aggregate and thus pro forma results for 2019 or 2018 are not presented.</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Notes to the Unaudited Condensed Consolidated Financial Statements, Note F, “Business Combinations” for additional information.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Unaudited Condensed Consolidated Statements of Earnings as a percentage of net sales.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80" w:type="dxa"/>
            <w:vAlign w:val="bottom"/>
          </w:tcPr>
          <w:p>
            <w:pPr>
              <w:spacing w:after="0"/>
              <w:rPr>
                <w:sz w:val="15"/>
                <w:szCs w:val="15"/>
                <w:color w:val="auto"/>
              </w:rPr>
            </w:pPr>
          </w:p>
        </w:tc>
        <w:tc>
          <w:tcPr>
            <w:tcW w:w="2180" w:type="dxa"/>
            <w:vAlign w:val="bottom"/>
            <w:gridSpan w:val="4"/>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6880" w:type="dxa"/>
            <w:vAlign w:val="bottom"/>
          </w:tcPr>
          <w:p>
            <w:pPr>
              <w:spacing w:after="0"/>
              <w:rPr>
                <w:sz w:val="10"/>
                <w:szCs w:val="10"/>
                <w:color w:val="auto"/>
              </w:rPr>
            </w:pPr>
          </w:p>
        </w:tc>
        <w:tc>
          <w:tcPr>
            <w:tcW w:w="1020" w:type="dxa"/>
            <w:vAlign w:val="bottom"/>
            <w:tcBorders>
              <w:top w:val="single" w:sz="8" w:color="auto"/>
            </w:tcBorders>
            <w:gridSpan w:val="2"/>
          </w:tcPr>
          <w:p>
            <w:pPr>
              <w:jc w:val="right"/>
              <w:ind w:right="230"/>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7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0"/>
                <w:szCs w:val="10"/>
                <w:color w:val="auto"/>
              </w:rPr>
            </w:pPr>
          </w:p>
        </w:tc>
      </w:tr>
      <w:tr>
        <w:trPr>
          <w:trHeight w:val="180"/>
        </w:trPr>
        <w:tc>
          <w:tcPr>
            <w:tcW w:w="68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Borders>
              <w:bottom w:val="single" w:sz="8" w:color="CCEEFF"/>
            </w:tcBorders>
          </w:tcPr>
          <w:p>
            <w:pPr>
              <w:spacing w:after="0"/>
              <w:rPr>
                <w:sz w:val="15"/>
                <w:szCs w:val="15"/>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400" w:type="dxa"/>
            <w:vAlign w:val="bottom"/>
            <w:tcBorders>
              <w:bottom w:val="single" w:sz="8" w:color="CCEEFF"/>
            </w:tcBorders>
          </w:tcPr>
          <w:p>
            <w:pPr>
              <w:spacing w:after="0"/>
              <w:rPr>
                <w:sz w:val="19"/>
                <w:szCs w:val="19"/>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0" w:type="dxa"/>
            <w:vAlign w:val="bottom"/>
          </w:tcPr>
          <w:p>
            <w:pPr>
              <w:spacing w:after="0"/>
              <w:rPr>
                <w:sz w:val="18"/>
                <w:szCs w:val="18"/>
                <w:color w:val="auto"/>
              </w:rPr>
            </w:pPr>
          </w:p>
        </w:tc>
      </w:tr>
      <w:tr>
        <w:trPr>
          <w:trHeight w:val="23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disposition and impairment of assets</w:t>
            </w:r>
          </w:p>
        </w:tc>
        <w:tc>
          <w:tcPr>
            <w:tcW w:w="10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(0.7)</w:t>
            </w:r>
          </w:p>
        </w:tc>
      </w:tr>
      <w:tr>
        <w:trPr>
          <w:trHeight w:val="203"/>
        </w:trPr>
        <w:tc>
          <w:tcPr>
            <w:tcW w:w="68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w:t>
            </w:r>
          </w:p>
        </w:tc>
        <w:tc>
          <w:tcPr>
            <w:tcW w:w="26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w:t>
            </w:r>
          </w:p>
        </w:tc>
        <w:tc>
          <w:tcPr>
            <w:tcW w:w="400" w:type="dxa"/>
            <w:vAlign w:val="bottom"/>
            <w:tcBorders>
              <w:top w:val="single" w:sz="8" w:color="CCEEFF"/>
            </w:tcBorders>
          </w:tcPr>
          <w:p>
            <w:pPr>
              <w:spacing w:after="0"/>
              <w:rPr>
                <w:sz w:val="17"/>
                <w:szCs w:val="17"/>
                <w:color w:val="auto"/>
              </w:rPr>
            </w:pPr>
          </w:p>
        </w:tc>
      </w:tr>
      <w:tr>
        <w:trPr>
          <w:trHeight w:val="236"/>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tcBorders>
              <w:bottom w:val="single" w:sz="8" w:color="CCEEFF"/>
            </w:tcBorders>
            <w:shd w:val="clear" w:color="auto" w:fill="CCEEFF"/>
          </w:tcPr>
          <w:p>
            <w:pPr>
              <w:spacing w:after="0"/>
              <w:rPr>
                <w:sz w:val="20"/>
                <w:szCs w:val="20"/>
                <w:color w:val="auto"/>
              </w:rPr>
            </w:pPr>
          </w:p>
        </w:tc>
      </w:tr>
      <w:tr>
        <w:trPr>
          <w:trHeight w:val="203"/>
        </w:trPr>
        <w:tc>
          <w:tcPr>
            <w:tcW w:w="68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Earnings before income taxes</w:t>
            </w: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w:t>
            </w:r>
          </w:p>
        </w:tc>
        <w:tc>
          <w:tcPr>
            <w:tcW w:w="400" w:type="dxa"/>
            <w:vAlign w:val="bottom"/>
          </w:tcPr>
          <w:p>
            <w:pPr>
              <w:spacing w:after="0"/>
              <w:rPr>
                <w:sz w:val="17"/>
                <w:szCs w:val="17"/>
                <w:color w:val="auto"/>
              </w:rPr>
            </w:pPr>
          </w:p>
        </w:tc>
      </w:tr>
      <w:tr>
        <w:trPr>
          <w:trHeight w:val="236"/>
        </w:trPr>
        <w:tc>
          <w:tcPr>
            <w:tcW w:w="6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bottom w:val="single" w:sz="8" w:color="CCEEFF"/>
            </w:tcBorders>
            <w:shd w:val="clear" w:color="auto" w:fill="CCEEFF"/>
          </w:tcPr>
          <w:p>
            <w:pPr>
              <w:spacing w:after="0"/>
              <w:rPr>
                <w:sz w:val="20"/>
                <w:szCs w:val="20"/>
                <w:color w:val="auto"/>
              </w:rPr>
            </w:pPr>
          </w:p>
        </w:tc>
      </w:tr>
      <w:tr>
        <w:trPr>
          <w:trHeight w:val="203"/>
        </w:trPr>
        <w:tc>
          <w:tcPr>
            <w:tcW w:w="68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earnings</w:t>
            </w: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400" w:type="dxa"/>
            <w:vAlign w:val="bottom"/>
          </w:tcPr>
          <w:p>
            <w:pPr>
              <w:spacing w:after="0"/>
              <w:rPr>
                <w:sz w:val="17"/>
                <w:szCs w:val="17"/>
                <w:color w:val="auto"/>
              </w:rPr>
            </w:pPr>
          </w:p>
        </w:tc>
      </w:tr>
      <w:tr>
        <w:trPr>
          <w:trHeight w:val="23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10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68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260" w:type="dxa"/>
            <w:vAlign w:val="bottom"/>
            <w:tcBorders>
              <w:top w:val="single" w:sz="8" w:color="CCEEFF"/>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400" w:type="dxa"/>
            <w:vAlign w:val="bottom"/>
            <w:tcBorders>
              <w:top w:val="single" w:sz="8" w:color="CCEEFF"/>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79"/>
              </w:rPr>
              <w:t>%</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Actual percentages are calculated and may not sum to total due to rounding.</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Consolidated Statements of Earnings as a percentage of sales, adjusted to restate 2019 sales and cost of goods sold at prior year lumber prices. The restated sales amounts were calculated by applying unit sales growth in 2019 to 2018 sales levels. By eliminating the “pass-through” impact of higher or lower lumber prices on sales and cost of goods sold from year to year, we believe this provides an enhanced view of our change in profitability and costs as a percentage of sales. The amount of the adjustment to 2019 sales was also applied to cost of goods sold so that gross profit remains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Adjusted for Lumber Market Change</w:t>
            </w:r>
          </w:p>
        </w:tc>
      </w:tr>
      <w:tr>
        <w:trPr>
          <w:trHeight w:val="180"/>
        </w:trPr>
        <w:tc>
          <w:tcPr>
            <w:tcW w:w="6640" w:type="dxa"/>
            <w:vAlign w:val="bottom"/>
          </w:tcPr>
          <w:p>
            <w:pPr>
              <w:spacing w:after="0"/>
              <w:rPr>
                <w:sz w:val="15"/>
                <w:szCs w:val="15"/>
                <w:color w:val="auto"/>
              </w:rPr>
            </w:pPr>
          </w:p>
        </w:tc>
        <w:tc>
          <w:tcPr>
            <w:tcW w:w="242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6640" w:type="dxa"/>
            <w:vAlign w:val="bottom"/>
          </w:tcPr>
          <w:p>
            <w:pPr>
              <w:spacing w:after="0"/>
              <w:rPr>
                <w:sz w:val="10"/>
                <w:szCs w:val="10"/>
                <w:color w:val="auto"/>
              </w:rPr>
            </w:pPr>
          </w:p>
        </w:tc>
        <w:tc>
          <w:tcPr>
            <w:tcW w:w="1260" w:type="dxa"/>
            <w:vAlign w:val="bottom"/>
            <w:gridSpan w:val="2"/>
          </w:tcPr>
          <w:p>
            <w:pPr>
              <w:jc w:val="right"/>
              <w:ind w:right="350"/>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160" w:type="dxa"/>
            <w:vAlign w:val="bottom"/>
            <w:gridSpan w:val="2"/>
          </w:tcPr>
          <w:p>
            <w:pPr>
              <w:jc w:val="right"/>
              <w:ind w:right="290"/>
              <w:spacing w:after="0" w:line="124"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80"/>
        </w:trPr>
        <w:tc>
          <w:tcPr>
            <w:tcW w:w="66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CEEFF"/>
            </w:tcBorders>
          </w:tcPr>
          <w:p>
            <w:pPr>
              <w:spacing w:after="0"/>
              <w:rPr>
                <w:sz w:val="15"/>
                <w:szCs w:val="15"/>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tcBorders>
              <w:bottom w:val="single" w:sz="8" w:color="CCEEFF"/>
            </w:tcBorders>
          </w:tcPr>
          <w:p>
            <w:pPr>
              <w:spacing w:after="0"/>
              <w:rPr>
                <w:sz w:val="18"/>
                <w:szCs w:val="18"/>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disposition and impairment of assets</w:t>
            </w:r>
          </w:p>
        </w:tc>
        <w:tc>
          <w:tcPr>
            <w:tcW w:w="12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12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r>
      <w:tr>
        <w:trPr>
          <w:trHeight w:val="21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Actual percentages are calculated and may not sum to total due to rounding.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SALES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specialty wood packaging, components and packing materials for various industries, and customized interior fixtures used in a variety of retail stores, commercial and other structures. Our strategic long-term sales objectives include:</w:t>
      </w:r>
    </w:p>
    <w:p>
      <w:pPr>
        <w:spacing w:after="0" w:line="184" w:lineRule="exact"/>
        <w:rPr>
          <w:sz w:val="20"/>
          <w:szCs w:val="20"/>
          <w:color w:val="auto"/>
        </w:rPr>
      </w:pPr>
    </w:p>
    <w:p>
      <w:pPr>
        <w:ind w:left="820" w:right="140" w:hanging="331"/>
        <w:spacing w:after="0" w:line="258"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Diversifying our end market sales mix by increasing sales of specialty wood and non-wood packaging to industrial users, increasing our penetration of the concrete forming market, increasing our sales of engineered wood components for custom home, multi-family, military and light commercial construction, increasing our market share with independent retailers, and increasing our sales of customized interior fixtures used in a variety of markets.</w:t>
      </w:r>
    </w:p>
    <w:p>
      <w:pPr>
        <w:spacing w:after="0" w:line="183" w:lineRule="exact"/>
        <w:rPr>
          <w:rFonts w:ascii="Times New Roman" w:cs="Times New Roman" w:eastAsia="Times New Roman" w:hAnsi="Times New Roman"/>
          <w:sz w:val="18"/>
          <w:szCs w:val="18"/>
          <w:color w:val="auto"/>
        </w:rPr>
      </w:pPr>
    </w:p>
    <w:p>
      <w:pPr>
        <w:ind w:left="820" w:hanging="331"/>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geographically in our core businesses, domestically and internationally.</w:t>
      </w:r>
    </w:p>
    <w:p>
      <w:pPr>
        <w:spacing w:after="0" w:line="225" w:lineRule="exact"/>
        <w:rPr>
          <w:rFonts w:ascii="Times New Roman" w:cs="Times New Roman" w:eastAsia="Times New Roman" w:hAnsi="Times New Roman"/>
          <w:sz w:val="18"/>
          <w:szCs w:val="18"/>
          <w:color w:val="auto"/>
        </w:rPr>
      </w:pPr>
    </w:p>
    <w:p>
      <w:pPr>
        <w:ind w:left="820" w:right="40" w:hanging="331"/>
        <w:spacing w:after="0" w:line="256"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sales of "value-added" products, which primarily consist of fencing, decking, lattice, and other specialty products sold to the retail market, specialty wood packaging, engineered wood components, customized interior fixtures,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187" w:lineRule="exact"/>
        <w:rPr>
          <w:rFonts w:ascii="Times New Roman" w:cs="Times New Roman" w:eastAsia="Times New Roman" w:hAnsi="Times New Roman"/>
          <w:sz w:val="18"/>
          <w:szCs w:val="18"/>
          <w:color w:val="auto"/>
        </w:rPr>
      </w:pPr>
    </w:p>
    <w:p>
      <w:pPr>
        <w:ind w:left="820" w:hanging="331"/>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Maximizing unit sales growth while achieving return on investment goals.</w:t>
      </w:r>
    </w:p>
    <w:p>
      <w:pPr>
        <w:spacing w:after="0" w:line="225" w:lineRule="exact"/>
        <w:rPr>
          <w:rFonts w:ascii="Times New Roman" w:cs="Times New Roman" w:eastAsia="Times New Roman" w:hAnsi="Times New Roman"/>
          <w:sz w:val="18"/>
          <w:szCs w:val="18"/>
          <w:color w:val="auto"/>
        </w:rPr>
      </w:pPr>
    </w:p>
    <w:p>
      <w:pPr>
        <w:ind w:left="820" w:right="200" w:hanging="331"/>
        <w:spacing w:after="0" w:line="313" w:lineRule="auto"/>
        <w:tabs>
          <w:tab w:leader="none" w:pos="8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new products and expanding our value-added product offering for existing customers. New product sales were $99.9 million in the first quarter of 2019 compared to $92.2 million during the first quarter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New Product Sales by Market</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56"/>
        </w:trPr>
        <w:tc>
          <w:tcPr>
            <w:tcW w:w="1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476"/>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24"/>
        </w:trPr>
        <w:tc>
          <w:tcPr>
            <w:tcW w:w="13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tcPr>
          <w:p>
            <w:pPr>
              <w:jc w:val="center"/>
              <w:ind w:left="482"/>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jc w:val="right"/>
              <w:ind w:right="456"/>
              <w:spacing w:after="0" w:line="12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340" w:type="dxa"/>
            <w:vAlign w:val="bottom"/>
            <w:gridSpan w:val="2"/>
          </w:tcPr>
          <w:p>
            <w:pPr>
              <w:jc w:val="right"/>
              <w:ind w:right="359"/>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93"/>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Market Classification</w:t>
            </w:r>
          </w:p>
        </w:tc>
        <w:tc>
          <w:tcPr>
            <w:tcW w:w="1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Pr>
          <w:p>
            <w:pPr>
              <w:spacing w:after="0"/>
              <w:rPr>
                <w:sz w:val="16"/>
                <w:szCs w:val="16"/>
                <w:color w:val="auto"/>
              </w:rPr>
            </w:pP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3"/>
        </w:trPr>
        <w:tc>
          <w:tcPr>
            <w:tcW w:w="2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10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100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61,247</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56,138</w:t>
            </w:r>
          </w:p>
        </w:tc>
        <w:tc>
          <w:tcPr>
            <w:tcW w:w="3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9.1</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21,751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36"/>
        </w:trPr>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16,948</w:t>
            </w:r>
          </w:p>
        </w:tc>
        <w:tc>
          <w:tcPr>
            <w:tcW w:w="3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0"/>
        </w:trPr>
        <w:tc>
          <w:tcPr>
            <w:tcW w:w="28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New Product Sales</w:t>
            </w:r>
          </w:p>
        </w:tc>
        <w:tc>
          <w:tcPr>
            <w:tcW w:w="10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99,946</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92,198</w:t>
            </w:r>
          </w:p>
        </w:tc>
        <w:tc>
          <w:tcPr>
            <w:tcW w:w="13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8.4</w:t>
            </w:r>
          </w:p>
        </w:tc>
      </w:tr>
    </w:tbl>
    <w:p>
      <w:pPr>
        <w:spacing w:after="0" w:line="85" w:lineRule="exact"/>
        <w:rPr>
          <w:sz w:val="20"/>
          <w:szCs w:val="20"/>
          <w:color w:val="auto"/>
        </w:rPr>
      </w:pPr>
    </w:p>
    <w:p>
      <w:pPr>
        <w:ind w:left="500" w:right="280"/>
        <w:spacing w:after="0" w:line="262" w:lineRule="auto"/>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Value-Added and Commodity-Based Sales: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 total sales. Value-added products generally carry higher gross margins than our commodity-based products.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80" w:type="dxa"/>
            <w:vAlign w:val="bottom"/>
          </w:tcPr>
          <w:p>
            <w:pPr>
              <w:spacing w:after="0"/>
              <w:rPr>
                <w:sz w:val="15"/>
                <w:szCs w:val="15"/>
                <w:color w:val="auto"/>
              </w:rPr>
            </w:pPr>
          </w:p>
        </w:tc>
        <w:tc>
          <w:tcPr>
            <w:tcW w:w="20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6980" w:type="dxa"/>
            <w:vAlign w:val="bottom"/>
          </w:tcPr>
          <w:p>
            <w:pPr>
              <w:spacing w:after="0"/>
              <w:rPr>
                <w:sz w:val="10"/>
                <w:szCs w:val="10"/>
                <w:color w:val="auto"/>
              </w:rPr>
            </w:pPr>
          </w:p>
        </w:tc>
        <w:tc>
          <w:tcPr>
            <w:tcW w:w="1160" w:type="dxa"/>
            <w:vAlign w:val="bottom"/>
            <w:gridSpan w:val="2"/>
          </w:tcPr>
          <w:p>
            <w:pPr>
              <w:ind w:left="200"/>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920" w:type="dxa"/>
            <w:vAlign w:val="bottom"/>
          </w:tcPr>
          <w:p>
            <w:pPr>
              <w:jc w:val="right"/>
              <w:ind w:right="59"/>
              <w:spacing w:after="0" w:line="124"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80"/>
        </w:trPr>
        <w:tc>
          <w:tcPr>
            <w:tcW w:w="69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Value-Added</w:t>
            </w:r>
          </w:p>
        </w:tc>
        <w:tc>
          <w:tcPr>
            <w:tcW w:w="1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66.4 %</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61.7 %</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Commodity-Based</w:t>
            </w:r>
          </w:p>
        </w:tc>
        <w:tc>
          <w:tcPr>
            <w:tcW w:w="1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33.6 %</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38.3 %</w:t>
            </w:r>
          </w:p>
        </w:tc>
      </w:tr>
    </w:tbl>
    <w:p>
      <w:pPr>
        <w:spacing w:after="0" w:line="39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gross sales and percentage change in gross sales by market classification.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640" w:type="dxa"/>
            <w:vAlign w:val="bottom"/>
            <w:gridSpan w:val="2"/>
            <w:vMerge w:val="continue"/>
          </w:tcPr>
          <w:p>
            <w:pPr>
              <w:spacing w:after="0"/>
              <w:rPr>
                <w:sz w:val="10"/>
                <w:szCs w:val="10"/>
                <w:color w:val="auto"/>
              </w:rPr>
            </w:pPr>
          </w:p>
        </w:tc>
        <w:tc>
          <w:tcPr>
            <w:tcW w:w="2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jc w:val="right"/>
              <w:ind w:right="294"/>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Market Classification</w:t>
            </w:r>
          </w:p>
        </w:tc>
        <w:tc>
          <w:tcPr>
            <w:tcW w:w="23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2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357,487</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370,402</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Industrial </w:t>
            </w:r>
            <w:r>
              <w:rPr>
                <w:rFonts w:ascii="Times New Roman" w:cs="Times New Roman" w:eastAsia="Times New Roman" w:hAnsi="Times New Roman"/>
                <w:sz w:val="8"/>
                <w:szCs w:val="8"/>
                <w:color w:val="auto"/>
              </w:rPr>
              <w:t>(1)</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329,698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285,484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6"/>
        </w:trPr>
        <w:tc>
          <w:tcPr>
            <w:tcW w:w="3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Construction </w:t>
            </w:r>
            <w:r>
              <w:rPr>
                <w:rFonts w:ascii="Times New Roman" w:cs="Times New Roman" w:eastAsia="Times New Roman" w:hAnsi="Times New Roman"/>
                <w:sz w:val="8"/>
                <w:szCs w:val="8"/>
                <w:color w:val="auto"/>
              </w:rPr>
              <w:t>(1)</w:t>
            </w:r>
          </w:p>
        </w:tc>
        <w:tc>
          <w:tcPr>
            <w:tcW w:w="2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344,420</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355,781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3"/>
        </w:trPr>
        <w:tc>
          <w:tcPr>
            <w:tcW w:w="36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Gross Sales</w:t>
            </w: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1,031,605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1,011,667</w:t>
            </w: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2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(16,480)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Net Sales</w:t>
            </w:r>
          </w:p>
        </w:tc>
        <w:tc>
          <w:tcPr>
            <w:tcW w:w="23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1,015,125</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993,857</w:t>
            </w: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Note: During 2019, certain customers were reclassified to a different market. Prior year information has been restated to reflect these changes.</w:t>
      </w:r>
    </w:p>
    <w:p>
      <w:pPr>
        <w:spacing w:after="0" w:line="312" w:lineRule="exact"/>
        <w:rPr>
          <w:sz w:val="20"/>
          <w:szCs w:val="20"/>
          <w:color w:val="auto"/>
        </w:rPr>
      </w:pPr>
    </w:p>
    <w:p>
      <w:pPr>
        <w:ind w:left="820" w:right="300" w:hanging="331"/>
        <w:spacing w:after="0" w:line="241" w:lineRule="auto"/>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reclassified idX from industrial to the construction market to better align idX's core business, design, manufacture, distribution and installation of customized interior fixtures for a variety of retail and commercial structures, with the commercial construction market. The reclassification was recorded retrospectively.</w:t>
      </w:r>
    </w:p>
    <w:p>
      <w:pPr>
        <w:spacing w:after="0" w:line="18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Gross sales in the first quarter of 2019 increased 2.0% compared to the same period of 2018, due to a 7% increase in unit sales, offset by a 5% decrease in selling prices primarily due to the Lumber Market. Acquired operations contributed 3% to our unit sales growth, and our organic unit sales growth was 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gross sales by market are discussed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Gross sales to the retail market decreased 3% in the first quarter of 2019 compared to the same period of 2018, due to a 3% increase in unit sales, offset by a 6% decrease in selling prices. Within this market, sales to our big box customers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1" w:right="139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increased almost 2%, and sales to other independent retailers decreased over 10%. Our organic unit growth was 3% for the quarter primarily due to an increase in customer demand.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Gross sales to the industrial market increased almost 15% in the first quarter of 2019 compared to the same period of 2018, resulting from a 16% increase in unit sales, offset by a 1% decrease in selling prices. Businesses we acquired since the first quarter of 2018 contributed 10% to our growth in unit sales. Our organic growth in unit sales of 6% was primarily due to adding 94 new customers, 146 new locations of existing customers, and $5 million of new product sales growth as our efforts to improve market share continue to produce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Construction: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Gross sales to the construction market decreased 3% in the first quarter of 2019 compared to 2018. The decrease was due to a 5% increase in unit sales, offset by an 8% decrease in our selling prices. Our increase in unit sales was driven by a 15% increase to commercial construction customers and a 6% increase to residential construction customers, offset by a 6% decrease to manufactured housing customers.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comparison (and based upon various industry publications):</w:t>
      </w:r>
    </w:p>
    <w:p>
      <w:pPr>
        <w:spacing w:after="0" w:line="225" w:lineRule="exact"/>
        <w:rPr>
          <w:sz w:val="20"/>
          <w:szCs w:val="20"/>
          <w:color w:val="auto"/>
        </w:rPr>
      </w:pPr>
    </w:p>
    <w:p>
      <w:pPr>
        <w:ind w:left="820" w:right="300" w:hanging="331"/>
        <w:spacing w:after="0" w:line="261"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HUD-code manufactured homes in January and February 2019, the most recent period reported, was down 11.6% compared to the same period of 2018.</w:t>
      </w:r>
    </w:p>
    <w:p>
      <w:pPr>
        <w:ind w:left="820" w:right="380" w:hanging="331"/>
        <w:spacing w:after="0" w:line="250"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Non-residential construction activity in January and February increased approximately 1.4% compared to the same period of 2018.</w:t>
      </w:r>
    </w:p>
    <w:p>
      <w:pPr>
        <w:ind w:left="820" w:right="60" w:hanging="331"/>
        <w:spacing w:after="0" w:line="255"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Housing starts decreased by approximately 11.6% in the period from December through February 2019 (our sales trail housing starts by about a month) compared to the same period of 2018. However, housing starts increased within the West and Southeast regions, where we primarily conduct our business.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 AND GROSS PROFIT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gross margin increased to 15.2% from 13.2% comparing the first quarter of 2019 to the same period of 2018 due to the lower </w:t>
      </w:r>
      <w:r>
        <w:rPr>
          <w:rFonts w:ascii="Times New Roman" w:cs="Times New Roman" w:eastAsia="Times New Roman" w:hAnsi="Times New Roman"/>
          <w:sz w:val="18"/>
          <w:szCs w:val="18"/>
          <w:u w:val="single" w:color="auto"/>
          <w:color w:val="auto"/>
        </w:rPr>
        <w:t>level</w:t>
      </w:r>
      <w:r>
        <w:rPr>
          <w:rFonts w:ascii="Times New Roman" w:cs="Times New Roman" w:eastAsia="Times New Roman" w:hAnsi="Times New Roman"/>
          <w:sz w:val="18"/>
          <w:szCs w:val="18"/>
          <w:color w:val="auto"/>
        </w:rPr>
        <w:t xml:space="preserve"> of lumber prices (See “Impact of the Lumber Market on Our Operating Results”); atypical buying opportunities when lumber prices were low in the fourth quarter of 2018, and an improvement in our sales mix of value-added products. Our $23 million, or 17.9%, increase in gross profit dollars compares favorably to our 7% increase in unit sales during the same period due to the factors above. In addition, acquired operations contributed $4 million of gross profit in the first quarter of 2019. Excluding acquisitions, our gross profits increased by $19 million, or 14.9%, over the same period last year primarily due to the following:</w:t>
      </w:r>
    </w:p>
    <w:p>
      <w:pPr>
        <w:spacing w:after="0" w:line="189" w:lineRule="exact"/>
        <w:rPr>
          <w:sz w:val="20"/>
          <w:szCs w:val="20"/>
          <w:color w:val="auto"/>
        </w:rPr>
      </w:pPr>
    </w:p>
    <w:p>
      <w:pPr>
        <w:ind w:left="820" w:hanging="331"/>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profit to the retail market increased by approximately $3 million.</w:t>
      </w:r>
    </w:p>
    <w:p>
      <w:pPr>
        <w:spacing w:after="0" w:line="27" w:lineRule="exact"/>
        <w:rPr>
          <w:rFonts w:ascii="Times New Roman" w:cs="Times New Roman" w:eastAsia="Times New Roman" w:hAnsi="Times New Roman"/>
          <w:sz w:val="18"/>
          <w:szCs w:val="18"/>
          <w:color w:val="auto"/>
        </w:rPr>
      </w:pPr>
    </w:p>
    <w:p>
      <w:pPr>
        <w:ind w:left="820" w:hanging="331"/>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profit on sales to the industrial market increased by approximately $10 million.</w:t>
      </w:r>
    </w:p>
    <w:p>
      <w:pPr>
        <w:spacing w:after="0" w:line="9" w:lineRule="exact"/>
        <w:rPr>
          <w:rFonts w:ascii="Times New Roman" w:cs="Times New Roman" w:eastAsia="Times New Roman" w:hAnsi="Times New Roman"/>
          <w:sz w:val="18"/>
          <w:szCs w:val="18"/>
          <w:color w:val="auto"/>
        </w:rPr>
      </w:pPr>
    </w:p>
    <w:p>
      <w:pPr>
        <w:ind w:left="820" w:hanging="331"/>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profit on sales to the construction market increased by approximately $8 million.</w:t>
      </w:r>
    </w:p>
    <w:p>
      <w:pPr>
        <w:spacing w:after="0" w:line="9" w:lineRule="exact"/>
        <w:rPr>
          <w:rFonts w:ascii="Times New Roman" w:cs="Times New Roman" w:eastAsia="Times New Roman" w:hAnsi="Times New Roman"/>
          <w:sz w:val="18"/>
          <w:szCs w:val="18"/>
          <w:color w:val="auto"/>
        </w:rPr>
      </w:pPr>
    </w:p>
    <w:p>
      <w:pPr>
        <w:ind w:left="820" w:right="540" w:hanging="331"/>
        <w:spacing w:after="0" w:line="261"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 million decrease in our gross profits was due to a variety of factors including unfavorable labor and overhead cost variances in certain areas of our business.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several factors, including the variety of species we buy, the variety and number of products we sell, and pricing methodologies, estimating the impact of market-favorable lumber buying on our gross profits is difficult. Nevertheless, we estimate this contributed approximately $6 million to $7 million in additional gross profits in the first quarter of 2019.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by approximately $12.7 million, or 13.7%, in the first quarter of 2019 compared to the same period of 2018, while we reported a 7% increase in unit sales. Accrued bonus expense, which varies with our overall profitability and return on investment, totaled $12.4 million in the first quarter of 2019 compared to $9.1 million in 2018. Acquired operations since the first quarter of 2018 contributed approximately $2.6 million to our year over year increase in SG&amp;A. The remaining increase was primarily due to an increase in wages and benefits costs associated with headcount and rate increases, sales incentive, and marketing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NET</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Interest expense was higher in the first quarter of 2019 compared to the same period of 2018 primarily due to carrying a higher amount of debt and higher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state and local income taxes and permanent tax differences. Our effective tax rate was 24.3% in the first quarter of 2019 compared to 22.2% for same period in 2018. The increase was due to recording certain state income tax discrete items in 2018, which lowered the effective tax rate last year.</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from Operations</w:t>
            </w:r>
          </w:p>
        </w:tc>
        <w:tc>
          <w:tcPr>
            <w:tcW w:w="680" w:type="dxa"/>
            <w:vAlign w:val="bottom"/>
            <w:tcBorders>
              <w:bottom w:val="single" w:sz="8" w:color="auto"/>
            </w:tcBorders>
          </w:tcPr>
          <w:p>
            <w:pPr>
              <w:spacing w:after="0"/>
              <w:rPr>
                <w:sz w:val="15"/>
                <w:szCs w:val="15"/>
                <w:color w:val="auto"/>
              </w:rPr>
            </w:pPr>
          </w:p>
        </w:tc>
      </w:tr>
      <w:tr>
        <w:trPr>
          <w:trHeight w:val="156"/>
        </w:trPr>
        <w:tc>
          <w:tcPr>
            <w:tcW w:w="1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Borders>
              <w:bottom w:val="single" w:sz="8" w:color="auto"/>
            </w:tcBorders>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Borders>
              <w:bottom w:val="single" w:sz="8" w:color="auto"/>
            </w:tcBorders>
          </w:tcPr>
          <w:p>
            <w:pPr>
              <w:spacing w:after="0"/>
              <w:rPr>
                <w:sz w:val="13"/>
                <w:szCs w:val="13"/>
                <w:color w:val="auto"/>
              </w:rPr>
            </w:pPr>
          </w:p>
        </w:tc>
      </w:tr>
      <w:tr>
        <w:trPr>
          <w:trHeight w:val="124"/>
        </w:trPr>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54"/>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60" w:type="dxa"/>
            <w:vAlign w:val="bottom"/>
          </w:tcPr>
          <w:p>
            <w:pPr>
              <w:spacing w:after="0"/>
              <w:rPr>
                <w:sz w:val="10"/>
                <w:szCs w:val="10"/>
                <w:color w:val="auto"/>
              </w:rPr>
            </w:pPr>
          </w:p>
        </w:tc>
        <w:tc>
          <w:tcPr>
            <w:tcW w:w="7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274"/>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700" w:type="dxa"/>
            <w:vAlign w:val="bottom"/>
          </w:tcPr>
          <w:p>
            <w:pPr>
              <w:jc w:val="right"/>
              <w:ind w:right="194"/>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40" w:type="dxa"/>
            <w:vAlign w:val="bottom"/>
          </w:tcPr>
          <w:p>
            <w:pPr>
              <w:spacing w:after="0"/>
              <w:rPr>
                <w:sz w:val="10"/>
                <w:szCs w:val="10"/>
                <w:color w:val="auto"/>
              </w:rPr>
            </w:pPr>
          </w:p>
        </w:tc>
        <w:tc>
          <w:tcPr>
            <w:tcW w:w="8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274"/>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680" w:type="dxa"/>
            <w:vAlign w:val="bottom"/>
          </w:tcPr>
          <w:p>
            <w:pPr>
              <w:jc w:val="right"/>
              <w:ind w:right="254"/>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80"/>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94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1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278,333</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$ 270,186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3.0 %</w:t>
            </w:r>
          </w:p>
        </w:tc>
        <w:tc>
          <w:tcPr>
            <w:tcW w:w="16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99.4 %</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South</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244,242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242,020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40" w:type="dxa"/>
            <w:vAlign w:val="bottom"/>
          </w:tcPr>
          <w:p>
            <w:pPr>
              <w:spacing w:after="0"/>
              <w:rPr>
                <w:sz w:val="18"/>
                <w:szCs w:val="18"/>
                <w:color w:val="auto"/>
              </w:rPr>
            </w:pPr>
          </w:p>
        </w:tc>
        <w:tc>
          <w:tcPr>
            <w:tcW w:w="70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0.9 %</w:t>
            </w: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360,097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4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132,453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119,183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140" w:type="dxa"/>
            <w:vAlign w:val="bottom"/>
          </w:tcPr>
          <w:p>
            <w:pPr>
              <w:spacing w:after="0"/>
              <w:rPr>
                <w:sz w:val="18"/>
                <w:szCs w:val="18"/>
                <w:color w:val="auto"/>
              </w:rPr>
            </w:pPr>
          </w:p>
        </w:tc>
        <w:tc>
          <w:tcPr>
            <w:tcW w:w="70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11.1 %</w:t>
            </w: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25.1 %</w:t>
            </w:r>
          </w:p>
        </w:tc>
      </w:tr>
      <w:tr>
        <w:trPr>
          <w:trHeight w:val="23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103.0 %</w:t>
            </w:r>
          </w:p>
        </w:tc>
      </w:tr>
      <w:tr>
        <w:trPr>
          <w:trHeight w:val="217"/>
        </w:trPr>
        <w:tc>
          <w:tcPr>
            <w:tcW w:w="16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1,015,125</w:t>
            </w: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$ 993,857</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21,268</w:t>
            </w: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2.1 %</w:t>
            </w:r>
          </w:p>
        </w:tc>
        <w:tc>
          <w:tcPr>
            <w:tcW w:w="160" w:type="dxa"/>
            <w:vAlign w:val="bottom"/>
            <w:tcBorders>
              <w:top w:val="single" w:sz="8" w:color="CCEEFF"/>
              <w:right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48,446</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44,217</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4,229</w:t>
            </w: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5318760</wp:posOffset>
            </wp:positionH>
            <wp:positionV relativeFrom="paragraph">
              <wp:posOffset>-8255</wp:posOffset>
            </wp:positionV>
            <wp:extent cx="4375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7515" cy="1714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-162560</wp:posOffset>
            </wp:positionV>
            <wp:extent cx="4286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ind w:left="320" w:hanging="317"/>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primarily represents over (under) allocated administrative costs and accrued bonus expense.</w:t>
      </w:r>
    </w:p>
    <w:p>
      <w:pPr>
        <w:spacing w:after="0" w:line="19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During the first quarter of 2019, management retrospectively pushed the related bonus expense from Corporate to their respective segment to better assess the reporting unit’s productivity.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North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7"/>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North Segment by Market</w:t>
            </w:r>
          </w:p>
        </w:tc>
        <w:tc>
          <w:tcPr>
            <w:tcW w:w="0" w:type="dxa"/>
            <w:vAlign w:val="bottom"/>
          </w:tcPr>
          <w:p>
            <w:pPr>
              <w:spacing w:after="0"/>
              <w:rPr>
                <w:sz w:val="1"/>
                <w:szCs w:val="1"/>
                <w:color w:val="auto"/>
              </w:rPr>
            </w:pPr>
          </w:p>
        </w:tc>
      </w:tr>
      <w:tr>
        <w:trPr>
          <w:trHeight w:val="156"/>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6"/>
          </w:tcPr>
          <w:p>
            <w:pPr>
              <w:jc w:val="center"/>
              <w:ind w:left="577"/>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2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080" w:type="dxa"/>
            <w:vAlign w:val="bottom"/>
            <w:gridSpan w:val="4"/>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Market Classification</w:t>
            </w:r>
          </w:p>
        </w:tc>
        <w:tc>
          <w:tcPr>
            <w:tcW w:w="4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62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99,847</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95,633</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36"/>
        </w:trPr>
        <w:tc>
          <w:tcPr>
            <w:tcW w:w="6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121,862</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127,416</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3"/>
        </w:trPr>
        <w:tc>
          <w:tcPr>
            <w:tcW w:w="62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Gross Sales</w:t>
            </w:r>
          </w:p>
        </w:tc>
        <w:tc>
          <w:tcPr>
            <w:tcW w:w="1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283,116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274,878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Net Sales</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278,333</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270,186</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Note: During 2019, certain customers were reclassified to a different market. Prior year information has been restated to reflect these changes.</w:t>
      </w:r>
    </w:p>
    <w:p>
      <w:pPr>
        <w:spacing w:after="0" w:line="2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sales attributable to the North reportable segment increased in the first quarter of 2019 compared to 2018 due to our retail and industrial markets. The increase in sales to the retail market was due to increased demand in our Northeast region. The increase in the industrial market was primarily due to acquired operations, $4.3 million, and the same factors previously discussed. The decrease in construction was due to the same factors previously discussed.</w:t>
      </w:r>
    </w:p>
    <w:p>
      <w:pPr>
        <w:spacing w:after="0" w:line="180"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Earnings from operations for the North reportable segment increased in the first quarter of 2019 by $7.2 million, or 99.4%, due to a $10.1 million increase in gross profits, offset by a $2.9 million increase in SG&amp;A expenses compared to last</w:t>
      </w:r>
    </w:p>
    <w:p>
      <w:pPr>
        <w:spacing w:after="0" w:line="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year. Gross profits were higher due to increases in sales and gross margins within the retail and industrial markets compared to last year. Opportunistic buying contributed to higher gross margins.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South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780" w:type="dxa"/>
            <w:vAlign w:val="bottom"/>
            <w:tcBorders>
              <w:bottom w:val="single" w:sz="8" w:color="auto"/>
            </w:tcBorders>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South Segment by Market</w:t>
            </w:r>
          </w:p>
        </w:tc>
        <w:tc>
          <w:tcPr>
            <w:tcW w:w="0" w:type="dxa"/>
            <w:vAlign w:val="bottom"/>
          </w:tcPr>
          <w:p>
            <w:pPr>
              <w:spacing w:after="0"/>
              <w:rPr>
                <w:sz w:val="1"/>
                <w:szCs w:val="1"/>
                <w:color w:val="auto"/>
              </w:rPr>
            </w:pPr>
          </w:p>
        </w:tc>
      </w:tr>
      <w:tr>
        <w:trPr>
          <w:trHeight w:val="156"/>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00" w:type="dxa"/>
            <w:vAlign w:val="bottom"/>
          </w:tcPr>
          <w:p>
            <w:pPr>
              <w:spacing w:after="0"/>
              <w:rPr>
                <w:sz w:val="13"/>
                <w:szCs w:val="13"/>
                <w:color w:val="auto"/>
              </w:rPr>
            </w:pPr>
          </w:p>
        </w:tc>
        <w:tc>
          <w:tcPr>
            <w:tcW w:w="2780" w:type="dxa"/>
            <w:vAlign w:val="bottom"/>
            <w:tcBorders>
              <w:bottom w:val="single" w:sz="8" w:color="auto"/>
            </w:tcBorders>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24"/>
        </w:trPr>
        <w:tc>
          <w:tcPr>
            <w:tcW w:w="3820" w:type="dxa"/>
            <w:vAlign w:val="bottom"/>
            <w:gridSpan w:val="2"/>
            <w:vMerge w:val="continue"/>
          </w:tcPr>
          <w:p>
            <w:pPr>
              <w:spacing w:after="0"/>
              <w:rPr>
                <w:sz w:val="10"/>
                <w:szCs w:val="10"/>
                <w:color w:val="auto"/>
              </w:rPr>
            </w:pPr>
          </w:p>
        </w:tc>
        <w:tc>
          <w:tcPr>
            <w:tcW w:w="2500" w:type="dxa"/>
            <w:vAlign w:val="bottom"/>
          </w:tcPr>
          <w:p>
            <w:pPr>
              <w:spacing w:after="0"/>
              <w:rPr>
                <w:sz w:val="10"/>
                <w:szCs w:val="10"/>
                <w:color w:val="auto"/>
              </w:rPr>
            </w:pPr>
          </w:p>
        </w:tc>
        <w:tc>
          <w:tcPr>
            <w:tcW w:w="98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0" w:type="dxa"/>
            <w:vAlign w:val="bottom"/>
          </w:tcPr>
          <w:p>
            <w:pPr>
              <w:spacing w:after="0"/>
              <w:rPr>
                <w:sz w:val="10"/>
                <w:szCs w:val="10"/>
                <w:color w:val="auto"/>
              </w:rPr>
            </w:pPr>
          </w:p>
        </w:tc>
        <w:tc>
          <w:tcPr>
            <w:tcW w:w="7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Market Classification</w:t>
            </w:r>
          </w:p>
        </w:tc>
        <w:tc>
          <w:tcPr>
            <w:tcW w:w="24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8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6"/>
                <w:szCs w:val="16"/>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2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$ 101,100</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4"/>
              </w:rPr>
              <w:t>$ 115,208</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106,002</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80,705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r>
        <w:trPr>
          <w:trHeight w:val="23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42,048</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Gross Sales</w:t>
            </w:r>
          </w:p>
        </w:tc>
        <w:tc>
          <w:tcPr>
            <w:tcW w:w="250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249,150</w:t>
            </w: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247,276</w:t>
            </w:r>
          </w:p>
        </w:tc>
        <w:tc>
          <w:tcPr>
            <w:tcW w:w="102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3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Net Sales</w:t>
            </w:r>
          </w:p>
        </w:tc>
        <w:tc>
          <w:tcPr>
            <w:tcW w:w="250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$ 244,242</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4"/>
              </w:rPr>
              <w:t>$ 242,020</w:t>
            </w:r>
          </w:p>
        </w:tc>
        <w:tc>
          <w:tcPr>
            <w:tcW w:w="102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Note: During 2019, certain customers were reclassified to a different market. Prior year information has been restated to reflect these changes.</w:t>
      </w:r>
    </w:p>
    <w:p>
      <w:pPr>
        <w:spacing w:after="0" w:line="20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Net sales attributable to the South reportable segment increased in the first quarter of 2019 compared to 2018 due to increased sales to our industrial market, offset by decreases in sales to our retail and construction markets. The decrease in sales to the retail market was due to a $10.7 million decrease, or 13.6%, in sales to our big-box customers and the same factors previously discussed. Acquired operations contributed $23.7 million to our growth in sales to the industrial market. The decrease in sales to the construction market was due to an $8.8 million decrease, or 23.6%, in sales to our manufactured housing customers in the Southeast and East Central regions due to a reduction in customer demand with certain customers.</w:t>
      </w:r>
    </w:p>
    <w:p>
      <w:pPr>
        <w:spacing w:after="0" w:line="18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Earnings from operations for the South reportable segment decreased in the first quarter of 2019, compared to the same period of 2018. Excluding the impact of the gain on the sale of our Medley, FL, plant in 2018, earnings from operations increased $3.7 million due to an increase of $7.2 million in gross profits offset by an increase in SG&amp;A expenses of $3.5</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1" w:right="137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million compared to the same period of 2018. Acquired operations contributed $0.8 million to our earnings from operations during the first quarter of 2019. The remaining $2.9 million increase in earnings from operations was primarily due to an increase in gross profit within our industrial market as a result of organic growth and opportunistic buying.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West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820" w:type="dxa"/>
            <w:vAlign w:val="bottom"/>
            <w:tcBorders>
              <w:bottom w:val="single" w:sz="8" w:color="auto"/>
            </w:tcBorders>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West Segment by Market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0" w:type="dxa"/>
            <w:vAlign w:val="bottom"/>
          </w:tcPr>
          <w:p>
            <w:pPr>
              <w:spacing w:after="0"/>
              <w:rPr>
                <w:sz w:val="13"/>
                <w:szCs w:val="13"/>
                <w:color w:val="auto"/>
              </w:rPr>
            </w:pPr>
          </w:p>
        </w:tc>
        <w:tc>
          <w:tcPr>
            <w:tcW w:w="2820" w:type="dxa"/>
            <w:vAlign w:val="bottom"/>
            <w:tcBorders>
              <w:bottom w:val="single" w:sz="8" w:color="auto"/>
            </w:tcBorders>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720" w:type="dxa"/>
            <w:vAlign w:val="bottom"/>
            <w:gridSpan w:val="2"/>
            <w:vMerge w:val="continue"/>
          </w:tcPr>
          <w:p>
            <w:pPr>
              <w:spacing w:after="0"/>
              <w:rPr>
                <w:sz w:val="10"/>
                <w:szCs w:val="10"/>
                <w:color w:val="auto"/>
              </w:rPr>
            </w:pPr>
          </w:p>
        </w:tc>
        <w:tc>
          <w:tcPr>
            <w:tcW w:w="2400" w:type="dxa"/>
            <w:vAlign w:val="bottom"/>
          </w:tcPr>
          <w:p>
            <w:pPr>
              <w:spacing w:after="0"/>
              <w:rPr>
                <w:sz w:val="10"/>
                <w:szCs w:val="10"/>
                <w:color w:val="auto"/>
              </w:rPr>
            </w:pPr>
          </w:p>
        </w:tc>
        <w:tc>
          <w:tcPr>
            <w:tcW w:w="96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960" w:type="dxa"/>
            <w:vAlign w:val="bottom"/>
            <w:gridSpan w:val="2"/>
          </w:tcPr>
          <w:p>
            <w:pPr>
              <w:jc w:val="right"/>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Market Classification</w:t>
            </w:r>
          </w:p>
        </w:tc>
        <w:tc>
          <w:tcPr>
            <w:tcW w:w="23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6"/>
                <w:szCs w:val="16"/>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2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$ 103,391</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$ 110,630</w:t>
            </w: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133,479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127,792</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128,284</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129,361</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Gross Sales</w:t>
            </w:r>
          </w:p>
        </w:tc>
        <w:tc>
          <w:tcPr>
            <w:tcW w:w="240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365,154</w:t>
            </w:r>
          </w:p>
        </w:tc>
        <w:tc>
          <w:tcPr>
            <w:tcW w:w="18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367,783</w:t>
            </w: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3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(5,057)</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(5,315)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Net Sales</w:t>
            </w:r>
          </w:p>
        </w:tc>
        <w:tc>
          <w:tcPr>
            <w:tcW w:w="240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$ 360,097</w:t>
            </w: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$ 362,468</w:t>
            </w:r>
          </w:p>
        </w:tc>
        <w:tc>
          <w:tcPr>
            <w:tcW w:w="2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Note: During 2019, certain customers were reclassified to a different market. Prior year information has been restated to reflect these changes.</w:t>
      </w:r>
    </w:p>
    <w:p>
      <w:pPr>
        <w:spacing w:after="0" w:line="2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sales attributable to the West reportable segment decreased in the first quarter of 2019 compared to 2018 due to decreases in sales to our retail and construction markets, offset by an increase in sales to our industrial market, primarily due to factors previously discussed.</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Earnings from operations for the West reportable segment increased in the first quarter of 2019 by $4.6 million, or 24.4%, compared to the same period in 2018 due to a $6.9 million increase in gross profit, offset by a $2.3 million increase in SG&amp;A expenses due to the same factors previously discussed.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 Other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76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7"/>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All Other Segment by Market</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center"/>
              <w:ind w:left="536"/>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820" w:type="dxa"/>
            <w:vAlign w:val="bottom"/>
            <w:gridSpan w:val="2"/>
            <w:vMerge w:val="continue"/>
          </w:tcPr>
          <w:p>
            <w:pPr>
              <w:spacing w:after="0"/>
              <w:rPr>
                <w:sz w:val="10"/>
                <w:szCs w:val="10"/>
                <w:color w:val="auto"/>
              </w:rPr>
            </w:pPr>
          </w:p>
        </w:tc>
        <w:tc>
          <w:tcPr>
            <w:tcW w:w="1900" w:type="dxa"/>
            <w:vAlign w:val="bottom"/>
          </w:tcPr>
          <w:p>
            <w:pPr>
              <w:spacing w:after="0"/>
              <w:rPr>
                <w:sz w:val="10"/>
                <w:szCs w:val="10"/>
                <w:color w:val="auto"/>
              </w:rPr>
            </w:pPr>
          </w:p>
        </w:tc>
        <w:tc>
          <w:tcPr>
            <w:tcW w:w="1020" w:type="dxa"/>
            <w:vAlign w:val="bottom"/>
            <w:gridSpan w:val="3"/>
          </w:tcPr>
          <w:p>
            <w:pPr>
              <w:jc w:val="right"/>
              <w:ind w:right="300"/>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080" w:type="dxa"/>
            <w:vAlign w:val="bottom"/>
            <w:gridSpan w:val="4"/>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Market Classification</w:t>
            </w:r>
          </w:p>
        </w:tc>
        <w:tc>
          <w:tcPr>
            <w:tcW w:w="24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1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53,150</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48,931</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8.6 %</w:t>
            </w:r>
          </w:p>
        </w:tc>
        <w:tc>
          <w:tcPr>
            <w:tcW w:w="4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Industrial </w:t>
            </w:r>
            <w:r>
              <w:rPr>
                <w:rFonts w:ascii="Times New Roman" w:cs="Times New Roman" w:eastAsia="Times New Roman" w:hAnsi="Times New Roman"/>
                <w:sz w:val="8"/>
                <w:szCs w:val="8"/>
                <w:color w:val="auto"/>
              </w:rPr>
              <w:t>(1)</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Construction </w:t>
            </w:r>
            <w:r>
              <w:rPr>
                <w:rFonts w:ascii="Times New Roman" w:cs="Times New Roman" w:eastAsia="Times New Roman" w:hAnsi="Times New Roman"/>
                <w:sz w:val="8"/>
                <w:szCs w:val="8"/>
                <w:color w:val="auto"/>
              </w:rPr>
              <w:t>(1)</w:t>
            </w:r>
          </w:p>
        </w:tc>
        <w:tc>
          <w:tcPr>
            <w:tcW w:w="1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47,642</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8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Gross Sales</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134,261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121,730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10.3 %</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Allowances &amp; Other</w:t>
            </w:r>
          </w:p>
        </w:tc>
        <w:tc>
          <w:tcPr>
            <w:tcW w:w="1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Net Sales</w:t>
            </w:r>
          </w:p>
        </w:tc>
        <w:tc>
          <w:tcPr>
            <w:tcW w:w="19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132,453</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119,183</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11.1 %</w:t>
            </w: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Note: During 2019, certain customers were reclassified to a different market. Prior year information has been restated to reflect these changes.</w:t>
      </w:r>
    </w:p>
    <w:p>
      <w:pPr>
        <w:spacing w:after="0" w:line="204" w:lineRule="exact"/>
        <w:rPr>
          <w:sz w:val="20"/>
          <w:szCs w:val="20"/>
          <w:color w:val="auto"/>
        </w:rPr>
      </w:pPr>
    </w:p>
    <w:p>
      <w:pPr>
        <w:ind w:left="820" w:right="280" w:hanging="331"/>
        <w:spacing w:after="0" w:line="241" w:lineRule="auto"/>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reclassified idX from industrial to the construction market to better align idX's core business, design, manufacture, distribution and installation of customized interior fixtures for a variety of retail and commercial structures, with the commercial construction market. The reclassification was recorded retrospectively.</w:t>
      </w:r>
    </w:p>
    <w:p>
      <w:pPr>
        <w:spacing w:after="0" w:line="39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All Other reportable segment consists of our Alternative Materials, International, idX, and certain other segments which are not significant.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sales attributable to All Other reportable segments increased in the first quarter of 2019 compared to 2018 due to increases in sales to all our markets for the same factors previously discussed. The increase in sales to the retail market was primarily due to a $14.6 million increase to one of our big-box customers within our Alternative Materials segment, offset by decreases in sales to certain independent retailers. Our sales to the construction market increased primarily due to our idX business unit.</w:t>
      </w:r>
    </w:p>
    <w:p>
      <w:pPr>
        <w:spacing w:after="0" w:line="18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Earnings from operations for All Other reportable segments decreased during the first quarter of 2019 by $0.8 million primarily due to expenses associated with an advertising campaign launched in 2019 for our Deckorators brand within our Consumer Products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significant off-balance sheet transactions.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for the periods indicated, a summary of our cash flow statement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58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4"/>
              <w:spacing w:after="0" w:line="12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0"/>
                <w:szCs w:val="10"/>
                <w:color w:val="auto"/>
              </w:rPr>
            </w:pPr>
          </w:p>
        </w:tc>
      </w:tr>
      <w:tr>
        <w:trPr>
          <w:trHeight w:val="180"/>
        </w:trPr>
        <w:tc>
          <w:tcPr>
            <w:tcW w:w="58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5"/>
                <w:szCs w:val="15"/>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(84,172)</w:t>
            </w:r>
          </w:p>
        </w:tc>
        <w:tc>
          <w:tcPr>
            <w:tcW w:w="20" w:type="dxa"/>
            <w:vAlign w:val="bottom"/>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111,570</w:t>
            </w:r>
          </w:p>
        </w:tc>
        <w:tc>
          <w:tcPr>
            <w:tcW w:w="20" w:type="dxa"/>
            <w:vAlign w:val="bottom"/>
          </w:tcPr>
          <w:p>
            <w:pPr>
              <w:spacing w:after="0"/>
              <w:rPr>
                <w:sz w:val="18"/>
                <w:szCs w:val="18"/>
                <w:color w:val="auto"/>
              </w:rPr>
            </w:pPr>
          </w:p>
        </w:tc>
      </w:tr>
      <w:tr>
        <w:trPr>
          <w:trHeight w:val="223"/>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Pr>
          <w:p>
            <w:pPr>
              <w:spacing w:after="0"/>
              <w:rPr>
                <w:sz w:val="19"/>
                <w:szCs w:val="19"/>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all cash and cash equivalents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28,935</w:t>
            </w:r>
          </w:p>
        </w:tc>
        <w:tc>
          <w:tcPr>
            <w:tcW w:w="20" w:type="dxa"/>
            <w:vAlign w:val="bottom"/>
          </w:tcPr>
          <w:p>
            <w:pPr>
              <w:spacing w:after="0"/>
              <w:rPr>
                <w:sz w:val="18"/>
                <w:szCs w:val="18"/>
                <w:color w:val="auto"/>
              </w:rPr>
            </w:pPr>
          </w:p>
        </w:tc>
      </w:tr>
      <w:tr>
        <w:trPr>
          <w:trHeight w:val="223"/>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28,816</w:t>
            </w:r>
          </w:p>
        </w:tc>
        <w:tc>
          <w:tcPr>
            <w:tcW w:w="20" w:type="dxa"/>
            <w:vAlign w:val="bottom"/>
          </w:tcPr>
          <w:p>
            <w:pPr>
              <w:spacing w:after="0"/>
              <w:rPr>
                <w:sz w:val="19"/>
                <w:szCs w:val="19"/>
                <w:color w:val="auto"/>
              </w:rPr>
            </w:pPr>
          </w:p>
        </w:tc>
      </w:tr>
      <w:tr>
        <w:trPr>
          <w:trHeight w:val="223"/>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57,751</w:t>
            </w:r>
          </w:p>
        </w:tc>
        <w:tc>
          <w:tcPr>
            <w:tcW w:w="20" w:type="dxa"/>
            <w:vAlign w:val="bottom"/>
          </w:tcPr>
          <w:p>
            <w:pPr>
              <w:spacing w:after="0"/>
              <w:rPr>
                <w:sz w:val="19"/>
                <w:szCs w:val="19"/>
                <w:color w:val="auto"/>
              </w:rPr>
            </w:pPr>
          </w:p>
        </w:tc>
      </w:tr>
    </w:tbl>
    <w:p>
      <w:pPr>
        <w:spacing w:after="0" w:line="19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general, we funded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due to our primary selling season which occurs during the period from March to September. Consequently, our working capital increases during our first and second quarters resulting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spacing w:after="0" w:line="184" w:lineRule="exact"/>
        <w:rPr>
          <w:sz w:val="20"/>
          <w:szCs w:val="20"/>
          <w:color w:val="auto"/>
        </w:rPr>
      </w:pPr>
    </w:p>
    <w:p>
      <w:pPr>
        <w:ind w:right="640"/>
        <w:spacing w:after="0" w:line="313" w:lineRule="auto"/>
        <w:rPr>
          <w:sz w:val="20"/>
          <w:szCs w:val="20"/>
          <w:color w:val="auto"/>
        </w:rPr>
      </w:pPr>
      <w:r>
        <w:rPr>
          <w:rFonts w:ascii="Times New Roman" w:cs="Times New Roman" w:eastAsia="Times New Roman" w:hAnsi="Times New Roman"/>
          <w:sz w:val="17"/>
          <w:szCs w:val="17"/>
          <w:color w:val="auto"/>
        </w:rPr>
        <w:t>Due to the seasonality of our business and the effects of the Lumber Market, we believe our cash cycle (days of sales outstanding plus days supply of inventory less days payables outstanding) is a good indicator of our working capital</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management. As indicated in the table below, our cash cycle increased to 65 days from 57 days during the first quarter of 2019 compared to the prior periods.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80"/>
        </w:trPr>
        <w:tc>
          <w:tcPr>
            <w:tcW w:w="5560" w:type="dxa"/>
            <w:vAlign w:val="bottom"/>
          </w:tcPr>
          <w:p>
            <w:pPr>
              <w:spacing w:after="0"/>
              <w:rPr>
                <w:sz w:val="15"/>
                <w:szCs w:val="15"/>
                <w:color w:val="auto"/>
              </w:rPr>
            </w:pPr>
          </w:p>
        </w:tc>
        <w:tc>
          <w:tcPr>
            <w:tcW w:w="16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24"/>
        </w:trPr>
        <w:tc>
          <w:tcPr>
            <w:tcW w:w="5560" w:type="dxa"/>
            <w:vAlign w:val="bottom"/>
          </w:tcPr>
          <w:p>
            <w:pPr>
              <w:spacing w:after="0"/>
              <w:rPr>
                <w:sz w:val="10"/>
                <w:szCs w:val="10"/>
                <w:color w:val="auto"/>
              </w:rPr>
            </w:pPr>
          </w:p>
        </w:tc>
        <w:tc>
          <w:tcPr>
            <w:tcW w:w="84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6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0"/>
                <w:szCs w:val="10"/>
                <w:color w:val="auto"/>
              </w:rPr>
            </w:pPr>
          </w:p>
        </w:tc>
      </w:tr>
      <w:tr>
        <w:trPr>
          <w:trHeight w:val="180"/>
        </w:trPr>
        <w:tc>
          <w:tcPr>
            <w:tcW w:w="55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Days of sales outstanding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Days supply of inventory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r>
      <w:tr>
        <w:trPr>
          <w:trHeight w:val="236"/>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Days payables outstanding</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10"/>
        </w:trPr>
        <w:tc>
          <w:tcPr>
            <w:tcW w:w="55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Days in cash cycle</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increase in days supply of inventory was primarily due to opportunistic buying when lumber prices were low during the fourth quarter of 2018 to improve 2019 gross profits.</w:t>
      </w:r>
    </w:p>
    <w:p>
      <w:pPr>
        <w:spacing w:after="0" w:line="16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the first three months of 2019, our cash used in operating activities was $55.8 million, which was comprised of net earnings of $36.0 million and $15.4 million of non-cash expenses, offset by a $107.2 million seasonal increase in working capital since the end of December 2018. Comparatively in the first three months of 2018, our cash used in operating activities was $84.2 million, which was comprised of net earnings of $33.6 million, and $8.0 million of non-cash expenses, offset by a $125.8 million seasonal increase in working capital since the end of December 2017. Our seasonal increase in working capital was lower in 2019 due to opportunistic inventory buying in the fourth quarter of 2018.</w:t>
      </w:r>
    </w:p>
    <w:p>
      <w:pPr>
        <w:spacing w:after="0" w:line="188"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Property, plant, and equipment comprised most of our cash used in investing activities during the first three months of 2019 and totaled $15.9 million. Outstanding purchase commitments on existing capital projects totaled approximately $18.5 million on March 30, 2019. We currently plan to spend up to $95 million for the year on capital expenditures. We intend to fund capital expenditures and purchase commitments through our operating cash flows for the balance of the year. Comparatively, capital expenditures and acquisitions were $24.4 million and $8.8 million, respectively, during the first three months of 2018. Proceeds from the sale of our Medley, FL, plant provided approximately $36 million in net cash proceeds.</w:t>
      </w:r>
    </w:p>
    <w:p>
      <w:pPr>
        <w:spacing w:after="0" w:line="174"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Cash flows from financing activities primarily consisted of net borrowings under our revolving credit facility of approximately $64.3 million, primarily due to seasonal working capital requirements.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30, 2019, we had $106.8 million outstanding on our $375 million revolving credit facility. The amount outstanding on the revolving credit facility includes letters of credit totaling approximately $9.8 million on March 30, 2019; as a result, we had approximately $258.3 million in remaining availability on our revolver after considering letters of credit. Additionally, we have $150 million in availability under an amended “shelf agreement” for long term debt with a current lender after considering the second quarter 2018 issuance of long-term Senior Notes.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March 30, 2019.</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ENVIRONMENTAL CONSIDERATIONS AND REGULATIONS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See Notes to Unaudited Consolidated Condensed Financial Statements, Note E, “Commitments, Contingencies, and Guarantees.”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preparing our consolidated financial statements, we follow accounting principles generally accepted in the United States. These principles require us to make certain estimates and apply judgments that affect our financial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position and results of operations. We continually review our accounting policies and financial information disclosures. There have been no material changes in our policies or estimates since December 29,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7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6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entered into forward foreign exchange rate contracts in 2018, which have since expired, and may enter into further forward contracts in the future associated with mitigating the foreign currency exchange risk. Historically, our hedge contracts are deemed immaterial to the financial statements, however any material hedge contract in the future will be disclosed.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820" w:right="40" w:hanging="331"/>
        <w:spacing w:after="0" w:line="261"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quarter ended March 30, 2019 (the “Evaluation Date”), have concluded that, as of such date, our disclosure controls and procedures were effective.</w:t>
      </w:r>
    </w:p>
    <w:p>
      <w:pPr>
        <w:spacing w:after="0" w:line="180" w:lineRule="exact"/>
        <w:rPr>
          <w:rFonts w:ascii="Times New Roman" w:cs="Times New Roman" w:eastAsia="Times New Roman" w:hAnsi="Times New Roman"/>
          <w:sz w:val="18"/>
          <w:szCs w:val="18"/>
          <w:color w:val="auto"/>
        </w:rPr>
      </w:pPr>
    </w:p>
    <w:p>
      <w:pPr>
        <w:ind w:left="820" w:right="260" w:hanging="331"/>
        <w:spacing w:after="0" w:line="266"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Controls</w:t>
      </w:r>
      <w:r>
        <w:rPr>
          <w:rFonts w:ascii="Times New Roman" w:cs="Times New Roman" w:eastAsia="Times New Roman" w:hAnsi="Times New Roman"/>
          <w:sz w:val="18"/>
          <w:szCs w:val="18"/>
          <w:color w:val="auto"/>
        </w:rPr>
        <w:t>. During the quarter ended March 30, 2019, there were no changes in our internal control over financial reporting that materially affected, or is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820" w:hanging="331"/>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20" w:hanging="331"/>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20" w:hanging="331"/>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Fiscal Month</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(b)</w:t>
            </w: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r>
      <w:tr>
        <w:trPr>
          <w:trHeight w:val="216"/>
        </w:trPr>
        <w:tc>
          <w:tcPr>
            <w:tcW w:w="58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30, 2018 - February 2, 2019</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1,860,354</w:t>
            </w:r>
          </w:p>
        </w:tc>
      </w:tr>
      <w:tr>
        <w:trPr>
          <w:trHeight w:val="216"/>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February 3 - March 2, 2019</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1,860,354</w:t>
            </w:r>
          </w:p>
        </w:tc>
      </w:tr>
      <w:tr>
        <w:trPr>
          <w:trHeight w:val="216"/>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3 - 30, 2019</w:t>
            </w: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1,860,354</w:t>
            </w:r>
          </w:p>
        </w:tc>
      </w:tr>
      <w:tr>
        <w:trPr>
          <w:trHeight w:val="108"/>
        </w:trPr>
        <w:tc>
          <w:tcPr>
            <w:tcW w:w="8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r>
    </w:tbl>
    <w:p>
      <w:pPr>
        <w:spacing w:after="0" w:line="90" w:lineRule="exact"/>
        <w:rPr>
          <w:sz w:val="20"/>
          <w:szCs w:val="20"/>
          <w:color w:val="auto"/>
        </w:rPr>
      </w:pPr>
    </w:p>
    <w:p>
      <w:pPr>
        <w:ind w:left="320" w:hanging="317"/>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w:t>
      </w:r>
    </w:p>
    <w:p>
      <w:pPr>
        <w:spacing w:after="0" w:line="27"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w:t>
      </w:r>
    </w:p>
    <w:p>
      <w:pPr>
        <w:spacing w:after="0" w:line="9"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 as part of publicly announced plans or programs.</w:t>
      </w:r>
    </w:p>
    <w:p>
      <w:pPr>
        <w:spacing w:after="0" w:line="9"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number of shares that may yet be purchased under the plans or programs.</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November 14, 2001, the Board of Directors approved a share repurchase program (which succeeded a previous program) allowing us to repurchase up to 2.5 million shares of our common stock. On October 14, 2011, our Board authorized an additional 2 million shares to be repurchased under our share repurchase program. The total number of remaining shares that may be repurchased under the program is approximately 1.9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00" w:right="119"/>
        <w:spacing w:after="0" w:line="282" w:lineRule="auto"/>
        <w:rPr>
          <w:sz w:val="20"/>
          <w:szCs w:val="20"/>
          <w:color w:val="auto"/>
        </w:rPr>
      </w:pPr>
      <w:r>
        <w:rPr>
          <w:rFonts w:ascii="Times New Roman" w:cs="Times New Roman" w:eastAsia="Times New Roman" w:hAnsi="Times New Roman"/>
          <w:sz w:val="18"/>
          <w:szCs w:val="18"/>
          <w:color w:val="auto"/>
        </w:rPr>
        <w:t>The following exhibits (listed by number corresponding to the Exhibit Table as Item 601 in Regulation S-K) are filed with this report:</w:t>
      </w:r>
    </w:p>
    <w:p>
      <w:pPr>
        <w:spacing w:after="0" w:line="175" w:lineRule="exact"/>
        <w:rPr>
          <w:sz w:val="20"/>
          <w:szCs w:val="20"/>
          <w:color w:val="auto"/>
        </w:rPr>
      </w:pPr>
    </w:p>
    <w:p>
      <w:pPr>
        <w:ind w:left="520" w:hanging="51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39" w:hanging="584"/>
        <w:spacing w:after="0" w:line="282" w:lineRule="auto"/>
        <w:tabs>
          <w:tab w:leader="none" w:pos="1100" w:val="left"/>
        </w:tabs>
        <w:numPr>
          <w:ilvl w:val="1"/>
          <w:numId w:val="25"/>
        </w:numPr>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Certificate of the Chief Executive Officer of Universal Forest Products, Inc., pursuant to Section 302 of the</w:t>
        </w:r>
      </w:hyperlink>
      <w:r>
        <w:rPr>
          <w:rFonts w:ascii="Times New Roman" w:cs="Times New Roman" w:eastAsia="Times New Roman" w:hAnsi="Times New Roman"/>
          <w:sz w:val="18"/>
          <w:szCs w:val="18"/>
          <w:u w:val="single" w:color="auto"/>
          <w:color w:val="0000EE"/>
        </w:rPr>
        <w:t xml:space="preserve"> </w:t>
      </w:r>
      <w:hyperlink w:anchor="page33">
        <w:r>
          <w:rPr>
            <w:rFonts w:ascii="Times New Roman" w:cs="Times New Roman" w:eastAsia="Times New Roman" w:hAnsi="Times New Roman"/>
            <w:sz w:val="18"/>
            <w:szCs w:val="18"/>
            <w:u w:val="single" w:color="auto"/>
            <w:color w:val="0000EE"/>
          </w:rPr>
          <w:t>Sarbanes-Oxley Act of 2002 (18 U.S.C. 1350).</w:t>
        </w:r>
      </w:hyperlink>
    </w:p>
    <w:p>
      <w:pPr>
        <w:spacing w:after="0" w:line="161" w:lineRule="exact"/>
        <w:rPr>
          <w:rFonts w:ascii="Times New Roman" w:cs="Times New Roman" w:eastAsia="Times New Roman" w:hAnsi="Times New Roman"/>
          <w:sz w:val="18"/>
          <w:szCs w:val="18"/>
          <w:u w:val="single" w:color="auto"/>
          <w:color w:val="0000EE"/>
        </w:rPr>
      </w:pPr>
    </w:p>
    <w:p>
      <w:pPr>
        <w:ind w:left="1100" w:right="39" w:hanging="584"/>
        <w:spacing w:after="0" w:line="282" w:lineRule="auto"/>
        <w:tabs>
          <w:tab w:leader="none" w:pos="1100" w:val="left"/>
        </w:tabs>
        <w:numPr>
          <w:ilvl w:val="1"/>
          <w:numId w:val="25"/>
        </w:numPr>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Certificate of the Chief Financial Officer of Universal Forest Products, Inc., pursuant to Section 302 of the</w:t>
        </w:r>
      </w:hyperlink>
      <w:r>
        <w:rPr>
          <w:rFonts w:ascii="Times New Roman" w:cs="Times New Roman" w:eastAsia="Times New Roman" w:hAnsi="Times New Roman"/>
          <w:sz w:val="18"/>
          <w:szCs w:val="18"/>
          <w:u w:val="single" w:color="auto"/>
          <w:color w:val="0000EE"/>
        </w:rPr>
        <w:t xml:space="preserve"> </w:t>
      </w:r>
      <w:hyperlink w:anchor="page34">
        <w:r>
          <w:rPr>
            <w:rFonts w:ascii="Times New Roman" w:cs="Times New Roman" w:eastAsia="Times New Roman" w:hAnsi="Times New Roman"/>
            <w:sz w:val="18"/>
            <w:szCs w:val="18"/>
            <w:u w:val="single" w:color="auto"/>
            <w:color w:val="0000EE"/>
          </w:rPr>
          <w:t>Sarbanes-Oxley Act of 2002 (18 U.S.C. 1350).</w:t>
        </w:r>
      </w:hyperlink>
    </w:p>
    <w:p>
      <w:pPr>
        <w:spacing w:after="0" w:line="161" w:lineRule="exact"/>
        <w:rPr>
          <w:rFonts w:ascii="Times New Roman" w:cs="Times New Roman" w:eastAsia="Times New Roman" w:hAnsi="Times New Roman"/>
          <w:sz w:val="18"/>
          <w:szCs w:val="18"/>
          <w:u w:val="single" w:color="auto"/>
          <w:color w:val="0000EE"/>
        </w:rPr>
      </w:pPr>
    </w:p>
    <w:p>
      <w:pPr>
        <w:ind w:left="520" w:hanging="517"/>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39" w:hanging="584"/>
        <w:spacing w:after="0" w:line="282" w:lineRule="auto"/>
        <w:tabs>
          <w:tab w:leader="none" w:pos="1100" w:val="left"/>
        </w:tabs>
        <w:numPr>
          <w:ilvl w:val="1"/>
          <w:numId w:val="25"/>
        </w:numPr>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Certificate of the Chief Executive Officer of Universal Forest Products, Inc., pursuant to Section 906 of the</w:t>
        </w:r>
      </w:hyperlink>
      <w:r>
        <w:rPr>
          <w:rFonts w:ascii="Times New Roman" w:cs="Times New Roman" w:eastAsia="Times New Roman" w:hAnsi="Times New Roman"/>
          <w:sz w:val="18"/>
          <w:szCs w:val="18"/>
          <w:u w:val="single" w:color="auto"/>
          <w:color w:val="0000EE"/>
        </w:rPr>
        <w:t xml:space="preserve"> </w:t>
      </w:r>
      <w:hyperlink w:anchor="page35">
        <w:r>
          <w:rPr>
            <w:rFonts w:ascii="Times New Roman" w:cs="Times New Roman" w:eastAsia="Times New Roman" w:hAnsi="Times New Roman"/>
            <w:sz w:val="18"/>
            <w:szCs w:val="18"/>
            <w:u w:val="single" w:color="auto"/>
            <w:color w:val="0000EE"/>
          </w:rPr>
          <w:t>Sarbanes-Oxley Act of 2002 (18 U.S.C. 1350).</w:t>
        </w:r>
      </w:hyperlink>
    </w:p>
    <w:p>
      <w:pPr>
        <w:spacing w:after="0" w:line="161" w:lineRule="exact"/>
        <w:rPr>
          <w:rFonts w:ascii="Times New Roman" w:cs="Times New Roman" w:eastAsia="Times New Roman" w:hAnsi="Times New Roman"/>
          <w:sz w:val="18"/>
          <w:szCs w:val="18"/>
          <w:u w:val="single" w:color="auto"/>
          <w:color w:val="0000EE"/>
        </w:rPr>
      </w:pPr>
    </w:p>
    <w:p>
      <w:pPr>
        <w:ind w:left="1100" w:right="39" w:hanging="584"/>
        <w:spacing w:after="0" w:line="282" w:lineRule="auto"/>
        <w:tabs>
          <w:tab w:leader="none" w:pos="1100" w:val="left"/>
        </w:tabs>
        <w:numPr>
          <w:ilvl w:val="1"/>
          <w:numId w:val="25"/>
        </w:numPr>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Certificate of the Chief Financial Officer of Universal Forest Products, Inc., pursuant to Section 906 of the</w:t>
        </w:r>
      </w:hyperlink>
      <w:r>
        <w:rPr>
          <w:rFonts w:ascii="Times New Roman" w:cs="Times New Roman" w:eastAsia="Times New Roman" w:hAnsi="Times New Roman"/>
          <w:sz w:val="18"/>
          <w:szCs w:val="18"/>
          <w:u w:val="single" w:color="auto"/>
          <w:color w:val="0000EE"/>
        </w:rPr>
        <w:t xml:space="preserve"> </w:t>
      </w:r>
      <w:hyperlink w:anchor="page36">
        <w:r>
          <w:rPr>
            <w:rFonts w:ascii="Times New Roman" w:cs="Times New Roman" w:eastAsia="Times New Roman" w:hAnsi="Times New Roman"/>
            <w:sz w:val="18"/>
            <w:szCs w:val="18"/>
            <w:u w:val="single" w:color="auto"/>
            <w:color w:val="0000EE"/>
          </w:rPr>
          <w:t>Sarbanes-Oxley Act of 2002 (18 U.S.C. 1350).</w:t>
        </w:r>
      </w:hyperlink>
    </w:p>
    <w:p>
      <w:pPr>
        <w:spacing w:after="0" w:line="162" w:lineRule="exact"/>
        <w:rPr>
          <w:rFonts w:ascii="Times New Roman" w:cs="Times New Roman" w:eastAsia="Times New Roman" w:hAnsi="Times New Roman"/>
          <w:sz w:val="18"/>
          <w:szCs w:val="18"/>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101</w:t>
        <w:tab/>
        <w:t>Interactive Data File.</w:t>
      </w:r>
    </w:p>
    <w:p>
      <w:pPr>
        <w:spacing w:after="0" w:line="225" w:lineRule="exact"/>
        <w:rPr>
          <w:rFonts w:ascii="Times New Roman" w:cs="Times New Roman" w:eastAsia="Times New Roman" w:hAnsi="Times New Roman"/>
          <w:sz w:val="18"/>
          <w:szCs w:val="18"/>
          <w:color w:val="auto"/>
        </w:rPr>
      </w:pPr>
    </w:p>
    <w:p>
      <w:pPr>
        <w:ind w:left="520"/>
        <w:spacing w:after="0"/>
        <w:tabs>
          <w:tab w:leader="none" w:pos="1080" w:val="left"/>
        </w:tabs>
        <w:rPr>
          <w:sz w:val="20"/>
          <w:szCs w:val="20"/>
          <w:color w:val="auto"/>
        </w:rPr>
      </w:pPr>
      <w:r>
        <w:rPr>
          <w:rFonts w:ascii="Times New Roman" w:cs="Times New Roman" w:eastAsia="Times New Roman" w:hAnsi="Times New Roman"/>
          <w:sz w:val="18"/>
          <w:szCs w:val="18"/>
          <w:color w:val="auto"/>
        </w:rPr>
        <w:t>(INS)</w:t>
      </w:r>
      <w:r>
        <w:rPr>
          <w:sz w:val="20"/>
          <w:szCs w:val="20"/>
          <w:color w:val="auto"/>
        </w:rPr>
        <w:tab/>
      </w:r>
      <w:r>
        <w:rPr>
          <w:rFonts w:ascii="Times New Roman" w:cs="Times New Roman" w:eastAsia="Times New Roman" w:hAnsi="Times New Roman"/>
          <w:sz w:val="17"/>
          <w:szCs w:val="17"/>
          <w:color w:val="auto"/>
        </w:rPr>
        <w:t>XBRL Instance Document.</w:t>
      </w:r>
    </w:p>
    <w:p>
      <w:pPr>
        <w:spacing w:after="0" w:line="225" w:lineRule="exact"/>
        <w:rPr>
          <w:rFonts w:ascii="Times New Roman" w:cs="Times New Roman" w:eastAsia="Times New Roman" w:hAnsi="Times New Roman"/>
          <w:sz w:val="18"/>
          <w:szCs w:val="18"/>
          <w:color w:val="auto"/>
        </w:rPr>
      </w:pPr>
    </w:p>
    <w:p>
      <w:pPr>
        <w:ind w:left="520"/>
        <w:spacing w:after="0"/>
        <w:rPr>
          <w:sz w:val="20"/>
          <w:szCs w:val="20"/>
          <w:color w:val="auto"/>
        </w:rPr>
      </w:pPr>
      <w:r>
        <w:rPr>
          <w:rFonts w:ascii="Times New Roman" w:cs="Times New Roman" w:eastAsia="Times New Roman" w:hAnsi="Times New Roman"/>
          <w:sz w:val="18"/>
          <w:szCs w:val="18"/>
          <w:color w:val="auto"/>
        </w:rPr>
        <w:t>(SCH) XBRL Schema Document.</w:t>
      </w:r>
    </w:p>
    <w:p>
      <w:pPr>
        <w:spacing w:after="0" w:line="225" w:lineRule="exact"/>
        <w:rPr>
          <w:rFonts w:ascii="Times New Roman" w:cs="Times New Roman" w:eastAsia="Times New Roman" w:hAnsi="Times New Roman"/>
          <w:sz w:val="18"/>
          <w:szCs w:val="18"/>
          <w:color w:val="auto"/>
        </w:rPr>
      </w:pPr>
    </w:p>
    <w:p>
      <w:pPr>
        <w:ind w:left="520"/>
        <w:spacing w:after="0"/>
        <w:rPr>
          <w:sz w:val="20"/>
          <w:szCs w:val="20"/>
          <w:color w:val="auto"/>
        </w:rPr>
      </w:pPr>
      <w:r>
        <w:rPr>
          <w:rFonts w:ascii="Times New Roman" w:cs="Times New Roman" w:eastAsia="Times New Roman" w:hAnsi="Times New Roman"/>
          <w:sz w:val="18"/>
          <w:szCs w:val="18"/>
          <w:color w:val="auto"/>
        </w:rPr>
        <w:t>(CAL) XBRL Taxonomy Extension Calculation Linkbase Document.</w:t>
      </w:r>
    </w:p>
    <w:p>
      <w:pPr>
        <w:spacing w:after="0" w:line="225" w:lineRule="exact"/>
        <w:rPr>
          <w:rFonts w:ascii="Times New Roman" w:cs="Times New Roman" w:eastAsia="Times New Roman" w:hAnsi="Times New Roman"/>
          <w:sz w:val="18"/>
          <w:szCs w:val="18"/>
          <w:color w:val="auto"/>
        </w:rPr>
      </w:pPr>
    </w:p>
    <w:p>
      <w:pPr>
        <w:ind w:left="520"/>
        <w:spacing w:after="0"/>
        <w:rPr>
          <w:sz w:val="20"/>
          <w:szCs w:val="20"/>
          <w:color w:val="auto"/>
        </w:rPr>
      </w:pPr>
      <w:r>
        <w:rPr>
          <w:rFonts w:ascii="Times New Roman" w:cs="Times New Roman" w:eastAsia="Times New Roman" w:hAnsi="Times New Roman"/>
          <w:sz w:val="18"/>
          <w:szCs w:val="18"/>
          <w:color w:val="auto"/>
        </w:rPr>
        <w:t>(LAB) XBRL Taxonomy Extension Label Linkbase Document.</w:t>
      </w:r>
    </w:p>
    <w:p>
      <w:pPr>
        <w:spacing w:after="0" w:line="225" w:lineRule="exact"/>
        <w:rPr>
          <w:rFonts w:ascii="Times New Roman" w:cs="Times New Roman" w:eastAsia="Times New Roman" w:hAnsi="Times New Roman"/>
          <w:sz w:val="18"/>
          <w:szCs w:val="18"/>
          <w:color w:val="auto"/>
        </w:rPr>
      </w:pPr>
    </w:p>
    <w:p>
      <w:pPr>
        <w:ind w:left="520"/>
        <w:spacing w:after="0"/>
        <w:rPr>
          <w:sz w:val="20"/>
          <w:szCs w:val="20"/>
          <w:color w:val="auto"/>
        </w:rPr>
      </w:pPr>
      <w:r>
        <w:rPr>
          <w:rFonts w:ascii="Times New Roman" w:cs="Times New Roman" w:eastAsia="Times New Roman" w:hAnsi="Times New Roman"/>
          <w:sz w:val="18"/>
          <w:szCs w:val="18"/>
          <w:color w:val="auto"/>
        </w:rPr>
        <w:t>(PRE)  XBRL Taxonomy Extension Presentation Linkbase Document.</w:t>
      </w:r>
    </w:p>
    <w:p>
      <w:pPr>
        <w:spacing w:after="0" w:line="225" w:lineRule="exact"/>
        <w:rPr>
          <w:rFonts w:ascii="Times New Roman" w:cs="Times New Roman" w:eastAsia="Times New Roman" w:hAnsi="Times New Roman"/>
          <w:sz w:val="18"/>
          <w:szCs w:val="18"/>
          <w:color w:val="auto"/>
        </w:rPr>
      </w:pPr>
    </w:p>
    <w:p>
      <w:pPr>
        <w:ind w:left="520"/>
        <w:spacing w:after="0"/>
        <w:rPr>
          <w:sz w:val="20"/>
          <w:szCs w:val="20"/>
          <w:color w:val="auto"/>
        </w:rPr>
      </w:pPr>
      <w:r>
        <w:rPr>
          <w:rFonts w:ascii="Times New Roman" w:cs="Times New Roman" w:eastAsia="Times New Roman" w:hAnsi="Times New Roman"/>
          <w:sz w:val="18"/>
          <w:szCs w:val="18"/>
          <w:color w:val="auto"/>
        </w:rPr>
        <w:t>(DEF)  XBRL Taxonomy Extension Definition Linkbase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39"/>
          </w:cols>
          <w:pgMar w:left="14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May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May 1, 2019</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Matthew J. Missad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-130810</wp:posOffset>
            </wp:positionV>
            <wp:extent cx="27101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R. Cole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-130810</wp:posOffset>
            </wp:positionV>
            <wp:extent cx="27101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20" w:space="720"/>
            <w:col w:w="4599"/>
          </w:cols>
          <w:pgMar w:left="1420" w:top="121" w:right="1440" w:bottom="1440" w:gutter="0" w:footer="0" w:header="0"/>
          <w:type w:val="continuous"/>
        </w:sect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type w:val="continuous"/>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Missad, certify that:</w:t>
      </w:r>
    </w:p>
    <w:p>
      <w:pPr>
        <w:spacing w:after="0" w:line="197" w:lineRule="exact"/>
        <w:rPr>
          <w:sz w:val="20"/>
          <w:szCs w:val="20"/>
          <w:color w:val="auto"/>
        </w:rPr>
      </w:pPr>
    </w:p>
    <w:p>
      <w:pPr>
        <w:ind w:left="480" w:hanging="477"/>
        <w:spacing w:after="0" w:line="207" w:lineRule="exact"/>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Universal Forest Products, Inc.;</w:t>
      </w:r>
    </w:p>
    <w:p>
      <w:pPr>
        <w:spacing w:after="0" w:line="253" w:lineRule="exact"/>
        <w:rPr>
          <w:rFonts w:ascii="Times New Roman" w:cs="Times New Roman" w:eastAsia="Times New Roman" w:hAnsi="Times New Roman"/>
          <w:sz w:val="18"/>
          <w:szCs w:val="18"/>
          <w:color w:val="auto"/>
        </w:rPr>
      </w:pPr>
    </w:p>
    <w:p>
      <w:pPr>
        <w:jc w:val="both"/>
        <w:ind w:left="480" w:hanging="477"/>
        <w:spacing w:after="0" w:line="266" w:lineRule="auto"/>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jc w:val="both"/>
        <w:ind w:left="480" w:hanging="477"/>
        <w:spacing w:after="0" w:line="266" w:lineRule="auto"/>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jc w:val="both"/>
        <w:ind w:left="480" w:hanging="477"/>
        <w:spacing w:after="0" w:line="229" w:lineRule="exact"/>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8" w:lineRule="exact"/>
        <w:rPr>
          <w:rFonts w:ascii="Times New Roman" w:cs="Times New Roman" w:eastAsia="Times New Roman" w:hAnsi="Times New Roman"/>
          <w:sz w:val="18"/>
          <w:szCs w:val="18"/>
          <w:color w:val="auto"/>
        </w:rPr>
      </w:pPr>
    </w:p>
    <w:p>
      <w:pPr>
        <w:jc w:val="both"/>
        <w:ind w:left="820" w:hanging="331"/>
        <w:spacing w:after="0" w:line="261" w:lineRule="auto"/>
        <w:tabs>
          <w:tab w:leader="none" w:pos="8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8"/>
          <w:szCs w:val="18"/>
          <w:color w:val="auto"/>
        </w:rPr>
      </w:pPr>
    </w:p>
    <w:p>
      <w:pPr>
        <w:jc w:val="both"/>
        <w:ind w:left="820" w:hanging="331"/>
        <w:spacing w:after="0" w:line="261" w:lineRule="auto"/>
        <w:tabs>
          <w:tab w:leader="none" w:pos="8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8"/>
          <w:szCs w:val="18"/>
          <w:color w:val="auto"/>
        </w:rPr>
      </w:pPr>
    </w:p>
    <w:p>
      <w:pPr>
        <w:jc w:val="both"/>
        <w:ind w:left="820" w:hanging="331"/>
        <w:spacing w:after="0" w:line="266" w:lineRule="auto"/>
        <w:tabs>
          <w:tab w:leader="none" w:pos="8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jc w:val="both"/>
        <w:ind w:left="820" w:hanging="331"/>
        <w:spacing w:after="0" w:line="261" w:lineRule="auto"/>
        <w:tabs>
          <w:tab w:leader="none" w:pos="8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8"/>
          <w:szCs w:val="18"/>
          <w:color w:val="auto"/>
        </w:rPr>
      </w:pPr>
    </w:p>
    <w:p>
      <w:pPr>
        <w:jc w:val="both"/>
        <w:ind w:left="480" w:hanging="477"/>
        <w:spacing w:after="0" w:line="266" w:lineRule="auto"/>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6" w:lineRule="exact"/>
        <w:rPr>
          <w:rFonts w:ascii="Times New Roman" w:cs="Times New Roman" w:eastAsia="Times New Roman" w:hAnsi="Times New Roman"/>
          <w:sz w:val="18"/>
          <w:szCs w:val="18"/>
          <w:color w:val="auto"/>
        </w:rPr>
      </w:pPr>
    </w:p>
    <w:p>
      <w:pPr>
        <w:jc w:val="both"/>
        <w:ind w:left="820" w:hanging="331"/>
        <w:spacing w:after="0" w:line="266" w:lineRule="auto"/>
        <w:tabs>
          <w:tab w:leader="none" w:pos="8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820" w:hanging="331"/>
        <w:spacing w:after="0" w:line="282" w:lineRule="auto"/>
        <w:tabs>
          <w:tab w:leader="none" w:pos="8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1, 2019</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 Matthew J. Missad</w:t>
            </w:r>
          </w:p>
        </w:tc>
      </w:tr>
      <w:tr>
        <w:trPr>
          <w:trHeight w:val="21"/>
        </w:trPr>
        <w:tc>
          <w:tcPr>
            <w:tcW w:w="4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Missad,</w:t>
            </w:r>
          </w:p>
        </w:tc>
      </w:tr>
      <w:tr>
        <w:trPr>
          <w:trHeight w:val="234"/>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r>
        <w:trPr>
          <w:trHeight w:val="453"/>
        </w:trPr>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7" w:right="141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 Cole, certify that:</w:t>
      </w:r>
    </w:p>
    <w:p>
      <w:pPr>
        <w:spacing w:after="0" w:line="197" w:lineRule="exact"/>
        <w:rPr>
          <w:sz w:val="20"/>
          <w:szCs w:val="20"/>
          <w:color w:val="auto"/>
        </w:rPr>
      </w:pPr>
    </w:p>
    <w:p>
      <w:pPr>
        <w:ind w:left="480" w:hanging="477"/>
        <w:spacing w:after="0" w:line="207" w:lineRule="exact"/>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Universal Forest Products, Inc.;</w:t>
      </w:r>
    </w:p>
    <w:p>
      <w:pPr>
        <w:spacing w:after="0" w:line="253" w:lineRule="exact"/>
        <w:rPr>
          <w:rFonts w:ascii="Times New Roman" w:cs="Times New Roman" w:eastAsia="Times New Roman" w:hAnsi="Times New Roman"/>
          <w:sz w:val="18"/>
          <w:szCs w:val="18"/>
          <w:color w:val="auto"/>
        </w:rPr>
      </w:pPr>
    </w:p>
    <w:p>
      <w:pPr>
        <w:jc w:val="both"/>
        <w:ind w:left="480" w:hanging="477"/>
        <w:spacing w:after="0" w:line="266" w:lineRule="auto"/>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jc w:val="both"/>
        <w:ind w:left="480" w:hanging="477"/>
        <w:spacing w:after="0" w:line="266" w:lineRule="auto"/>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jc w:val="both"/>
        <w:ind w:left="480" w:hanging="477"/>
        <w:spacing w:after="0" w:line="229" w:lineRule="exact"/>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8" w:lineRule="exact"/>
        <w:rPr>
          <w:rFonts w:ascii="Times New Roman" w:cs="Times New Roman" w:eastAsia="Times New Roman" w:hAnsi="Times New Roman"/>
          <w:sz w:val="18"/>
          <w:szCs w:val="18"/>
          <w:color w:val="auto"/>
        </w:rPr>
      </w:pPr>
    </w:p>
    <w:p>
      <w:pPr>
        <w:jc w:val="both"/>
        <w:ind w:left="820" w:hanging="331"/>
        <w:spacing w:after="0" w:line="261" w:lineRule="auto"/>
        <w:tabs>
          <w:tab w:leader="none" w:pos="8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8"/>
          <w:szCs w:val="18"/>
          <w:color w:val="auto"/>
        </w:rPr>
      </w:pPr>
    </w:p>
    <w:p>
      <w:pPr>
        <w:jc w:val="both"/>
        <w:ind w:left="820" w:hanging="331"/>
        <w:spacing w:after="0" w:line="261" w:lineRule="auto"/>
        <w:tabs>
          <w:tab w:leader="none" w:pos="8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8"/>
          <w:szCs w:val="18"/>
          <w:color w:val="auto"/>
        </w:rPr>
      </w:pPr>
    </w:p>
    <w:p>
      <w:pPr>
        <w:jc w:val="both"/>
        <w:ind w:left="820" w:hanging="331"/>
        <w:spacing w:after="0" w:line="266" w:lineRule="auto"/>
        <w:tabs>
          <w:tab w:leader="none" w:pos="8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jc w:val="both"/>
        <w:ind w:left="820" w:hanging="331"/>
        <w:spacing w:after="0" w:line="261" w:lineRule="auto"/>
        <w:tabs>
          <w:tab w:leader="none" w:pos="8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8"/>
          <w:szCs w:val="18"/>
          <w:color w:val="auto"/>
        </w:rPr>
      </w:pPr>
    </w:p>
    <w:p>
      <w:pPr>
        <w:jc w:val="both"/>
        <w:ind w:left="480" w:hanging="477"/>
        <w:spacing w:after="0" w:line="266" w:lineRule="auto"/>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6" w:lineRule="exact"/>
        <w:rPr>
          <w:rFonts w:ascii="Times New Roman" w:cs="Times New Roman" w:eastAsia="Times New Roman" w:hAnsi="Times New Roman"/>
          <w:sz w:val="18"/>
          <w:szCs w:val="18"/>
          <w:color w:val="auto"/>
        </w:rPr>
      </w:pPr>
    </w:p>
    <w:p>
      <w:pPr>
        <w:jc w:val="both"/>
        <w:ind w:left="820" w:hanging="331"/>
        <w:spacing w:after="0" w:line="266" w:lineRule="auto"/>
        <w:tabs>
          <w:tab w:leader="none" w:pos="8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820" w:hanging="331"/>
        <w:spacing w:after="0" w:line="282" w:lineRule="auto"/>
        <w:tabs>
          <w:tab w:leader="none" w:pos="8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1, 2019</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1"/>
        </w:trPr>
        <w:tc>
          <w:tcPr>
            <w:tcW w:w="4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tc>
      </w:tr>
      <w:tr>
        <w:trPr>
          <w:trHeight w:val="453"/>
        </w:trPr>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7" w:right="14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FOREST PRODUCTS,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Matthew J. Missad, Chief Executive Officer of Universal Forest Products, Inc., certify, to the best of my knowledge and belief, pursuant to Section 906 of the Sarbanes-Oxley Act of 2002 (18 U.S.C. 1350) that:</w:t>
      </w:r>
    </w:p>
    <w:p>
      <w:pPr>
        <w:spacing w:after="0" w:line="133" w:lineRule="exact"/>
        <w:rPr>
          <w:sz w:val="20"/>
          <w:szCs w:val="20"/>
          <w:color w:val="auto"/>
        </w:rPr>
      </w:pPr>
    </w:p>
    <w:p>
      <w:pPr>
        <w:jc w:val="both"/>
        <w:ind w:left="560" w:hanging="557"/>
        <w:spacing w:after="0" w:line="239" w:lineRule="exact"/>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quarterly period ended March, 30, 2019, which this statement accompanies, fully complies with requirements of Section 13(a) or 15(d) of the Securities Exchange Act of 1934; and</w:t>
      </w:r>
    </w:p>
    <w:p>
      <w:pPr>
        <w:spacing w:after="0" w:line="170" w:lineRule="exact"/>
        <w:rPr>
          <w:rFonts w:ascii="Times New Roman" w:cs="Times New Roman" w:eastAsia="Times New Roman" w:hAnsi="Times New Roman"/>
          <w:sz w:val="18"/>
          <w:szCs w:val="18"/>
          <w:color w:val="auto"/>
        </w:rPr>
      </w:pPr>
    </w:p>
    <w:p>
      <w:pPr>
        <w:jc w:val="right"/>
        <w:ind w:left="640" w:hanging="637"/>
        <w:spacing w:after="0" w:line="239" w:lineRule="exact"/>
        <w:tabs>
          <w:tab w:leader="none" w:pos="5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quarterly period ended March 30, 2019, fairly presents, in all material respects, the financial condition and results of operations of Universal Forest</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Products, Inc.</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UNIVERSAL FOREST PRODUCTS, INC.</w:t>
            </w:r>
          </w:p>
        </w:tc>
      </w:tr>
      <w:tr>
        <w:trPr>
          <w:trHeight w:val="392"/>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1, 2019</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By:  /s/ Matthew J. Missad</w:t>
            </w:r>
          </w:p>
        </w:tc>
      </w:tr>
      <w:tr>
        <w:trPr>
          <w:trHeight w:val="21"/>
        </w:trPr>
        <w:tc>
          <w:tcPr>
            <w:tcW w:w="4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Missad,</w:t>
            </w:r>
          </w:p>
        </w:tc>
      </w:tr>
      <w:tr>
        <w:trPr>
          <w:trHeight w:val="234"/>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35" w:name="page36"/>
    <w:bookmarkEnd w:id="35"/>
    <w:p>
      <w:pPr>
        <w:ind w:left="8060"/>
        <w:spacing w:after="0"/>
        <w:rPr>
          <w:sz w:val="20"/>
          <w:szCs w:val="20"/>
          <w:color w:val="auto"/>
        </w:rPr>
      </w:pPr>
      <w:r>
        <w:rPr>
          <w:rFonts w:ascii="Times New Roman" w:cs="Times New Roman" w:eastAsia="Times New Roman" w:hAnsi="Times New Roman"/>
          <w:sz w:val="17"/>
          <w:szCs w:val="17"/>
          <w:b w:val="1"/>
          <w:bCs w:val="1"/>
          <w:color w:val="auto"/>
        </w:rPr>
        <w:t>Exhibit 32(b)</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UNIVERSAL FOREST PRODUCTS,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33" w:lineRule="exact"/>
        <w:rPr>
          <w:sz w:val="20"/>
          <w:szCs w:val="20"/>
          <w:color w:val="auto"/>
        </w:rPr>
      </w:pPr>
    </w:p>
    <w:p>
      <w:pPr>
        <w:ind w:left="560" w:hanging="557"/>
        <w:spacing w:after="0" w:line="239" w:lineRule="exact"/>
        <w:tabs>
          <w:tab w:leader="none" w:pos="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quarterly period ended March 30, 2019, which this statement accompanies, fully complies with requirements of Section 13(a) or 15(d) of the Securities Exchange Act of 1934; and</w:t>
      </w:r>
    </w:p>
    <w:p>
      <w:pPr>
        <w:spacing w:after="0" w:line="170" w:lineRule="exact"/>
        <w:rPr>
          <w:rFonts w:ascii="Times New Roman" w:cs="Times New Roman" w:eastAsia="Times New Roman" w:hAnsi="Times New Roman"/>
          <w:sz w:val="18"/>
          <w:szCs w:val="18"/>
          <w:color w:val="auto"/>
        </w:rPr>
      </w:pPr>
    </w:p>
    <w:p>
      <w:pPr>
        <w:jc w:val="both"/>
        <w:ind w:left="560" w:hanging="557"/>
        <w:spacing w:after="0" w:line="232" w:lineRule="exact"/>
        <w:tabs>
          <w:tab w:leader="none" w:pos="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quarterly period ended March 30, 2019, fairly presents, in all material respects, the financial condition and results of operations of Universal Forest Products, Inc.</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UNIVERSAL FOREST PRODUCTS, INC.</w:t>
            </w:r>
          </w:p>
        </w:tc>
      </w:tr>
      <w:tr>
        <w:trPr>
          <w:trHeight w:val="392"/>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May 1, 2019</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21"/>
        </w:trPr>
        <w:tc>
          <w:tcPr>
            <w:tcW w:w="4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1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upperLetter"/>
      <w:start w:val="1"/>
    </w:lvl>
  </w:abstractNum>
  <w:abstractNum w:abstractNumId="3">
    <w:nsid w:val="4E6AFB66"/>
    <w:multiLevelType w:val="hybridMultilevel"/>
    <w:lvl w:ilvl="0">
      <w:lvlJc w:val="left"/>
      <w:lvlText w:val="%1."/>
      <w:numFmt w:val="upperLetter"/>
      <w:start w:val="3"/>
    </w:lvl>
  </w:abstractNum>
  <w:abstractNum w:abstractNumId="4">
    <w:nsid w:val="25E45D32"/>
    <w:multiLevelType w:val="hybridMultilevel"/>
    <w:lvl w:ilvl="0">
      <w:lvlJc w:val="left"/>
      <w:lvlText w:val="%1."/>
      <w:numFmt w:val="upperLetter"/>
      <w:start w:val="4"/>
    </w:lvl>
  </w:abstractNum>
  <w:abstractNum w:abstractNumId="5">
    <w:nsid w:val="519B500D"/>
    <w:multiLevelType w:val="hybridMultilevel"/>
    <w:lvl w:ilvl="0">
      <w:lvlJc w:val="left"/>
      <w:lvlText w:val="%1."/>
      <w:numFmt w:val="upperLetter"/>
      <w:start w:val="5"/>
    </w:lvl>
  </w:abstractNum>
  <w:abstractNum w:abstractNumId="6">
    <w:nsid w:val="431BD7B7"/>
    <w:multiLevelType w:val="hybridMultilevel"/>
    <w:lvl w:ilvl="0">
      <w:lvlJc w:val="left"/>
      <w:lvlText w:val="%1."/>
      <w:numFmt w:val="upperLetter"/>
      <w:start w:val="6"/>
    </w:lvl>
  </w:abstractNum>
  <w:abstractNum w:abstractNumId="7">
    <w:nsid w:val="3F2DBA31"/>
    <w:multiLevelType w:val="hybridMultilevel"/>
    <w:lvl w:ilvl="0">
      <w:lvlJc w:val="left"/>
      <w:lvlText w:val="%1."/>
      <w:numFmt w:val="upperLetter"/>
      <w:start w:val="7"/>
    </w:lvl>
  </w:abstractNum>
  <w:abstractNum w:abstractNumId="8">
    <w:nsid w:val="7C83E458"/>
    <w:multiLevelType w:val="hybridMultilevel"/>
    <w:lvl w:ilvl="0">
      <w:lvlJc w:val="left"/>
      <w:lvlText w:val="(%1)"/>
      <w:numFmt w:val="lowerLetter"/>
      <w:start w:val="2"/>
    </w:lvl>
  </w:abstractNum>
  <w:abstractNum w:abstractNumId="9">
    <w:nsid w:val="257130A3"/>
    <w:multiLevelType w:val="hybridMultilevel"/>
    <w:lvl w:ilvl="0">
      <w:lvlJc w:val="left"/>
      <w:lvlText w:val="%1."/>
      <w:numFmt w:val="upperLetter"/>
      <w:start w:val="8"/>
    </w:lvl>
  </w:abstractNum>
  <w:abstractNum w:abstractNumId="10">
    <w:nsid w:val="62BBD95A"/>
    <w:multiLevelType w:val="hybridMultilevel"/>
    <w:lvl w:ilvl="0">
      <w:lvlJc w:val="left"/>
      <w:lvlText w:val="%1."/>
      <w:numFmt w:val="upperLetter"/>
      <w:start w:val="9"/>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decimal"/>
      <w:start w:val="31"/>
    </w:lvl>
    <w:lvl w:ilvl="1">
      <w:lvlJc w:val="left"/>
      <w:lvlText w:val="(%2)"/>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2019-12-28T13:36:22Z</dcterms:created>
  <dcterms:modified xsi:type="dcterms:W3CDTF">2019-12-28T13:36:22Z</dcterms:modified>
</cp:coreProperties>
</file>