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97471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420" w:hanging="315"/>
        <w:spacing w:after="0" w:line="242" w:lineRule="auto"/>
        <w:tabs>
          <w:tab w:leader="none" w:pos="4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ANNUAL REPORT PURSUANT TO SECTION 15(d) OF THE SECURITIES EXCHANGE ACT OF 1934 [NO FEE REQUIRED].</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3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4"/>
          <w:szCs w:val="24"/>
          <w:color w:val="auto"/>
        </w:rPr>
      </w:pPr>
    </w:p>
    <w:p>
      <w:pPr>
        <w:spacing w:after="0" w:line="214" w:lineRule="exact"/>
        <w:rPr>
          <w:sz w:val="24"/>
          <w:szCs w:val="24"/>
          <w:color w:val="auto"/>
        </w:rPr>
      </w:pPr>
    </w:p>
    <w:p>
      <w:pPr>
        <w:ind w:left="440" w:right="200" w:hanging="252"/>
        <w:spacing w:after="0" w:line="242" w:lineRule="auto"/>
        <w:tabs>
          <w:tab w:leader="none" w:pos="44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[NO FEE REQUIRED].</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0-22684</w:t>
      </w:r>
    </w:p>
    <w:p>
      <w:pPr>
        <w:spacing w:after="0" w:line="3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UFP Industries, Inc. Employees' Profit Sharing</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401(k) Plan</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(Full title of the plan and the address of the plan, if different from that of issuer named below)</w:t>
      </w: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1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Grand Rapids, Michigan 49525-9736</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248920</wp:posOffset>
            </wp:positionV>
            <wp:extent cx="596646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340"/>
          </w:cols>
          <w:pgMar w:left="1240" w:top="686" w:right="1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auto"/>
                <w:w w:val="99"/>
              </w:rPr>
              <w:t>Years Ended December 31, 2024 and 2023</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4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Statements of Net Assets Available for Benefits</w:t>
            </w:r>
          </w:p>
        </w:tc>
        <w:tc>
          <w:tcPr>
            <w:tcW w:w="4300" w:type="dxa"/>
            <w:vAlign w:val="bottom"/>
            <w:tcBorders>
              <w:bottom w:val="single" w:sz="8" w:color="CCEEFF"/>
            </w:tcBorders>
            <w:gridSpan w:val="4"/>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Net Assets Available for Benefits</w:t>
            </w:r>
          </w:p>
        </w:tc>
        <w:tc>
          <w:tcPr>
            <w:tcW w:w="1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4i—Schedule of Assets (Held at End of Year)</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4" w:lineRule="exact"/>
        <w:rPr>
          <w:sz w:val="20"/>
          <w:szCs w:val="20"/>
          <w:color w:val="auto"/>
        </w:rPr>
      </w:pPr>
    </w:p>
    <w:p>
      <w:pPr>
        <w:ind w:right="3240"/>
        <w:spacing w:after="0" w:line="273" w:lineRule="auto"/>
        <w:rPr>
          <w:sz w:val="20"/>
          <w:szCs w:val="20"/>
          <w:color w:val="auto"/>
        </w:rPr>
      </w:pPr>
      <w:r>
        <w:rPr>
          <w:rFonts w:ascii="Times New Roman" w:cs="Times New Roman" w:eastAsia="Times New Roman" w:hAnsi="Times New Roman"/>
          <w:sz w:val="17"/>
          <w:szCs w:val="17"/>
          <w:color w:val="auto"/>
        </w:rPr>
        <w:t>To Plan Participants and Members of the Profit Sharing and 401(k) Investment Committee UFP Industries, Inc. Employees’ Profit Sharing and 401(k) Plan Grand Rapids, Michigan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the UFP Industries, Inc. Employees’ Profit Sharing and 401(k) Plan (the “Plan”) as of December 31, 2024 and 2023,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2024 and 2023, and the changes in net assets available for benefits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7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Information</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supplemental information in the accompanying Schedule of Assets (Held at End of Year) as of December 31, 2024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Plan’s auditor since 2009.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13, 2025</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761,535,758</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663,076,617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22,567,678</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17,345,498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639,586</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2,083,669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another qualified plan (Note 3)</w:t>
            </w:r>
          </w:p>
        </w:tc>
        <w:tc>
          <w:tcPr>
            <w:tcW w:w="460" w:type="dxa"/>
            <w:vAlign w:val="bottom"/>
          </w:tcPr>
          <w:p>
            <w:pPr>
              <w:spacing w:after="0"/>
              <w:rPr>
                <w:sz w:val="18"/>
                <w:szCs w:val="18"/>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52,114,275</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784,743,022</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734,620,059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investment broker (equal to total liabilities)</w:t>
            </w:r>
          </w:p>
        </w:tc>
        <w:tc>
          <w:tcPr>
            <w:tcW w:w="4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(39,338)</w:t>
            </w: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784,703,684</w:t>
            </w:r>
          </w:p>
        </w:tc>
        <w:tc>
          <w:tcPr>
            <w:tcW w:w="36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734,597,537</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10,437,194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6,993,146</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48,158,696</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133,711,720</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58,595,890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140,704,866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45,071,584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41,180,327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Rollover contributions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6,177,504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3,702,008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7,799,735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8,824,663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1,803,223</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1,172,507</w:t>
            </w:r>
          </w:p>
        </w:tc>
        <w:tc>
          <w:tcPr>
            <w:tcW w:w="0" w:type="dxa"/>
            <w:vAlign w:val="bottom"/>
          </w:tcPr>
          <w:p>
            <w:pPr>
              <w:spacing w:after="0"/>
              <w:rPr>
                <w:sz w:val="1"/>
                <w:szCs w:val="1"/>
                <w:color w:val="auto"/>
              </w:rPr>
            </w:pPr>
          </w:p>
        </w:tc>
      </w:tr>
      <w:tr>
        <w:trPr>
          <w:trHeight w:val="21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Additions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119,447,936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195,584,371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(68,844,827)</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(45,942,627)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(496,962)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(481,421)</w:t>
            </w:r>
          </w:p>
        </w:tc>
        <w:tc>
          <w:tcPr>
            <w:tcW w:w="0" w:type="dxa"/>
            <w:vAlign w:val="bottom"/>
          </w:tcPr>
          <w:p>
            <w:pPr>
              <w:spacing w:after="0"/>
              <w:rPr>
                <w:sz w:val="1"/>
                <w:szCs w:val="1"/>
                <w:color w:val="auto"/>
              </w:rPr>
            </w:pPr>
          </w:p>
        </w:tc>
      </w:tr>
      <w:tr>
        <w:trPr>
          <w:trHeight w:val="20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Deductions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(69,341,789)</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(46,424,048)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50,106,147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149,160,323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Transfer from another qualified plan (Note 3)</w:t>
            </w:r>
          </w:p>
        </w:tc>
        <w:tc>
          <w:tcPr>
            <w:tcW w:w="3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52,114,275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734,597,537</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533,322,939</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784,703,684</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734,597,537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5" w:name="page6"/>
    <w:bookmarkEnd w:id="5"/>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302" w:lineRule="exact"/>
        <w:rPr>
          <w:sz w:val="20"/>
          <w:szCs w:val="20"/>
          <w:color w:val="auto"/>
        </w:rPr>
      </w:pPr>
    </w:p>
    <w:p>
      <w:pPr>
        <w:ind w:left="3" w:right="7180" w:hanging="3"/>
        <w:spacing w:after="0" w:line="597" w:lineRule="auto"/>
        <w:tabs>
          <w:tab w:leader="none" w:pos="48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following description of the UFP Industries, Inc. (the “Company”) Employees’ Profit Sharing and 401(k) Plan (the Plan) provides only general information. Participants should refer to the Plan Document, as amended and restated, for a more complete description of the Plan’s provisions.</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310"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Principal Trust Company (“Principal”) serves as the trustee and recordkeeper for the Plan, and provides custody of assets, trading, income collection, contribution deposit processing and paying agent services. The trustee is legally responsible for maintaining the assets of the Plan, making distribution payments as directed by the Company and generally performing all other acts deemed necessary or proper to fulfill its responsibility as set forth in the trust agreement pertaining to the Plan.</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Eligibility and Enrollment</w:t>
      </w:r>
    </w:p>
    <w:p>
      <w:pPr>
        <w:spacing w:after="0" w:line="310" w:lineRule="exact"/>
        <w:rPr>
          <w:sz w:val="20"/>
          <w:szCs w:val="20"/>
          <w:color w:val="auto"/>
        </w:rPr>
      </w:pPr>
    </w:p>
    <w:p>
      <w:pPr>
        <w:jc w:val="both"/>
        <w:ind w:left="3"/>
        <w:spacing w:after="0" w:line="309" w:lineRule="auto"/>
        <w:rPr>
          <w:sz w:val="20"/>
          <w:szCs w:val="20"/>
          <w:color w:val="auto"/>
        </w:rPr>
      </w:pPr>
      <w:r>
        <w:rPr>
          <w:rFonts w:ascii="Times New Roman" w:cs="Times New Roman" w:eastAsia="Times New Roman" w:hAnsi="Times New Roman"/>
          <w:sz w:val="18"/>
          <w:szCs w:val="18"/>
          <w:color w:val="auto"/>
        </w:rPr>
        <w:t>The Plan is a defined-contribution, profit sharing and 401(k) plan that provides tax-deferred benefits, and as of January 1, 2024, Roth after-tax contributions and In-Plan Roth transfers, for substantially all eligible employees of UFP Industries, Inc. (Plan Sponsor) or other participating employers,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220" w:lineRule="exact"/>
        <w:rPr>
          <w:sz w:val="20"/>
          <w:szCs w:val="20"/>
          <w:color w:val="auto"/>
        </w:rPr>
      </w:pPr>
    </w:p>
    <w:p>
      <w:pPr>
        <w:jc w:val="both"/>
        <w:ind w:left="3"/>
        <w:spacing w:after="0" w:line="329" w:lineRule="auto"/>
        <w:rPr>
          <w:sz w:val="20"/>
          <w:szCs w:val="20"/>
          <w:color w:val="auto"/>
        </w:rPr>
      </w:pPr>
      <w:r>
        <w:rPr>
          <w:rFonts w:ascii="Times New Roman" w:cs="Times New Roman" w:eastAsia="Times New Roman" w:hAnsi="Times New Roman"/>
          <w:sz w:val="18"/>
          <w:szCs w:val="18"/>
          <w:color w:val="auto"/>
        </w:rPr>
        <w:t>All newly eligible employees are automatically enrolled in the Plan at a deferral level of 3% of eligible compensation. Eligible employees are those who are 18 years or older, have completed 60 days of employment and are hired to work more than 180 days.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0" w:lineRule="exact"/>
        <w:rPr>
          <w:sz w:val="20"/>
          <w:szCs w:val="20"/>
          <w:color w:val="auto"/>
        </w:rPr>
      </w:pP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202" w:lineRule="exact"/>
        <w:rPr>
          <w:sz w:val="20"/>
          <w:szCs w:val="20"/>
          <w:color w:val="auto"/>
        </w:rPr>
      </w:pPr>
    </w:p>
    <w:p>
      <w:pPr>
        <w:jc w:val="both"/>
        <w:ind w:left="3"/>
        <w:spacing w:after="0" w:line="305" w:lineRule="auto"/>
        <w:rPr>
          <w:sz w:val="20"/>
          <w:szCs w:val="20"/>
          <w:color w:val="auto"/>
        </w:rPr>
      </w:pPr>
      <w:r>
        <w:rPr>
          <w:rFonts w:ascii="Times New Roman" w:cs="Times New Roman" w:eastAsia="Times New Roman" w:hAnsi="Times New Roman"/>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 on the first 6% of each participant’s eligible compensation, in 2024 and 2023. Additional matching contributions were not provided to hourly participants for 2024 and approximately $1,819,000 were provided to hourly participants for 2023. These amounts are not guaranteed and may vary from year to year as the Plan Sponsor is not obligated to make such contributions.</w:t>
      </w:r>
    </w:p>
    <w:p>
      <w:pPr>
        <w:spacing w:after="0" w:line="224"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participants who had at least 1,000 hours of service during the plan year and are allocated to each participant’s account in the same ratio that each participant’s total compensation for the Plan year bears to the total compensation of all participants for such year. No discretionary profit sharing contributions were made in 2024 or 2023.</w:t>
      </w:r>
    </w:p>
    <w:p>
      <w:pPr>
        <w:sectPr>
          <w:pgSz w:w="11900" w:h="16838" w:orient="portrait"/>
          <w:cols w:equalWidth="0" w:num="1">
            <w:col w:w="9423"/>
          </w:cols>
          <w:pgMar w:left="1237" w:top="295" w:right="1239" w:bottom="1440" w:gutter="0" w:footer="0" w:header="0"/>
        </w:sectPr>
      </w:pPr>
    </w:p>
    <w:p>
      <w:pPr>
        <w:spacing w:after="0" w:line="19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511810</wp:posOffset>
            </wp:positionV>
            <wp:extent cx="5983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contributions are subject to a vesting schedule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Years of Service</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Vesting Percentage</w:t>
            </w:r>
          </w:p>
        </w:tc>
      </w:tr>
      <w:tr>
        <w:trPr>
          <w:trHeight w:val="216"/>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2</w:t>
            </w:r>
          </w:p>
        </w:tc>
        <w:tc>
          <w:tcPr>
            <w:tcW w:w="8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but less than 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but less than 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but less than 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but less than 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or more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4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Plan was amended effective January 1, 2012 to be designated as an Employee Stock Ownership Plan for those Participants with a portion of their account balance invested in the UFP Industries, Inc. Stock Fund. This provision allows those Participants who are 100% vested the opportunity to elect to have the dividends on the employer stock fund paid to them in cash. Effective January 1, 2025, the Plan was amended to vest all UFP Industries, Inc. dividend payments at 100% and allow participants to elect to have the dividends on the fund paid to them in cash.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participant account balances, as defined in the Plan Document.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310"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Upon termination of employment, a participant may not be fully vested in the employer’s contributions that have been allocated to his or her account. Forfeitures are used to offset the Plan Sponsor’s matching contributions and for reasonable administrative expenses. During 2024 and 2023, forfeitures of approximately $1,529,000 and $1,655,000, respectively, were used to offset the Plan Sponsor’s matching contributions.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31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Participants may borrow from their account a minimum amount of $1,000 up to a maximum equal to the lesser of $50,000 or 50% of their vested account balance, reduced by any outstanding loans as outlined in the Plan Document. Loan terms range from one to five years or up to 25 years for the purchase of a residence. The loans bear interest at a rate equal to the prime rate (7.50% at December 31, 2024) plus 2% calculated on a daily basis. Interest rates on outstanding loans ranged from 4.2% to 11.5% at December 31,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0"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7" w:name="page8"/>
    <w:bookmarkEnd w:id="7"/>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212" w:lineRule="exact"/>
        <w:rPr>
          <w:sz w:val="20"/>
          <w:szCs w:val="20"/>
          <w:color w:val="auto"/>
        </w:rPr>
      </w:pPr>
    </w:p>
    <w:p>
      <w:pPr>
        <w:ind w:left="3" w:right="6560" w:hanging="3"/>
        <w:spacing w:after="0" w:line="597" w:lineRule="auto"/>
        <w:tabs>
          <w:tab w:leader="none" w:pos="48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Accounting</w:t>
      </w: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The financial statements of the UFP Industries, Inc. Employees’ Profit Sharing and 401(k) Plan are presented on the accrual method of accounting.</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83"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by management through June 13, 2025, the date these financial statements were available to be issued.</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24"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0" w:lineRule="exact"/>
        <w:rPr>
          <w:sz w:val="20"/>
          <w:szCs w:val="20"/>
          <w:color w:val="auto"/>
        </w:rPr>
      </w:pPr>
    </w:p>
    <w:p>
      <w:pPr>
        <w:jc w:val="both"/>
        <w:ind w:left="3" w:right="20"/>
        <w:spacing w:after="0" w:line="307" w:lineRule="auto"/>
        <w:rPr>
          <w:sz w:val="20"/>
          <w:szCs w:val="20"/>
          <w:color w:val="auto"/>
        </w:rPr>
      </w:pPr>
      <w:r>
        <w:rPr>
          <w:rFonts w:ascii="Times New Roman" w:cs="Times New Roman" w:eastAsia="Times New Roman" w:hAnsi="Times New Roman"/>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Plan’s investments are stated at estimated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16" w:lineRule="exact"/>
        <w:rPr>
          <w:sz w:val="20"/>
          <w:szCs w:val="20"/>
          <w:color w:val="auto"/>
        </w:rPr>
      </w:pPr>
    </w:p>
    <w:p>
      <w:pPr>
        <w:jc w:val="both"/>
        <w:ind w:left="3"/>
        <w:spacing w:after="0" w:line="309" w:lineRule="auto"/>
        <w:rPr>
          <w:sz w:val="20"/>
          <w:szCs w:val="20"/>
          <w:color w:val="auto"/>
        </w:rPr>
      </w:pPr>
      <w:r>
        <w:rPr>
          <w:rFonts w:ascii="Times New Roman" w:cs="Times New Roman" w:eastAsia="Times New Roman" w:hAnsi="Times New Roman"/>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ectPr>
          <w:pgSz w:w="11900" w:h="16838" w:orient="portrait"/>
          <w:cols w:equalWidth="0" w:num="1">
            <w:col w:w="9423"/>
          </w:cols>
          <w:pgMar w:left="1237" w:top="295" w:right="1239" w:bottom="1440" w:gutter="0" w:footer="0" w:header="0"/>
        </w:sectPr>
      </w:pPr>
    </w:p>
    <w:p>
      <w:pPr>
        <w:spacing w:after="0" w:line="15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5983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unrestricted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w:t>
      </w:r>
    </w:p>
    <w:p>
      <w:pPr>
        <w:spacing w:after="0" w:line="199"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observable inputs such as quoted prices for similar assets or liabilities in active markets,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methodologies were used to measure the fair value of the Plan’s investments: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quoted market prices in an exchange and active market in which the securities are traded.</w:t>
      </w:r>
    </w:p>
    <w:p>
      <w:pPr>
        <w:spacing w:after="0" w:line="306"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Money Market Fund: </w:t>
      </w:r>
      <w:r>
        <w:rPr>
          <w:rFonts w:ascii="Times New Roman" w:cs="Times New Roman" w:eastAsia="Times New Roman" w:hAnsi="Times New Roman"/>
          <w:sz w:val="18"/>
          <w:szCs w:val="18"/>
          <w:color w:val="auto"/>
        </w:rPr>
        <w:t>Valued at quoted market prices in an exchange and active market, which represent the net asset value (NAV)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held by the Plan. The money market fund seeks to maintain a $1.00 NAV.</w:t>
      </w:r>
    </w:p>
    <w:p>
      <w:pPr>
        <w:spacing w:after="0" w:line="199"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quoted market prices in an exchange and active market, which represent the net asset values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 Plan.</w:t>
      </w:r>
    </w:p>
    <w:p>
      <w:pPr>
        <w:spacing w:after="0" w:line="199"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8"/>
          <w:szCs w:val="18"/>
          <w:i w:val="1"/>
          <w:iCs w:val="1"/>
          <w:color w:val="auto"/>
        </w:rPr>
        <w:t xml:space="preserve">Common Investment Trust (CIT): </w:t>
      </w:r>
      <w:r>
        <w:rPr>
          <w:rFonts w:ascii="Times New Roman" w:cs="Times New Roman" w:eastAsia="Times New Roman" w:hAnsi="Times New Roman"/>
          <w:sz w:val="18"/>
          <w:szCs w:val="18"/>
          <w:color w:val="auto"/>
        </w:rPr>
        <w:t>The fair value of participation units held in the Principal Stable Value Fund are based on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value, which is obtained from audited information reported by the issuer of the common collective trust at year-end and is used as a practical expedient. This practical expedient is not used when it is determined to be probable that the fund will sell the investment for an amount different than the reported NAV. Investments held by a CIT are required to be reported at fair value, however, contract value is the relevant measurement characteristic for that portion of the net assets of a CIT attributable to fully benefit-responsive investment contracts. This is because contract value is the amount participants would receive if they were to initiate permitted transactions under the terms of the underlying defined-contribution plans. There are no unfunded commitments relating to these investments.</w:t>
      </w:r>
    </w:p>
    <w:p>
      <w:pPr>
        <w:spacing w:after="0" w:line="22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The investment objective of the Principal Stable Value Fund is to provide preservation of capital, relatively stable returns consistent with its comparatively low risk profile, and liquidity for benefit-responsive payments. Withdrawals from the Principal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Principal Stable Value Fund may waive this requirement at its discretion.</w:t>
      </w:r>
    </w:p>
    <w:p>
      <w:pPr>
        <w:spacing w:after="0" w:line="22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8"/>
          <w:szCs w:val="18"/>
          <w:color w:val="auto"/>
        </w:rPr>
        <w:t>The UFP Industries, Inc. Stock Fund (the Fund) is tracked on a unitized basis. At December 31, 2024, the Fund consists of common stock of UFP Industries, Inc. (Plan Sponsor) and funds that are held in the Allspring Government Money Market Fund that are sufficient to meet the Fund’s daily cash needs. Unitization of the Fund allows for daily trades. The value of a unit reflects the combined market value of the common stock and the Allspring Government Money Market Fund held by the Fund. At December 31, 2024 and 2023, 1,503,069 and 1,620,263 units, respectively, were outstanding with a value of $108.62 and $120.47 per unit, respectively.</w:t>
      </w:r>
    </w:p>
    <w:p>
      <w:pPr>
        <w:spacing w:after="0" w:line="228"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ectPr>
          <w:pgSz w:w="11900" w:h="16838" w:orient="portrait"/>
          <w:cols w:equalWidth="0" w:num="1">
            <w:col w:w="9420"/>
          </w:cols>
          <w:pgMar w:left="1240" w:top="295" w:right="1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537845</wp:posOffset>
            </wp:positionV>
            <wp:extent cx="5983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type w:val="continuous"/>
        </w:sectPr>
      </w:pPr>
    </w:p>
    <w:bookmarkStart w:id="9" w:name="page10"/>
    <w:bookmarkEnd w:id="9"/>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
        <w:spacing w:after="0" w:line="321"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Notes receivables from participants are measured at their unpaid principal balance plus any accrued but unpaid interest.</w:t>
      </w:r>
    </w:p>
    <w:p>
      <w:pPr>
        <w:spacing w:after="0" w:line="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Delinquent notes receivable from participants are deemed distributions based upon the terms of the Plan document.</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Concentration of Investments</w:t>
      </w:r>
    </w:p>
    <w:p>
      <w:pPr>
        <w:spacing w:after="0" w:line="310"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Included in investments at December 31, 2024 and 2023 are shares of the Plan Sponsor’s common stock with an aggregate fair value of $160,064,047 and $191,491,497, respectively. This investment represents 21% and 29% of total investments at December 31, 2024 and 2023, respectively. A significant decline in the market value of the Plan Sponsor’s stock would significantly affect the net assets available for benefits.</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310" w:lineRule="exact"/>
        <w:rPr>
          <w:sz w:val="20"/>
          <w:szCs w:val="20"/>
          <w:color w:val="auto"/>
        </w:rPr>
      </w:pPr>
    </w:p>
    <w:p>
      <w:pPr>
        <w:jc w:val="both"/>
        <w:ind w:left="3"/>
        <w:spacing w:after="0" w:line="309" w:lineRule="auto"/>
        <w:rPr>
          <w:sz w:val="20"/>
          <w:szCs w:val="20"/>
          <w:color w:val="auto"/>
        </w:rPr>
      </w:pPr>
      <w:r>
        <w:rPr>
          <w:rFonts w:ascii="Times New Roman" w:cs="Times New Roman" w:eastAsia="Times New Roman" w:hAnsi="Times New Roman"/>
          <w:sz w:val="18"/>
          <w:szCs w:val="18"/>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216" w:lineRule="exact"/>
        <w:rPr>
          <w:sz w:val="20"/>
          <w:szCs w:val="20"/>
          <w:color w:val="auto"/>
        </w:rPr>
      </w:pPr>
    </w:p>
    <w:p>
      <w:pPr>
        <w:ind w:left="483" w:hanging="483"/>
        <w:spacing w:after="0"/>
        <w:tabs>
          <w:tab w:leader="none" w:pos="48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and Mergers</w:t>
      </w:r>
    </w:p>
    <w:p>
      <w:pPr>
        <w:spacing w:after="0" w:line="310"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Effective on December 31, 2023, the PalletOne, Inc. 401(k) Retirement Plan merged with the Plan. As a result, all assets of the PalletOne, Inc. 401(k) Retirement Plan (an affiliated plan) were transferred into the Plan. The PalletOne, Inc. 401(k) Retirement Plan no longer exists as a separate plan. The Plan recorded a receivable from another qualified plan of $52,114,275 in the Statement of Net Assets Available for Benefits as of December 31, 2023.</w:t>
      </w:r>
    </w:p>
    <w:p>
      <w:pPr>
        <w:spacing w:after="0" w:line="219" w:lineRule="exact"/>
        <w:rPr>
          <w:sz w:val="20"/>
          <w:szCs w:val="20"/>
          <w:color w:val="auto"/>
        </w:rPr>
      </w:pPr>
    </w:p>
    <w:p>
      <w:pPr>
        <w:ind w:left="483" w:hanging="483"/>
        <w:spacing w:after="0"/>
        <w:tabs>
          <w:tab w:leader="none" w:pos="48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3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tables below set forth by level within the fair value hierarchy the Plan’s investments as of December 31, 2024 and 2023.</w:t>
      </w:r>
    </w:p>
    <w:p>
      <w:pPr>
        <w:spacing w:after="0" w:line="289" w:lineRule="exact"/>
        <w:rPr>
          <w:sz w:val="20"/>
          <w:szCs w:val="20"/>
          <w:color w:val="auto"/>
        </w:rPr>
      </w:pPr>
    </w:p>
    <w:tbl>
      <w:tblPr>
        <w:tblLayout w:type="fixed"/>
        <w:tblInd w:w="3"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gridSpan w:val="10"/>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2024</w:t>
            </w:r>
          </w:p>
        </w:tc>
      </w:tr>
      <w:tr>
        <w:trPr>
          <w:trHeight w:val="223"/>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160,064,047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160,064,047</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3,244,471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3,244,471</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534,967,618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534,967,618</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698,276,136</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698,276,136</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63,259,622</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698,276,136</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761,535,758</w:t>
            </w: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3"/>
          </w:cols>
          <w:pgMar w:left="1237" w:top="295" w:right="1259" w:bottom="1440" w:gutter="0" w:footer="0" w:header="0"/>
        </w:sectPr>
      </w:pPr>
    </w:p>
    <w:p>
      <w:pPr>
        <w:spacing w:after="0" w:line="25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59836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03"/>
          </w:cols>
          <w:pgMar w:left="1237" w:top="295" w:right="1259" w:bottom="1440" w:gutter="0" w:footer="0" w:header="0"/>
          <w:type w:val="continuous"/>
        </w:sectPr>
      </w:pPr>
    </w:p>
    <w:bookmarkStart w:id="10" w:name="page11"/>
    <w:bookmarkEnd w:id="10"/>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3"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gridSpan w:val="10"/>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2023</w:t>
            </w:r>
          </w:p>
        </w:tc>
      </w:tr>
      <w:tr>
        <w:trPr>
          <w:trHeight w:val="223"/>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191,491,497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191,491,497</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3,721,671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3,721,671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405,241,825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405,241,825</w:t>
            </w: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600,454,993</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600,454,993</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62,621,624</w:t>
            </w: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600,454,993</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663,076,617</w:t>
            </w:r>
          </w:p>
        </w:tc>
      </w:tr>
      <w:tr>
        <w:trPr>
          <w:trHeight w:val="20"/>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23" w:hanging="123"/>
        <w:spacing w:after="0"/>
        <w:tabs>
          <w:tab w:leader="none" w:pos="12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in the collective investment trust is measured at fair value using the net asset value per share (or its equivalent) as a practical</w:t>
      </w:r>
    </w:p>
    <w:p>
      <w:pPr>
        <w:spacing w:after="0" w:line="59" w:lineRule="exact"/>
        <w:rPr>
          <w:rFonts w:ascii="Times New Roman" w:cs="Times New Roman" w:eastAsia="Times New Roman" w:hAnsi="Times New Roman"/>
          <w:sz w:val="16"/>
          <w:szCs w:val="16"/>
          <w:color w:val="auto"/>
        </w:rPr>
      </w:pPr>
    </w:p>
    <w:p>
      <w:pPr>
        <w:ind w:left="3"/>
        <w:spacing w:after="0" w:line="33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expedient and has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210" w:lineRule="exact"/>
        <w:rPr>
          <w:sz w:val="20"/>
          <w:szCs w:val="20"/>
          <w:color w:val="auto"/>
        </w:rPr>
      </w:pPr>
    </w:p>
    <w:p>
      <w:pPr>
        <w:ind w:left="483" w:hanging="483"/>
        <w:spacing w:after="0"/>
        <w:tabs>
          <w:tab w:leader="none" w:pos="48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310" w:lineRule="exact"/>
        <w:rPr>
          <w:sz w:val="20"/>
          <w:szCs w:val="20"/>
          <w:color w:val="auto"/>
        </w:rPr>
      </w:pPr>
    </w:p>
    <w:p>
      <w:pPr>
        <w:jc w:val="both"/>
        <w:ind w:left="3"/>
        <w:spacing w:after="0" w:line="303" w:lineRule="auto"/>
        <w:rPr>
          <w:sz w:val="20"/>
          <w:szCs w:val="20"/>
          <w:color w:val="auto"/>
        </w:rPr>
      </w:pPr>
      <w:r>
        <w:rPr>
          <w:rFonts w:ascii="Times New Roman" w:cs="Times New Roman" w:eastAsia="Times New Roman" w:hAnsi="Times New Roman"/>
          <w:sz w:val="18"/>
          <w:szCs w:val="18"/>
          <w:color w:val="auto"/>
        </w:rPr>
        <w:t>The Plan Sponsor has received a determination letter from the Internal Revenue Service dated March 17, 2017, stating that the Plan is qualified under section 401(a) of the Internal Revenue Code (the Code), and, therefore, the related trust is exempt from taxation. Subsequent to this determination by the Internal Revenue Service, the Plan was amended several times and was restated effective January 1, 2023. Once qualified, the Plan is required to operate in conformity with the Code to maintain its qualification. The Plan Sponsor believes the Plan is designed and being operated in compliance with the applicable requirements of the Code and, therefore, believes that the Plan, as amended and restated, is qualified and the related trust is tax exempt.</w:t>
      </w:r>
    </w:p>
    <w:p>
      <w:pPr>
        <w:spacing w:after="0" w:line="228"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is subject to routine audits by taxing jurisdictions; however, there are currently no audits for any tax periods in progress.</w:t>
      </w:r>
    </w:p>
    <w:p>
      <w:pPr>
        <w:spacing w:after="0" w:line="233" w:lineRule="exact"/>
        <w:rPr>
          <w:sz w:val="20"/>
          <w:szCs w:val="20"/>
          <w:color w:val="auto"/>
        </w:rPr>
      </w:pPr>
    </w:p>
    <w:p>
      <w:pPr>
        <w:ind w:left="483" w:hanging="483"/>
        <w:spacing w:after="0"/>
        <w:tabs>
          <w:tab w:leader="none" w:pos="48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and Party-in-Interest Transactions</w:t>
      </w:r>
    </w:p>
    <w:p>
      <w:pPr>
        <w:spacing w:after="0" w:line="310" w:lineRule="exact"/>
        <w:rPr>
          <w:sz w:val="20"/>
          <w:szCs w:val="20"/>
          <w:color w:val="auto"/>
        </w:rPr>
      </w:pPr>
    </w:p>
    <w:p>
      <w:pPr>
        <w:jc w:val="both"/>
        <w:ind w:left="3"/>
        <w:spacing w:after="0" w:line="305" w:lineRule="auto"/>
        <w:rPr>
          <w:sz w:val="20"/>
          <w:szCs w:val="20"/>
          <w:color w:val="auto"/>
        </w:rPr>
      </w:pPr>
      <w:r>
        <w:rPr>
          <w:rFonts w:ascii="Times New Roman" w:cs="Times New Roman" w:eastAsia="Times New Roman" w:hAnsi="Times New Roman"/>
          <w:sz w:val="18"/>
          <w:szCs w:val="18"/>
          <w:color w:val="auto"/>
        </w:rPr>
        <w:t>Transactions resulting in Plan assets being transferred to or used by a related party are prohibited under ERISA unless a specific exemption is applied. Principal is a party-in-interest and qualified institution as defined by ERISA. The Plan also invests in the common stock of the Company, which it holds in the Plan. See Note 2 for additional information related to the Company’s stock. Notes receivable from participants are also considered party-in-interest transactions. All of the above transactions are exempt from the “prohibited transactions” provisions of ERISA and the Code.</w:t>
      </w:r>
    </w:p>
    <w:p>
      <w:pPr>
        <w:spacing w:after="0" w:line="220" w:lineRule="exact"/>
        <w:rPr>
          <w:sz w:val="20"/>
          <w:szCs w:val="20"/>
          <w:color w:val="auto"/>
        </w:rPr>
      </w:pPr>
    </w:p>
    <w:p>
      <w:pPr>
        <w:ind w:left="483" w:hanging="483"/>
        <w:spacing w:after="0"/>
        <w:tabs>
          <w:tab w:leader="none" w:pos="48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Late Remittance</w:t>
      </w:r>
    </w:p>
    <w:p>
      <w:pPr>
        <w:spacing w:after="0" w:line="310"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There were no late remittances during the Plan year ended December 31, 2024. During the Plan year ended December 31, 2023, employee withholdings in the amount of $4,742, were not remitted within the appropriate time period by the Company. These transactions constitute prohibited transactions, as defined by ERISA. The 2023 members' contributions transferred late to the Plan have been fully corrected to make members' accounts whole during the year ended December 31, 2023.</w:t>
      </w:r>
    </w:p>
    <w:p>
      <w:pPr>
        <w:spacing w:after="0" w:line="15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598360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03"/>
          </w:cols>
          <w:pgMar w:left="1237" w:top="295"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EIN #38-1465835 Plan #001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7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100" w:type="dxa"/>
            <w:vAlign w:val="bottom"/>
          </w:tcPr>
          <w:p>
            <w:pPr>
              <w:spacing w:after="0"/>
              <w:rPr>
                <w:sz w:val="17"/>
                <w:szCs w:val="17"/>
                <w:color w:val="auto"/>
              </w:rPr>
            </w:pP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Identity of Issuer, Borrower, Lessor, or Similar Party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398"/>
        </w:trPr>
        <w:tc>
          <w:tcPr>
            <w:tcW w:w="2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UFP Industries, Inc.</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UFP Industries, Inc.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160,064,047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collective trust funds:</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Principal Global Investors Trust Company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Stable Value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63,259,622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Allspring</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Money Market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3,244,471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JP Morgan</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Cap Growth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78,911,295</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Midcap Index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26,511,001</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Cap Index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8,208,632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Small Cap Growth K6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1,657,623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Stock Index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10,323,673</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Bond Index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8,218,863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Index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55,497,103</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Invesco</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Small-Mid Company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494,595</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Dodge &amp; Cox</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Stock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11,909,618</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Dodge &amp; Cox</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10,319,652</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PGIM</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 Yield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4,634,154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Neuberger Berman</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Genesis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15,597,152</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American Funds</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American Mutual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35,048,280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Carillon Eagle</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Midcap Growth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5,332,284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 Rowe Price</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2065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6,862,962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2060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13,179,989</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2055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11,735,897</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2050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52,667,377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2045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15,078,079</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2040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54,083,850</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2035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15,378,650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2030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55,956,061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2025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6,213,298</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2020 Fund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24,313,045</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2015 Fund</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321,613</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2010 Fund</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6,512,872</w:t>
            </w: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tcPr>
          <w:p>
            <w:pPr>
              <w:spacing w:after="0"/>
              <w:rPr>
                <w:sz w:val="17"/>
                <w:szCs w:val="17"/>
                <w:color w:val="auto"/>
              </w:rPr>
            </w:pPr>
          </w:p>
        </w:tc>
        <w:tc>
          <w:tcPr>
            <w:tcW w:w="370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534,967,618</w:t>
            </w: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761,535,758</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Participant loans</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by vested account balances, payable in monthly</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20" w:type="dxa"/>
            <w:vAlign w:val="bottom"/>
            <w:vMerge w:val="continue"/>
            <w:shd w:val="clear" w:color="auto" w:fill="CCEEFF"/>
          </w:tcPr>
          <w:p>
            <w:pPr>
              <w:spacing w:after="0"/>
              <w:rPr>
                <w:sz w:val="8"/>
                <w:szCs w:val="8"/>
                <w:color w:val="auto"/>
              </w:rPr>
            </w:pPr>
          </w:p>
        </w:tc>
        <w:tc>
          <w:tcPr>
            <w:tcW w:w="3700" w:type="dxa"/>
            <w:vAlign w:val="bottom"/>
            <w:vMerge w:val="continue"/>
            <w:shd w:val="clear" w:color="auto" w:fill="CCEEFF"/>
          </w:tcPr>
          <w:p>
            <w:pPr>
              <w:spacing w:after="0"/>
              <w:rPr>
                <w:sz w:val="8"/>
                <w:szCs w:val="8"/>
                <w:color w:val="auto"/>
              </w:rPr>
            </w:pPr>
          </w:p>
        </w:tc>
        <w:tc>
          <w:tcPr>
            <w:tcW w:w="4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installments with interest rates ranging from 4.2% to 11.5%</w:t>
            </w:r>
          </w:p>
        </w:tc>
        <w:tc>
          <w:tcPr>
            <w:tcW w:w="100" w:type="dxa"/>
            <w:vAlign w:val="bottom"/>
            <w:shd w:val="clear" w:color="auto" w:fill="CCEEFF"/>
          </w:tcPr>
          <w:p>
            <w:pPr>
              <w:spacing w:after="0"/>
              <w:rPr>
                <w:sz w:val="8"/>
                <w:szCs w:val="8"/>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22,567,678</w:t>
            </w:r>
          </w:p>
        </w:tc>
        <w:tc>
          <w:tcPr>
            <w:tcW w:w="0" w:type="dxa"/>
            <w:vAlign w:val="bottom"/>
          </w:tcPr>
          <w:p>
            <w:pPr>
              <w:spacing w:after="0"/>
              <w:rPr>
                <w:sz w:val="1"/>
                <w:szCs w:val="1"/>
                <w:color w:val="auto"/>
              </w:rPr>
            </w:pPr>
          </w:p>
        </w:tc>
      </w:tr>
      <w:tr>
        <w:trPr>
          <w:trHeight w:val="111"/>
        </w:trPr>
        <w:tc>
          <w:tcPr>
            <w:tcW w:w="220" w:type="dxa"/>
            <w:vAlign w:val="bottom"/>
            <w:shd w:val="clear" w:color="auto" w:fill="CCEEFF"/>
          </w:tcPr>
          <w:p>
            <w:pPr>
              <w:spacing w:after="0"/>
              <w:rPr>
                <w:sz w:val="9"/>
                <w:szCs w:val="9"/>
                <w:color w:val="auto"/>
              </w:rPr>
            </w:pPr>
          </w:p>
        </w:tc>
        <w:tc>
          <w:tcPr>
            <w:tcW w:w="3700" w:type="dxa"/>
            <w:vAlign w:val="bottom"/>
            <w:shd w:val="clear" w:color="auto" w:fill="CCEEFF"/>
          </w:tcPr>
          <w:p>
            <w:pPr>
              <w:spacing w:after="0"/>
              <w:rPr>
                <w:sz w:val="9"/>
                <w:szCs w:val="9"/>
                <w:color w:val="auto"/>
              </w:rPr>
            </w:pPr>
          </w:p>
        </w:tc>
        <w:tc>
          <w:tcPr>
            <w:tcW w:w="4100" w:type="dxa"/>
            <w:vAlign w:val="bottom"/>
            <w:vMerge w:val="continue"/>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784,103,436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-4445</wp:posOffset>
            </wp:positionV>
            <wp:extent cx="8826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220" w:hanging="149"/>
        <w:spacing w:after="0"/>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party-in-interest to the Plan.</w:t>
      </w:r>
    </w:p>
    <w:p>
      <w:pPr>
        <w:spacing w:after="0" w:line="234" w:lineRule="exact"/>
        <w:rPr>
          <w:rFonts w:ascii="Times New Roman" w:cs="Times New Roman" w:eastAsia="Times New Roman" w:hAnsi="Times New Roman"/>
          <w:sz w:val="16"/>
          <w:szCs w:val="16"/>
          <w:color w:val="auto"/>
        </w:rPr>
      </w:pPr>
    </w:p>
    <w:p>
      <w:pPr>
        <w:ind w:left="2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597471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1289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-381635</wp:posOffset>
            </wp:positionV>
            <wp:extent cx="597471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497205</wp:posOffset>
            </wp:positionV>
            <wp:extent cx="59836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10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3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23</w:t>
            </w:r>
          </w:p>
        </w:tc>
        <w:tc>
          <w:tcPr>
            <w:tcW w:w="6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Consent of BDO USA, P.C.</w:t>
            </w:r>
          </w:p>
        </w:tc>
        <w:tc>
          <w:tcPr>
            <w:tcW w:w="4620" w:type="dxa"/>
            <w:vAlign w:val="bottom"/>
            <w:tcBorders>
              <w:top w:val="single" w:sz="8" w:color="CCEEFF"/>
            </w:tcBorders>
            <w:shd w:val="clear" w:color="auto" w:fill="CCEEFF"/>
          </w:tcPr>
          <w:p>
            <w:pPr>
              <w:spacing w:after="0"/>
              <w:rPr>
                <w:sz w:val="14"/>
                <w:szCs w:val="14"/>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59664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4"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UFP Industries, Inc., as Plan Administrator, has duly caused this annual report to be signed on its behalf by the undersigned hereunto duly authorized.</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Employee's Profit</w:t>
            </w:r>
          </w:p>
        </w:tc>
      </w:tr>
      <w:tr>
        <w:trPr>
          <w:trHeight w:val="283"/>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Sharing and 401(k) Plan</w:t>
            </w:r>
          </w:p>
        </w:tc>
      </w:tr>
      <w:tr>
        <w:trPr>
          <w:trHeight w:val="358"/>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13, 2025</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57"/>
        </w:trPr>
        <w:tc>
          <w:tcPr>
            <w:tcW w:w="460" w:type="dxa"/>
            <w:vAlign w:val="bottom"/>
          </w:tcPr>
          <w:p>
            <w:pPr>
              <w:spacing w:after="0"/>
              <w:rPr>
                <w:sz w:val="22"/>
                <w:szCs w:val="22"/>
                <w:color w:val="auto"/>
              </w:rPr>
            </w:pPr>
          </w:p>
        </w:tc>
        <w:tc>
          <w:tcPr>
            <w:tcW w:w="33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3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311"/>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r>
        <w:trPr>
          <w:trHeight w:val="533"/>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13, 2025</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Nancy A. DeGood</w:t>
            </w:r>
          </w:p>
        </w:tc>
      </w:tr>
      <w:tr>
        <w:trPr>
          <w:trHeight w:val="257"/>
        </w:trPr>
        <w:tc>
          <w:tcPr>
            <w:tcW w:w="460" w:type="dxa"/>
            <w:vAlign w:val="bottom"/>
          </w:tcPr>
          <w:p>
            <w:pPr>
              <w:spacing w:after="0"/>
              <w:rPr>
                <w:sz w:val="22"/>
                <w:szCs w:val="22"/>
                <w:color w:val="auto"/>
              </w:rPr>
            </w:pPr>
          </w:p>
        </w:tc>
        <w:tc>
          <w:tcPr>
            <w:tcW w:w="33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3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Nancy A. DeGood,</w:t>
            </w:r>
          </w:p>
        </w:tc>
      </w:tr>
      <w:tr>
        <w:trPr>
          <w:trHeight w:val="270"/>
        </w:trPr>
        <w:tc>
          <w:tcPr>
            <w:tcW w:w="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596646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4" w:name="page15"/>
    <w:bookmarkEnd w:id="1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right="4359"/>
        <w:spacing w:after="0" w:line="282" w:lineRule="auto"/>
        <w:rPr>
          <w:sz w:val="20"/>
          <w:szCs w:val="20"/>
          <w:color w:val="auto"/>
        </w:rPr>
      </w:pPr>
      <w:r>
        <w:rPr>
          <w:rFonts w:ascii="Times New Roman" w:cs="Times New Roman" w:eastAsia="Times New Roman" w:hAnsi="Times New Roman"/>
          <w:sz w:val="18"/>
          <w:szCs w:val="18"/>
          <w:color w:val="auto"/>
        </w:rPr>
        <w:t>UFP Industries, Inc. Employees’ Profit Sharing and 401(k) Plan Grand Rapids, Michigan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(33-84632) of UFP Industries, Inc. of our report dated June 13, 2025, relating to the financial statements and supplemental schedule of UFP Industries, Inc. Employees’ Profit Sharing and 401(k) Plan which appear in this Form 11-K for the year ended December 31, 2024.</w:t>
      </w: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2025-06-13T13:49:31Z</dcterms:created>
  <dcterms:modified xsi:type="dcterms:W3CDTF">2025-06-13T13:49:31Z</dcterms:modified>
</cp:coreProperties>
</file>