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center"/>
              <w:ind w:right="304"/>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restart"/>
          </w:tcPr>
          <w:p>
            <w:pPr>
              <w:jc w:val="center"/>
              <w:ind w:right="304"/>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340" w:type="dxa"/>
            <w:vAlign w:val="bottom"/>
            <w:gridSpan w:val="14"/>
            <w:vMerge w:val="restart"/>
          </w:tcPr>
          <w:p>
            <w:pPr>
              <w:jc w:val="center"/>
              <w:ind w:left="92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340" w:type="dxa"/>
            <w:vAlign w:val="bottom"/>
            <w:gridSpan w:val="1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40" w:type="dxa"/>
            <w:vAlign w:val="bottom"/>
            <w:gridSpan w:val="14"/>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3"/>
            <w:vMerge w:val="restart"/>
          </w:tcPr>
          <w:p>
            <w:pPr>
              <w:spacing w:after="0" w:line="250" w:lineRule="exact"/>
              <w:rPr>
                <w:rFonts w:ascii="Arial" w:cs="Arial" w:eastAsia="Arial" w:hAnsi="Arial"/>
                <w:sz w:val="22"/>
                <w:szCs w:val="22"/>
                <w:color w:val="0000EE"/>
                <w:w w:val="91"/>
              </w:rPr>
            </w:pPr>
            <w:hyperlink r:id="rId8">
              <w:r>
                <w:rPr>
                  <w:rFonts w:ascii="Arial" w:cs="Arial" w:eastAsia="Arial" w:hAnsi="Arial"/>
                  <w:sz w:val="22"/>
                  <w:szCs w:val="22"/>
                  <w:color w:val="0000EE"/>
                  <w:w w:val="91"/>
                </w:rPr>
                <w:t>BRAVATA SCOTT T</w:t>
              </w:r>
            </w:hyperlink>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10"/>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620" w:type="dxa"/>
            <w:vAlign w:val="bottom"/>
            <w:gridSpan w:val="7"/>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tcBorders>
              <w:bottom w:val="single" w:sz="8" w:color="0000EE"/>
            </w:tcBorders>
            <w:gridSpan w:val="3"/>
            <w:vMerge w:val="continue"/>
          </w:tcPr>
          <w:p>
            <w:pPr>
              <w:spacing w:after="0"/>
              <w:rPr>
                <w:sz w:val="5"/>
                <w:szCs w:val="5"/>
                <w:color w:val="auto"/>
              </w:rPr>
            </w:pPr>
          </w:p>
        </w:tc>
        <w:tc>
          <w:tcPr>
            <w:tcW w:w="64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0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tcPr>
          <w:p>
            <w:pPr>
              <w:spacing w:after="0"/>
              <w:rPr>
                <w:sz w:val="4"/>
                <w:szCs w:val="4"/>
                <w:color w:val="auto"/>
              </w:rPr>
            </w:pPr>
          </w:p>
        </w:tc>
        <w:tc>
          <w:tcPr>
            <w:tcW w:w="64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7"/>
            <w:vMerge w:val="restart"/>
          </w:tcPr>
          <w:p>
            <w:pPr>
              <w:ind w:left="360"/>
              <w:spacing w:after="0" w:line="195" w:lineRule="exact"/>
              <w:rPr>
                <w:sz w:val="20"/>
                <w:szCs w:val="20"/>
                <w:color w:val="auto"/>
              </w:rPr>
            </w:pPr>
            <w:r>
              <w:rPr>
                <w:rFonts w:ascii="Arial" w:cs="Arial" w:eastAsia="Arial" w:hAnsi="Arial"/>
                <w:sz w:val="18"/>
                <w:szCs w:val="18"/>
                <w:color w:val="0000FF"/>
                <w:w w:val="89"/>
              </w:rPr>
              <w:t>Vice President Accounting</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gridSpan w:val="6"/>
          </w:tcPr>
          <w:p>
            <w:pPr>
              <w:jc w:val="right"/>
              <w:ind w:right="119"/>
              <w:spacing w:after="0"/>
              <w:rPr>
                <w:sz w:val="20"/>
                <w:szCs w:val="20"/>
                <w:color w:val="auto"/>
              </w:rPr>
            </w:pPr>
            <w:r>
              <w:rPr>
                <w:rFonts w:ascii="Arial" w:cs="Arial" w:eastAsia="Arial" w:hAnsi="Arial"/>
                <w:sz w:val="18"/>
                <w:szCs w:val="18"/>
                <w:color w:val="0000FF"/>
              </w:rPr>
              <w:t>12/29/2007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11"/>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2"/>
          </w:tcPr>
          <w:p>
            <w:pPr>
              <w:jc w:val="center"/>
              <w:ind w:right="1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3720" w:type="dxa"/>
            <w:vAlign w:val="bottom"/>
            <w:gridSpan w:val="12"/>
          </w:tcPr>
          <w:p>
            <w:pPr>
              <w:ind w:left="80"/>
              <w:spacing w:after="0"/>
              <w:rPr>
                <w:sz w:val="20"/>
                <w:szCs w:val="20"/>
                <w:color w:val="auto"/>
              </w:rPr>
            </w:pPr>
            <w:r>
              <w:rPr>
                <w:rFonts w:ascii="Arial" w:cs="Arial" w:eastAsia="Arial" w:hAnsi="Arial"/>
                <w:sz w:val="12"/>
                <w:szCs w:val="12"/>
                <w:b w:val="1"/>
                <w:bCs w:val="1"/>
                <w:color w:val="auto"/>
              </w:rPr>
              <w:t>4. Securities Acquired (A) or Disposed5.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5"/>
                <w:szCs w:val="5"/>
                <w:color w:val="auto"/>
              </w:rPr>
            </w:pPr>
          </w:p>
        </w:tc>
        <w:tc>
          <w:tcPr>
            <w:tcW w:w="480" w:type="dxa"/>
            <w:vAlign w:val="bottom"/>
            <w:gridSpan w:val="3"/>
            <w:vMerge w:val="restart"/>
          </w:tcPr>
          <w:p>
            <w:pPr>
              <w:jc w:val="right"/>
              <w:ind w:right="160"/>
              <w:spacing w:after="0" w:line="135"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0000FF"/>
                <w:w w:val="97"/>
              </w:rPr>
              <w:t>1,480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0000FF"/>
                <w:w w:val="99"/>
              </w:rPr>
              <w:t>12/29/2007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0000FF"/>
              </w:rPr>
              <w:t>J</w:t>
            </w:r>
          </w:p>
        </w:tc>
        <w:tc>
          <w:tcPr>
            <w:tcW w:w="1040" w:type="dxa"/>
            <w:vAlign w:val="bottom"/>
          </w:tcPr>
          <w:p>
            <w:pPr>
              <w:jc w:val="right"/>
              <w:ind w:right="364"/>
              <w:spacing w:after="0"/>
              <w:rPr>
                <w:sz w:val="20"/>
                <w:szCs w:val="20"/>
                <w:color w:val="auto"/>
              </w:rPr>
            </w:pPr>
            <w:r>
              <w:rPr>
                <w:rFonts w:ascii="Arial" w:cs="Arial" w:eastAsia="Arial" w:hAnsi="Arial"/>
                <w:sz w:val="18"/>
                <w:szCs w:val="18"/>
                <w:color w:val="0000FF"/>
              </w:rPr>
              <w:t>70</w:t>
            </w:r>
          </w:p>
        </w:tc>
        <w:tc>
          <w:tcPr>
            <w:tcW w:w="580" w:type="dxa"/>
            <w:vAlign w:val="bottom"/>
          </w:tcPr>
          <w:p>
            <w:pPr>
              <w:ind w:left="20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0000FF"/>
                <w:w w:val="97"/>
              </w:rPr>
              <w:t>2,329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9"/>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60" w:type="dxa"/>
            <w:vAlign w:val="bottom"/>
            <w:gridSpan w:val="17"/>
          </w:tcPr>
          <w:p>
            <w:pPr>
              <w:jc w:val="center"/>
              <w:ind w:left="3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8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jc w:val="center"/>
              <w:ind w:left="28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74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6"/>
              <w:spacing w:after="0"/>
              <w:rPr>
                <w:sz w:val="20"/>
                <w:szCs w:val="20"/>
                <w:color w:val="auto"/>
              </w:rPr>
            </w:pPr>
            <w:r>
              <w:rPr>
                <w:rFonts w:ascii="Arial" w:cs="Arial" w:eastAsia="Arial" w:hAnsi="Arial"/>
                <w:sz w:val="11"/>
                <w:szCs w:val="11"/>
                <w:color w:val="008000"/>
              </w:rPr>
              <w:t>(3)</w:t>
            </w:r>
          </w:p>
        </w:tc>
        <w:tc>
          <w:tcPr>
            <w:tcW w:w="1040" w:type="dxa"/>
            <w:vAlign w:val="bottom"/>
            <w:vMerge w:val="restart"/>
          </w:tcPr>
          <w:p>
            <w:pPr>
              <w:jc w:val="right"/>
              <w:ind w:right="224"/>
              <w:spacing w:after="0"/>
              <w:rPr>
                <w:sz w:val="20"/>
                <w:szCs w:val="20"/>
                <w:color w:val="auto"/>
              </w:rPr>
            </w:pPr>
            <w:r>
              <w:rPr>
                <w:rFonts w:ascii="Arial" w:cs="Arial" w:eastAsia="Arial" w:hAnsi="Arial"/>
                <w:sz w:val="11"/>
                <w:szCs w:val="11"/>
                <w:color w:val="008000"/>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12/15/2007</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119"/>
              <w:spacing w:after="0" w:line="149" w:lineRule="exact"/>
              <w:rPr>
                <w:sz w:val="20"/>
                <w:szCs w:val="20"/>
                <w:color w:val="auto"/>
              </w:rPr>
            </w:pPr>
            <w:r>
              <w:rPr>
                <w:rFonts w:ascii="Arial" w:cs="Arial" w:eastAsia="Arial" w:hAnsi="Arial"/>
                <w:sz w:val="14"/>
                <w:szCs w:val="14"/>
                <w:color w:val="0000FF"/>
              </w:rPr>
              <w:t>1</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40"/>
              <w:spacing w:after="0" w:line="149" w:lineRule="exact"/>
              <w:rPr>
                <w:sz w:val="20"/>
                <w:szCs w:val="20"/>
                <w:color w:val="auto"/>
              </w:rPr>
            </w:pPr>
            <w:r>
              <w:rPr>
                <w:rFonts w:ascii="Arial" w:cs="Arial" w:eastAsia="Arial" w:hAnsi="Arial"/>
                <w:sz w:val="14"/>
                <w:szCs w:val="14"/>
                <w:color w:val="0000FF"/>
              </w:rPr>
              <w:t>1</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w:t>
            </w:r>
          </w:p>
        </w:tc>
        <w:tc>
          <w:tcPr>
            <w:tcW w:w="600" w:type="dxa"/>
            <w:vAlign w:val="bottom"/>
            <w:gridSpan w:val="3"/>
            <w:vMerge w:val="restart"/>
          </w:tcPr>
          <w:p>
            <w:pPr>
              <w:ind w:left="320"/>
              <w:spacing w:after="0" w:line="149" w:lineRule="exact"/>
              <w:rPr>
                <w:sz w:val="20"/>
                <w:szCs w:val="20"/>
                <w:color w:val="auto"/>
              </w:rPr>
            </w:pPr>
            <w:r>
              <w:rPr>
                <w:rFonts w:ascii="Arial" w:cs="Arial" w:eastAsia="Arial" w:hAnsi="Arial"/>
                <w:sz w:val="14"/>
                <w:szCs w:val="14"/>
                <w:color w:val="0000FF"/>
              </w:rPr>
              <w:t>205</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-6280785</wp:posOffset>
            </wp:positionV>
            <wp:extent cx="7297420" cy="6337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33730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Stock Bonus Plan and are payable in cash or shares of the Company's common stock until the reporting person's death, disability or retirement.</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7"/>
              </w:rPr>
              <w:t>/s/ Scott T. Bravata</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02/01/2008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69765"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2019-12-16T09:29:51Z</dcterms:created>
  <dcterms:modified xsi:type="dcterms:W3CDTF">2019-12-16T09:29:51Z</dcterms:modified>
</cp:coreProperties>
</file>