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1"/>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363220</wp:posOffset>
            </wp:positionH>
            <wp:positionV relativeFrom="page">
              <wp:posOffset>166370</wp:posOffset>
            </wp:positionV>
            <wp:extent cx="59258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page">
              <wp:posOffset>363220</wp:posOffset>
            </wp:positionH>
            <wp:positionV relativeFrom="page">
              <wp:posOffset>200660</wp:posOffset>
            </wp:positionV>
            <wp:extent cx="59258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25820" cy="8890"/>
                    </a:xfrm>
                    <a:prstGeom prst="rect">
                      <a:avLst/>
                    </a:prstGeom>
                    <a:noFill/>
                  </pic:spPr>
                </pic:pic>
              </a:graphicData>
            </a:graphic>
          </wp:anchor>
        </w:drawing>
        <w:t>UNITED STATES SECURITIES AND EXCHANGE COMMISSION</w:t>
      </w:r>
    </w:p>
    <w:p>
      <w:pPr>
        <w:spacing w:after="0" w:line="29" w:lineRule="exact"/>
        <w:rPr>
          <w:sz w:val="24"/>
          <w:szCs w:val="24"/>
          <w:color w:val="auto"/>
        </w:rPr>
      </w:pPr>
    </w:p>
    <w:p>
      <w:pPr>
        <w:ind w:left="3548"/>
        <w:spacing w:after="0"/>
        <w:rPr>
          <w:sz w:val="20"/>
          <w:szCs w:val="20"/>
          <w:color w:val="auto"/>
        </w:rPr>
      </w:pPr>
      <w:r>
        <w:rPr>
          <w:rFonts w:ascii="Arial" w:cs="Arial" w:eastAsia="Arial" w:hAnsi="Arial"/>
          <w:sz w:val="22"/>
          <w:szCs w:val="22"/>
          <w:b w:val="1"/>
          <w:bCs w:val="1"/>
          <w:color w:val="auto"/>
        </w:rPr>
        <w:t>Washington, D.C. 20549</w:t>
      </w:r>
    </w:p>
    <w:p>
      <w:pPr>
        <w:spacing w:after="0" w:line="141" w:lineRule="exact"/>
        <w:rPr>
          <w:sz w:val="24"/>
          <w:szCs w:val="24"/>
          <w:color w:val="auto"/>
        </w:rPr>
      </w:pPr>
    </w:p>
    <w:p>
      <w:pPr>
        <w:ind w:left="3628"/>
        <w:spacing w:after="0"/>
        <w:rPr>
          <w:sz w:val="20"/>
          <w:szCs w:val="20"/>
          <w:color w:val="auto"/>
        </w:rPr>
      </w:pPr>
      <w:r>
        <w:rPr>
          <w:rFonts w:ascii="Arial" w:cs="Arial" w:eastAsia="Arial" w:hAnsi="Arial"/>
          <w:sz w:val="32"/>
          <w:szCs w:val="32"/>
          <w:b w:val="1"/>
          <w:bCs w:val="1"/>
          <w:color w:val="auto"/>
        </w:rPr>
        <w:t>FORM 10-K/A</w:t>
      </w:r>
    </w:p>
    <w:p>
      <w:pPr>
        <w:spacing w:after="0" w:line="186" w:lineRule="exact"/>
        <w:rPr>
          <w:sz w:val="24"/>
          <w:szCs w:val="24"/>
          <w:color w:val="auto"/>
        </w:rPr>
      </w:pPr>
    </w:p>
    <w:p>
      <w:pPr>
        <w:ind w:left="3568"/>
        <w:spacing w:after="0"/>
        <w:rPr>
          <w:sz w:val="20"/>
          <w:szCs w:val="20"/>
          <w:color w:val="auto"/>
        </w:rPr>
      </w:pPr>
      <w:r>
        <w:rPr>
          <w:rFonts w:ascii="Arial" w:cs="Arial" w:eastAsia="Arial" w:hAnsi="Arial"/>
          <w:sz w:val="22"/>
          <w:szCs w:val="22"/>
          <w:b w:val="1"/>
          <w:bCs w:val="1"/>
          <w:color w:val="auto"/>
        </w:rPr>
        <w:t>(AMENDMENT NO. 1)</w:t>
      </w:r>
    </w:p>
    <w:p>
      <w:pPr>
        <w:spacing w:after="0" w:line="206" w:lineRule="exact"/>
        <w:rPr>
          <w:sz w:val="24"/>
          <w:szCs w:val="24"/>
          <w:color w:val="auto"/>
        </w:rPr>
      </w:pPr>
    </w:p>
    <w:p>
      <w:pPr>
        <w:ind w:left="1128" w:right="859" w:hanging="890"/>
        <w:spacing w:after="0" w:line="256" w:lineRule="auto"/>
        <w:tabs>
          <w:tab w:leader="none" w:pos="1128"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131" w:lineRule="exact"/>
        <w:rPr>
          <w:sz w:val="24"/>
          <w:szCs w:val="24"/>
          <w:color w:val="auto"/>
        </w:rPr>
      </w:pPr>
    </w:p>
    <w:p>
      <w:pPr>
        <w:ind w:left="1128"/>
        <w:spacing w:after="0"/>
        <w:rPr>
          <w:sz w:val="20"/>
          <w:szCs w:val="20"/>
          <w:color w:val="auto"/>
        </w:rPr>
      </w:pPr>
      <w:r>
        <w:rPr>
          <w:rFonts w:ascii="Arial" w:cs="Arial" w:eastAsia="Arial" w:hAnsi="Arial"/>
          <w:sz w:val="18"/>
          <w:szCs w:val="18"/>
          <w:b w:val="1"/>
          <w:bCs w:val="1"/>
          <w:color w:val="auto"/>
        </w:rPr>
        <w:t xml:space="preserve">For the fiscal year ended </w:t>
      </w:r>
      <w:r>
        <w:rPr>
          <w:rFonts w:ascii="Arial" w:cs="Arial" w:eastAsia="Arial" w:hAnsi="Arial"/>
          <w:sz w:val="18"/>
          <w:szCs w:val="18"/>
          <w:b w:val="1"/>
          <w:bCs w:val="1"/>
          <w:u w:val="single" w:color="auto"/>
          <w:color w:val="auto"/>
        </w:rPr>
        <w:t>December 27, 2008</w:t>
      </w:r>
      <w:r>
        <w:rPr>
          <w:rFonts w:ascii="Arial" w:cs="Arial" w:eastAsia="Arial" w:hAnsi="Arial"/>
          <w:sz w:val="18"/>
          <w:szCs w:val="18"/>
          <w:b w:val="1"/>
          <w:bCs w:val="1"/>
          <w:color w:val="auto"/>
        </w:rPr>
        <w:t>.</w:t>
      </w:r>
    </w:p>
    <w:p>
      <w:pPr>
        <w:spacing w:after="0" w:line="198" w:lineRule="exact"/>
        <w:rPr>
          <w:sz w:val="24"/>
          <w:szCs w:val="24"/>
          <w:color w:val="auto"/>
        </w:rPr>
      </w:pPr>
    </w:p>
    <w:p>
      <w:pPr>
        <w:ind w:left="4528"/>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1128" w:right="1779" w:hanging="850"/>
        <w:spacing w:after="0" w:line="256" w:lineRule="auto"/>
        <w:tabs>
          <w:tab w:leader="none" w:pos="1128"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31" w:lineRule="exact"/>
        <w:rPr>
          <w:sz w:val="24"/>
          <w:szCs w:val="24"/>
          <w:color w:val="auto"/>
        </w:rPr>
      </w:pPr>
    </w:p>
    <w:p>
      <w:pPr>
        <w:ind w:left="1128"/>
        <w:spacing w:after="0"/>
        <w:tabs>
          <w:tab w:leader="none" w:pos="4187" w:val="left"/>
          <w:tab w:leader="none" w:pos="5287" w:val="left"/>
        </w:tabs>
        <w:rPr>
          <w:sz w:val="20"/>
          <w:szCs w:val="20"/>
          <w:color w:val="auto"/>
        </w:rPr>
      </w:pPr>
      <w:r>
        <w:rPr>
          <w:rFonts w:ascii="Arial" w:cs="Arial" w:eastAsia="Arial" w:hAnsi="Arial"/>
          <w:sz w:val="18"/>
          <w:szCs w:val="18"/>
          <w:b w:val="1"/>
          <w:bCs w:val="1"/>
          <w:color w:val="auto"/>
        </w:rPr>
        <w:t>For the transition period of</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2073275</wp:posOffset>
            </wp:positionH>
            <wp:positionV relativeFrom="paragraph">
              <wp:posOffset>-7620</wp:posOffset>
            </wp:positionV>
            <wp:extent cx="1295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165" w:lineRule="exact"/>
        <w:rPr>
          <w:sz w:val="24"/>
          <w:szCs w:val="24"/>
          <w:color w:val="auto"/>
        </w:rPr>
      </w:pPr>
    </w:p>
    <w:p>
      <w:pPr>
        <w:jc w:val="center"/>
        <w:ind w:right="551"/>
        <w:spacing w:after="0"/>
        <w:rPr>
          <w:sz w:val="20"/>
          <w:szCs w:val="20"/>
          <w:color w:val="auto"/>
        </w:rPr>
      </w:pPr>
      <w:r>
        <w:rPr>
          <w:rFonts w:ascii="Arial" w:cs="Arial" w:eastAsia="Arial" w:hAnsi="Arial"/>
          <w:sz w:val="18"/>
          <w:szCs w:val="18"/>
          <w:b w:val="1"/>
          <w:bCs w:val="1"/>
          <w:color w:val="auto"/>
        </w:rPr>
        <w:t>Commission File No.: 0-22684</w:t>
      </w:r>
    </w:p>
    <w:p>
      <w:pPr>
        <w:spacing w:after="0" w:line="173" w:lineRule="exact"/>
        <w:rPr>
          <w:sz w:val="24"/>
          <w:szCs w:val="24"/>
          <w:color w:val="auto"/>
        </w:rPr>
      </w:pPr>
    </w:p>
    <w:p>
      <w:pPr>
        <w:jc w:val="center"/>
        <w:ind w:right="551"/>
        <w:spacing w:after="0"/>
        <w:rPr>
          <w:sz w:val="20"/>
          <w:szCs w:val="20"/>
          <w:color w:val="auto"/>
        </w:rPr>
      </w:pPr>
      <w:r>
        <w:rPr>
          <w:rFonts w:ascii="Arial" w:cs="Arial" w:eastAsia="Arial" w:hAnsi="Arial"/>
          <w:sz w:val="43"/>
          <w:szCs w:val="43"/>
          <w:b w:val="1"/>
          <w:bCs w:val="1"/>
          <w:color w:val="auto"/>
        </w:rPr>
        <w:t>UNIVERSAL FOREST PRODUCTS, INC.</w:t>
      </w:r>
    </w:p>
    <w:p>
      <w:pPr>
        <w:spacing w:after="0" w:line="50" w:lineRule="exact"/>
        <w:rPr>
          <w:sz w:val="24"/>
          <w:szCs w:val="24"/>
          <w:color w:val="auto"/>
        </w:rPr>
      </w:pPr>
    </w:p>
    <w:p>
      <w:pPr>
        <w:ind w:left="2808"/>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308" w:type="dxa"/>
        <w:tblCellMar>
          <w:top w:w="0" w:type="dxa"/>
          <w:left w:w="0" w:type="dxa"/>
          <w:bottom w:w="0" w:type="dxa"/>
          <w:right w:w="0" w:type="dxa"/>
        </w:tblCellMar>
      </w:tblPr>
      <w:tr>
        <w:trPr>
          <w:trHeight w:val="220"/>
        </w:trPr>
        <w:tc>
          <w:tcPr>
            <w:tcW w:w="4980" w:type="dxa"/>
            <w:vAlign w:val="bottom"/>
          </w:tcPr>
          <w:p>
            <w:pPr>
              <w:jc w:val="center"/>
              <w:ind w:right="1070"/>
              <w:spacing w:after="0"/>
              <w:rPr>
                <w:sz w:val="20"/>
                <w:szCs w:val="20"/>
                <w:color w:val="auto"/>
              </w:rPr>
            </w:pPr>
            <w:r>
              <w:rPr>
                <w:rFonts w:ascii="Arial" w:cs="Arial" w:eastAsia="Arial" w:hAnsi="Arial"/>
                <w:sz w:val="18"/>
                <w:szCs w:val="18"/>
                <w:b w:val="1"/>
                <w:bCs w:val="1"/>
                <w:color w:val="auto"/>
                <w:w w:val="94"/>
              </w:rPr>
              <w:t>Michigan</w:t>
            </w:r>
          </w:p>
        </w:tc>
        <w:tc>
          <w:tcPr>
            <w:tcW w:w="2500" w:type="dxa"/>
            <w:vAlign w:val="bottom"/>
          </w:tcPr>
          <w:p>
            <w:pPr>
              <w:jc w:val="right"/>
              <w:ind w:right="150"/>
              <w:spacing w:after="0"/>
              <w:rPr>
                <w:sz w:val="20"/>
                <w:szCs w:val="20"/>
                <w:color w:val="auto"/>
              </w:rPr>
            </w:pPr>
            <w:r>
              <w:rPr>
                <w:rFonts w:ascii="Arial" w:cs="Arial" w:eastAsia="Arial" w:hAnsi="Arial"/>
                <w:sz w:val="18"/>
                <w:szCs w:val="18"/>
                <w:b w:val="1"/>
                <w:bCs w:val="1"/>
                <w:color w:val="auto"/>
              </w:rPr>
              <w:t>38-1465835</w:t>
            </w:r>
          </w:p>
        </w:tc>
      </w:tr>
      <w:tr>
        <w:trPr>
          <w:trHeight w:val="216"/>
        </w:trPr>
        <w:tc>
          <w:tcPr>
            <w:tcW w:w="4980" w:type="dxa"/>
            <w:vAlign w:val="bottom"/>
          </w:tcPr>
          <w:p>
            <w:pPr>
              <w:jc w:val="center"/>
              <w:ind w:right="1110"/>
              <w:spacing w:after="0"/>
              <w:rPr>
                <w:sz w:val="20"/>
                <w:szCs w:val="20"/>
                <w:color w:val="auto"/>
              </w:rPr>
            </w:pPr>
            <w:r>
              <w:rPr>
                <w:rFonts w:ascii="Arial" w:cs="Arial" w:eastAsia="Arial" w:hAnsi="Arial"/>
                <w:sz w:val="18"/>
                <w:szCs w:val="18"/>
                <w:color w:val="auto"/>
                <w:w w:val="93"/>
              </w:rPr>
              <w:t>(State or other jurisdiction of</w:t>
            </w:r>
          </w:p>
        </w:tc>
        <w:tc>
          <w:tcPr>
            <w:tcW w:w="2500" w:type="dxa"/>
            <w:vAlign w:val="bottom"/>
          </w:tcPr>
          <w:p>
            <w:pPr>
              <w:jc w:val="center"/>
              <w:ind w:left="1050"/>
              <w:spacing w:after="0"/>
              <w:rPr>
                <w:sz w:val="20"/>
                <w:szCs w:val="20"/>
                <w:color w:val="auto"/>
              </w:rPr>
            </w:pPr>
            <w:r>
              <w:rPr>
                <w:rFonts w:ascii="Arial" w:cs="Arial" w:eastAsia="Arial" w:hAnsi="Arial"/>
                <w:sz w:val="18"/>
                <w:szCs w:val="18"/>
                <w:color w:val="auto"/>
                <w:w w:val="93"/>
              </w:rPr>
              <w:t>(I.R.S. Employer</w:t>
            </w:r>
          </w:p>
        </w:tc>
      </w:tr>
      <w:tr>
        <w:trPr>
          <w:trHeight w:val="230"/>
        </w:trPr>
        <w:tc>
          <w:tcPr>
            <w:tcW w:w="4980" w:type="dxa"/>
            <w:vAlign w:val="bottom"/>
          </w:tcPr>
          <w:p>
            <w:pPr>
              <w:jc w:val="center"/>
              <w:ind w:right="1070"/>
              <w:spacing w:after="0"/>
              <w:rPr>
                <w:sz w:val="20"/>
                <w:szCs w:val="20"/>
                <w:color w:val="auto"/>
              </w:rPr>
            </w:pPr>
            <w:r>
              <w:rPr>
                <w:rFonts w:ascii="Arial" w:cs="Arial" w:eastAsia="Arial" w:hAnsi="Arial"/>
                <w:sz w:val="18"/>
                <w:szCs w:val="18"/>
                <w:color w:val="auto"/>
                <w:w w:val="93"/>
              </w:rPr>
              <w:t>incorporation or organization)</w:t>
            </w:r>
          </w:p>
        </w:tc>
        <w:tc>
          <w:tcPr>
            <w:tcW w:w="2500" w:type="dxa"/>
            <w:vAlign w:val="bottom"/>
          </w:tcPr>
          <w:p>
            <w:pPr>
              <w:jc w:val="center"/>
              <w:ind w:left="107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4980" w:type="dxa"/>
            <w:vAlign w:val="bottom"/>
          </w:tcPr>
          <w:p>
            <w:pPr>
              <w:jc w:val="center"/>
              <w:ind w:right="1070"/>
              <w:spacing w:after="0"/>
              <w:rPr>
                <w:sz w:val="20"/>
                <w:szCs w:val="20"/>
                <w:color w:val="auto"/>
              </w:rPr>
            </w:pPr>
            <w:r>
              <w:rPr>
                <w:rFonts w:ascii="Arial" w:cs="Arial" w:eastAsia="Arial" w:hAnsi="Arial"/>
                <w:sz w:val="18"/>
                <w:szCs w:val="18"/>
                <w:b w:val="1"/>
                <w:bCs w:val="1"/>
                <w:color w:val="auto"/>
                <w:w w:val="92"/>
              </w:rPr>
              <w:t>2801 East Beltline, N.E., Grand Rapids, Michigan</w:t>
            </w:r>
          </w:p>
        </w:tc>
        <w:tc>
          <w:tcPr>
            <w:tcW w:w="2500" w:type="dxa"/>
            <w:vAlign w:val="bottom"/>
          </w:tcPr>
          <w:p>
            <w:pPr>
              <w:jc w:val="right"/>
              <w:ind w:right="370"/>
              <w:spacing w:after="0"/>
              <w:rPr>
                <w:sz w:val="20"/>
                <w:szCs w:val="20"/>
                <w:color w:val="auto"/>
              </w:rPr>
            </w:pPr>
            <w:r>
              <w:rPr>
                <w:rFonts w:ascii="Arial" w:cs="Arial" w:eastAsia="Arial" w:hAnsi="Arial"/>
                <w:sz w:val="18"/>
                <w:szCs w:val="18"/>
                <w:b w:val="1"/>
                <w:bCs w:val="1"/>
                <w:color w:val="auto"/>
              </w:rPr>
              <w:t>49525</w:t>
            </w:r>
          </w:p>
        </w:tc>
      </w:tr>
      <w:tr>
        <w:trPr>
          <w:trHeight w:val="230"/>
        </w:trPr>
        <w:tc>
          <w:tcPr>
            <w:tcW w:w="4980" w:type="dxa"/>
            <w:vAlign w:val="bottom"/>
          </w:tcPr>
          <w:p>
            <w:pPr>
              <w:jc w:val="center"/>
              <w:ind w:right="1070"/>
              <w:spacing w:after="0"/>
              <w:rPr>
                <w:sz w:val="20"/>
                <w:szCs w:val="20"/>
                <w:color w:val="auto"/>
              </w:rPr>
            </w:pPr>
            <w:r>
              <w:rPr>
                <w:rFonts w:ascii="Arial" w:cs="Arial" w:eastAsia="Arial" w:hAnsi="Arial"/>
                <w:sz w:val="18"/>
                <w:szCs w:val="18"/>
                <w:color w:val="auto"/>
                <w:w w:val="92"/>
              </w:rPr>
              <w:t>(Address of principal executive offices)</w:t>
            </w:r>
          </w:p>
        </w:tc>
        <w:tc>
          <w:tcPr>
            <w:tcW w:w="2500" w:type="dxa"/>
            <w:vAlign w:val="bottom"/>
          </w:tcPr>
          <w:p>
            <w:pPr>
              <w:jc w:val="center"/>
              <w:ind w:left="1050"/>
              <w:spacing w:after="0"/>
              <w:rPr>
                <w:sz w:val="20"/>
                <w:szCs w:val="20"/>
                <w:color w:val="auto"/>
              </w:rPr>
            </w:pPr>
            <w:r>
              <w:rPr>
                <w:rFonts w:ascii="Arial" w:cs="Arial" w:eastAsia="Arial" w:hAnsi="Arial"/>
                <w:sz w:val="18"/>
                <w:szCs w:val="18"/>
                <w:color w:val="auto"/>
                <w:w w:val="94"/>
              </w:rPr>
              <w:t>(Zip Code)</w:t>
            </w:r>
          </w:p>
        </w:tc>
      </w:tr>
    </w:tbl>
    <w:p>
      <w:pPr>
        <w:spacing w:after="0" w:line="157" w:lineRule="exact"/>
        <w:rPr>
          <w:sz w:val="24"/>
          <w:szCs w:val="24"/>
          <w:color w:val="auto"/>
        </w:rPr>
      </w:pPr>
    </w:p>
    <w:p>
      <w:pPr>
        <w:jc w:val="center"/>
        <w:ind w:right="551"/>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(616) 364-6161</w:t>
      </w:r>
    </w:p>
    <w:p>
      <w:pPr>
        <w:spacing w:after="0" w:line="189" w:lineRule="exact"/>
        <w:rPr>
          <w:sz w:val="24"/>
          <w:szCs w:val="24"/>
          <w:color w:val="auto"/>
        </w:rPr>
      </w:pPr>
    </w:p>
    <w:p>
      <w:pPr>
        <w:jc w:val="center"/>
        <w:ind w:right="551"/>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5" w:lineRule="exact"/>
        <w:rPr>
          <w:sz w:val="24"/>
          <w:szCs w:val="24"/>
          <w:color w:val="auto"/>
        </w:rPr>
      </w:pPr>
    </w:p>
    <w:tbl>
      <w:tblPr>
        <w:tblLayout w:type="fixed"/>
        <w:tblInd w:w="1508" w:type="dxa"/>
        <w:tblCellMar>
          <w:top w:w="0" w:type="dxa"/>
          <w:left w:w="0" w:type="dxa"/>
          <w:bottom w:w="0" w:type="dxa"/>
          <w:right w:w="0" w:type="dxa"/>
        </w:tblCellMar>
      </w:tblPr>
      <w:tr>
        <w:trPr>
          <w:trHeight w:val="212"/>
        </w:trPr>
        <w:tc>
          <w:tcPr>
            <w:tcW w:w="3380" w:type="dxa"/>
            <w:vAlign w:val="bottom"/>
          </w:tcPr>
          <w:p>
            <w:pPr>
              <w:jc w:val="center"/>
              <w:ind w:right="1870"/>
              <w:spacing w:after="0"/>
              <w:rPr>
                <w:sz w:val="20"/>
                <w:szCs w:val="20"/>
                <w:color w:val="auto"/>
              </w:rPr>
            </w:pPr>
            <w:r>
              <w:rPr>
                <w:rFonts w:ascii="Arial" w:cs="Arial" w:eastAsia="Arial" w:hAnsi="Arial"/>
                <w:sz w:val="18"/>
                <w:szCs w:val="18"/>
                <w:color w:val="auto"/>
                <w:w w:val="92"/>
              </w:rPr>
              <w:t>Title Of Each Class</w:t>
            </w:r>
          </w:p>
        </w:tc>
        <w:tc>
          <w:tcPr>
            <w:tcW w:w="4440" w:type="dxa"/>
            <w:vAlign w:val="bottom"/>
          </w:tcPr>
          <w:p>
            <w:pPr>
              <w:ind w:left="540"/>
              <w:spacing w:after="0"/>
              <w:rPr>
                <w:sz w:val="20"/>
                <w:szCs w:val="20"/>
                <w:color w:val="auto"/>
              </w:rPr>
            </w:pPr>
            <w:r>
              <w:rPr>
                <w:rFonts w:ascii="Arial" w:cs="Arial" w:eastAsia="Arial" w:hAnsi="Arial"/>
                <w:sz w:val="18"/>
                <w:szCs w:val="18"/>
                <w:color w:val="auto"/>
              </w:rPr>
              <w:t>Name of Each Exchange on Which Registered</w:t>
            </w:r>
          </w:p>
        </w:tc>
      </w:tr>
      <w:tr>
        <w:trPr>
          <w:trHeight w:val="234"/>
        </w:trPr>
        <w:tc>
          <w:tcPr>
            <w:tcW w:w="3380" w:type="dxa"/>
            <w:vAlign w:val="bottom"/>
          </w:tcPr>
          <w:p>
            <w:pPr>
              <w:jc w:val="center"/>
              <w:ind w:right="1890"/>
              <w:spacing w:after="0"/>
              <w:rPr>
                <w:sz w:val="20"/>
                <w:szCs w:val="20"/>
                <w:color w:val="auto"/>
              </w:rPr>
            </w:pPr>
            <w:r>
              <w:rPr>
                <w:rFonts w:ascii="Arial" w:cs="Arial" w:eastAsia="Arial" w:hAnsi="Arial"/>
                <w:sz w:val="18"/>
                <w:szCs w:val="18"/>
                <w:b w:val="1"/>
                <w:bCs w:val="1"/>
                <w:color w:val="auto"/>
                <w:w w:val="88"/>
              </w:rPr>
              <w:t>None</w:t>
            </w:r>
          </w:p>
        </w:tc>
        <w:tc>
          <w:tcPr>
            <w:tcW w:w="4440" w:type="dxa"/>
            <w:vAlign w:val="bottom"/>
            <w:tcBorders>
              <w:bottom w:val="single" w:sz="8" w:color="auto"/>
            </w:tcBorders>
          </w:tcPr>
          <w:p>
            <w:pPr>
              <w:spacing w:after="0"/>
              <w:rPr>
                <w:sz w:val="20"/>
                <w:szCs w:val="20"/>
                <w:color w:val="auto"/>
              </w:rPr>
            </w:pPr>
          </w:p>
        </w:tc>
      </w:tr>
    </w:tbl>
    <w:p>
      <w:pPr>
        <w:spacing w:after="0" w:line="188" w:lineRule="exact"/>
        <w:rPr>
          <w:sz w:val="24"/>
          <w:szCs w:val="24"/>
          <w:color w:val="auto"/>
        </w:rPr>
      </w:pPr>
    </w:p>
    <w:p>
      <w:pPr>
        <w:jc w:val="center"/>
        <w:ind w:right="551"/>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81" w:lineRule="exact"/>
        <w:rPr>
          <w:sz w:val="24"/>
          <w:szCs w:val="24"/>
          <w:color w:val="auto"/>
        </w:rPr>
      </w:pPr>
    </w:p>
    <w:p>
      <w:pPr>
        <w:jc w:val="center"/>
        <w:ind w:right="551"/>
        <w:spacing w:after="0"/>
        <w:rPr>
          <w:sz w:val="20"/>
          <w:szCs w:val="20"/>
          <w:color w:val="auto"/>
        </w:rPr>
      </w:pPr>
      <w:r>
        <w:rPr>
          <w:rFonts w:ascii="Arial" w:cs="Arial" w:eastAsia="Arial" w:hAnsi="Arial"/>
          <w:sz w:val="18"/>
          <w:szCs w:val="18"/>
          <w:b w:val="1"/>
          <w:bCs w:val="1"/>
          <w:color w:val="auto"/>
        </w:rPr>
        <w:t>Common Stock, no par value</w:t>
      </w:r>
    </w:p>
    <w:p>
      <w:pPr>
        <w:spacing w:after="0" w:line="27" w:lineRule="exact"/>
        <w:rPr>
          <w:sz w:val="24"/>
          <w:szCs w:val="24"/>
          <w:color w:val="auto"/>
        </w:rPr>
      </w:pPr>
    </w:p>
    <w:p>
      <w:pPr>
        <w:jc w:val="center"/>
        <w:ind w:right="551"/>
        <w:spacing w:after="0"/>
        <w:rPr>
          <w:sz w:val="20"/>
          <w:szCs w:val="20"/>
          <w:color w:val="auto"/>
        </w:rPr>
      </w:pPr>
      <w:r>
        <w:rPr>
          <w:rFonts w:ascii="Arial" w:cs="Arial" w:eastAsia="Arial" w:hAnsi="Arial"/>
          <w:sz w:val="18"/>
          <w:szCs w:val="18"/>
          <w:color w:val="auto"/>
        </w:rPr>
        <w:t>(Title of Class)</w:t>
      </w:r>
    </w:p>
    <w:p>
      <w:pPr>
        <w:spacing w:after="0" w:line="170" w:lineRule="exact"/>
        <w:rPr>
          <w:sz w:val="24"/>
          <w:szCs w:val="24"/>
          <w:color w:val="auto"/>
        </w:rPr>
      </w:pPr>
    </w:p>
    <w:p>
      <w:pPr>
        <w:ind w:left="368" w:right="1439" w:hanging="372"/>
        <w:spacing w:after="0" w:line="233"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o No </w:t>
      </w:r>
      <w:r>
        <w:rPr>
          <w:rFonts w:ascii="MS PGothic" w:cs="MS PGothic" w:eastAsia="MS PGothic" w:hAnsi="MS PGothic"/>
          <w:sz w:val="18"/>
          <w:szCs w:val="18"/>
          <w:color w:val="auto"/>
        </w:rPr>
        <w:t>☑</w:t>
      </w:r>
    </w:p>
    <w:p>
      <w:pPr>
        <w:spacing w:after="0" w:line="156" w:lineRule="exact"/>
        <w:rPr>
          <w:sz w:val="24"/>
          <w:szCs w:val="24"/>
          <w:color w:val="auto"/>
        </w:rPr>
      </w:pPr>
    </w:p>
    <w:p>
      <w:pPr>
        <w:ind w:left="368" w:right="1279" w:hanging="372"/>
        <w:spacing w:after="0" w:line="233"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Yes o No </w:t>
      </w:r>
      <w:r>
        <w:rPr>
          <w:rFonts w:ascii="MS PGothic" w:cs="MS PGothic" w:eastAsia="MS PGothic" w:hAnsi="MS PGothic"/>
          <w:sz w:val="18"/>
          <w:szCs w:val="18"/>
          <w:color w:val="auto"/>
        </w:rPr>
        <w:t>☑</w:t>
      </w:r>
    </w:p>
    <w:p>
      <w:pPr>
        <w:spacing w:after="0" w:line="142" w:lineRule="exact"/>
        <w:rPr>
          <w:sz w:val="24"/>
          <w:szCs w:val="24"/>
          <w:color w:val="auto"/>
        </w:rPr>
      </w:pPr>
    </w:p>
    <w:p>
      <w:pPr>
        <w:jc w:val="both"/>
        <w:ind w:left="8" w:right="559"/>
        <w:spacing w:after="0" w:line="254" w:lineRule="auto"/>
        <w:rPr>
          <w:sz w:val="20"/>
          <w:szCs w:val="20"/>
          <w:color w:val="auto"/>
        </w:rPr>
      </w:pPr>
      <w:r>
        <w:rPr>
          <w:rFonts w:ascii="Arial" w:cs="Arial" w:eastAsia="Arial" w:hAnsi="Arial"/>
          <w:sz w:val="18"/>
          <w:szCs w:val="18"/>
          <w:color w:val="auto"/>
        </w:rPr>
        <w:t>Indicate by checkmark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in the past 90 days.</w:t>
      </w:r>
    </w:p>
    <w:p>
      <w:pPr>
        <w:ind w:left="368"/>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75" w:lineRule="exact"/>
        <w:rPr>
          <w:sz w:val="24"/>
          <w:szCs w:val="24"/>
          <w:color w:val="auto"/>
        </w:rPr>
      </w:pPr>
    </w:p>
    <w:p>
      <w:pPr>
        <w:jc w:val="both"/>
        <w:ind w:left="8" w:right="559"/>
        <w:spacing w:after="0" w:line="227" w:lineRule="exact"/>
        <w:rPr>
          <w:sz w:val="20"/>
          <w:szCs w:val="20"/>
          <w:color w:val="auto"/>
        </w:rPr>
      </w:pPr>
      <w:r>
        <w:rPr>
          <w:rFonts w:ascii="Arial" w:cs="Arial" w:eastAsia="Arial" w:hAnsi="Arial"/>
          <w:sz w:val="18"/>
          <w:szCs w:val="18"/>
          <w:color w:val="auto"/>
        </w:rPr>
        <w:t xml:space="preserve">Indicate by checkmark if disclosure of delinquent filers pursuant to Items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57" w:lineRule="exact"/>
        <w:rPr>
          <w:sz w:val="24"/>
          <w:szCs w:val="24"/>
          <w:color w:val="auto"/>
        </w:rPr>
      </w:pPr>
    </w:p>
    <w:p>
      <w:pPr>
        <w:jc w:val="both"/>
        <w:ind w:left="8" w:right="559"/>
        <w:spacing w:after="0" w:line="255" w:lineRule="auto"/>
        <w:rPr>
          <w:sz w:val="20"/>
          <w:szCs w:val="20"/>
          <w:color w:val="auto"/>
        </w:rPr>
      </w:pPr>
      <w:r>
        <w:rPr>
          <w:rFonts w:ascii="Arial" w:cs="Arial" w:eastAsia="Arial" w:hAnsi="Arial"/>
          <w:sz w:val="18"/>
          <w:szCs w:val="18"/>
          <w:color w:val="auto"/>
        </w:rPr>
        <w:t>Indicate by checkmark whether the registrant is a large accelerated filer, an accelerated filer, a non-accelerated filer or a smaller reporting company. (Check one):</w:t>
      </w:r>
    </w:p>
    <w:p>
      <w:pPr>
        <w:spacing w:after="0" w:line="2" w:lineRule="exact"/>
        <w:rPr>
          <w:sz w:val="24"/>
          <w:szCs w:val="24"/>
          <w:color w:val="auto"/>
        </w:rPr>
      </w:pPr>
    </w:p>
    <w:p>
      <w:pPr>
        <w:ind w:left="8"/>
        <w:spacing w:after="0" w:line="207" w:lineRule="exact"/>
        <w:tabs>
          <w:tab w:leader="none" w:pos="2707" w:val="left"/>
          <w:tab w:leader="none" w:pos="4907" w:val="left"/>
          <w:tab w:leader="none" w:pos="7067"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Smaller Reporting Company o</w:t>
      </w:r>
    </w:p>
    <w:p>
      <w:pPr>
        <w:spacing w:after="0" w:line="175" w:lineRule="exact"/>
        <w:rPr>
          <w:sz w:val="24"/>
          <w:szCs w:val="24"/>
          <w:color w:val="auto"/>
        </w:rPr>
      </w:pPr>
    </w:p>
    <w:p>
      <w:pPr>
        <w:ind w:left="8"/>
        <w:spacing w:after="0"/>
        <w:rPr>
          <w:sz w:val="20"/>
          <w:szCs w:val="20"/>
          <w:color w:val="auto"/>
        </w:rPr>
      </w:pPr>
      <w:r>
        <w:rPr>
          <w:rFonts w:ascii="Arial" w:cs="Arial" w:eastAsia="Arial" w:hAnsi="Arial"/>
          <w:sz w:val="18"/>
          <w:szCs w:val="18"/>
          <w:color w:val="auto"/>
        </w:rPr>
        <w:t>Indicate by check mark whether the registrant is a shell company (as defined in Rule 12-2 of the Act.)</w:t>
      </w:r>
    </w:p>
    <w:p>
      <w:pPr>
        <w:spacing w:after="0" w:line="23" w:lineRule="exact"/>
        <w:rPr>
          <w:sz w:val="24"/>
          <w:szCs w:val="24"/>
          <w:color w:val="auto"/>
        </w:rPr>
      </w:pPr>
    </w:p>
    <w:p>
      <w:pPr>
        <w:ind w:left="368"/>
        <w:spacing w:after="0" w:line="207" w:lineRule="exact"/>
        <w:rPr>
          <w:sz w:val="20"/>
          <w:szCs w:val="20"/>
          <w:color w:val="auto"/>
        </w:rPr>
      </w:pPr>
      <w:r>
        <w:rPr>
          <w:rFonts w:ascii="Arial" w:cs="Arial" w:eastAsia="Arial" w:hAnsi="Arial"/>
          <w:sz w:val="18"/>
          <w:szCs w:val="18"/>
          <w:color w:val="auto"/>
        </w:rPr>
        <w:t xml:space="preserve">Yes o No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left="8" w:right="559"/>
        <w:spacing w:after="0" w:line="264" w:lineRule="auto"/>
        <w:rPr>
          <w:sz w:val="20"/>
          <w:szCs w:val="20"/>
          <w:color w:val="auto"/>
        </w:rPr>
      </w:pPr>
      <w:r>
        <w:rPr>
          <w:rFonts w:ascii="Arial" w:cs="Arial" w:eastAsia="Arial" w:hAnsi="Arial"/>
          <w:sz w:val="18"/>
          <w:szCs w:val="18"/>
          <w:color w:val="auto"/>
        </w:rPr>
        <w:t>The aggregate market value of the common stock held by non-affiliates of the registrant (i.e. excluding shares held by executive officers, directors, and control persons as defined in Rule 405, 17 CFR 230.405) on June 28, 2008 was $504,439,465 computed at the closing price of $31.06 on that date.</w:t>
      </w:r>
    </w:p>
    <w:p>
      <w:pPr>
        <w:spacing w:after="0" w:line="154" w:lineRule="exact"/>
        <w:rPr>
          <w:sz w:val="24"/>
          <w:szCs w:val="24"/>
          <w:color w:val="auto"/>
        </w:rPr>
      </w:pPr>
    </w:p>
    <w:p>
      <w:pPr>
        <w:ind w:left="8"/>
        <w:spacing w:after="0"/>
        <w:rPr>
          <w:sz w:val="20"/>
          <w:szCs w:val="20"/>
          <w:color w:val="auto"/>
        </w:rPr>
      </w:pPr>
      <w:r>
        <w:rPr>
          <w:rFonts w:ascii="Arial" w:cs="Arial" w:eastAsia="Arial" w:hAnsi="Arial"/>
          <w:sz w:val="18"/>
          <w:szCs w:val="18"/>
          <w:color w:val="auto"/>
        </w:rPr>
        <w:t>As of January 31, 2009, 19,121,770 shares of the registrant’s common stock, no par value, were outstanding.</w:t>
      </w:r>
    </w:p>
    <w:p>
      <w:pPr>
        <w:spacing w:after="0" w:line="185" w:lineRule="exact"/>
        <w:rPr>
          <w:sz w:val="24"/>
          <w:szCs w:val="24"/>
          <w:color w:val="auto"/>
        </w:rPr>
      </w:pPr>
    </w:p>
    <w:p>
      <w:pPr>
        <w:ind w:left="8"/>
        <w:spacing w:after="0"/>
        <w:rPr>
          <w:sz w:val="20"/>
          <w:szCs w:val="20"/>
          <w:color w:val="auto"/>
        </w:rPr>
      </w:pPr>
      <w:r>
        <w:rPr>
          <w:rFonts w:ascii="Arial" w:cs="Arial" w:eastAsia="Arial" w:hAnsi="Arial"/>
          <w:sz w:val="18"/>
          <w:szCs w:val="18"/>
          <w:color w:val="auto"/>
        </w:rPr>
        <w:t>Documents incorporated by reference:</w:t>
      </w:r>
    </w:p>
    <w:p>
      <w:pPr>
        <w:spacing w:after="0" w:line="131" w:lineRule="exact"/>
        <w:rPr>
          <w:sz w:val="24"/>
          <w:szCs w:val="24"/>
          <w:color w:val="auto"/>
        </w:rPr>
      </w:pPr>
    </w:p>
    <w:p>
      <w:pPr>
        <w:ind w:left="348" w:right="559" w:hanging="348"/>
        <w:spacing w:after="0" w:line="277" w:lineRule="auto"/>
        <w:tabs>
          <w:tab w:leader="none" w:pos="348" w:val="left"/>
        </w:tabs>
        <w:numPr>
          <w:ilvl w:val="0"/>
          <w:numId w:val="3"/>
        </w:numPr>
        <w:rPr>
          <w:rFonts w:ascii="Arial" w:cs="Arial" w:eastAsia="Arial" w:hAnsi="Arial"/>
          <w:sz w:val="18"/>
          <w:szCs w:val="18"/>
          <w:color w:val="auto"/>
        </w:rPr>
      </w:pPr>
      <w:r>
        <w:rPr>
          <w:rFonts w:ascii="Arial" w:cs="Arial" w:eastAsia="Arial" w:hAnsi="Arial"/>
          <w:sz w:val="18"/>
          <w:szCs w:val="18"/>
          <w:color w:val="auto"/>
        </w:rPr>
        <w:t>Certain portions of the registrant’s Annual Report to Shareholders for the fiscal year ended December 27, 2008 are incorporated by reference into Part I and II of this Report.</w:t>
      </w:r>
    </w:p>
    <w:p>
      <w:pPr>
        <w:sectPr>
          <w:pgSz w:w="11900" w:h="16838" w:orient="portrait"/>
          <w:cols w:equalWidth="0" w:num="1">
            <w:col w:w="9887"/>
          </w:cols>
          <w:pgMar w:left="572" w:top="481" w:right="1440" w:bottom="0" w:gutter="0" w:footer="0" w:header="0"/>
        </w:sectPr>
      </w:pPr>
    </w:p>
    <w:bookmarkStart w:id="1" w:name="page2"/>
    <w:bookmarkEnd w:id="1"/>
    <w:p>
      <w:pPr>
        <w:ind w:left="348" w:right="559" w:hanging="348"/>
        <w:spacing w:after="0" w:line="277" w:lineRule="auto"/>
        <w:tabs>
          <w:tab w:leader="none" w:pos="348" w:val="left"/>
        </w:tabs>
        <w:numPr>
          <w:ilvl w:val="0"/>
          <w:numId w:val="4"/>
        </w:numPr>
        <w:rPr>
          <w:rFonts w:ascii="Arial" w:cs="Arial" w:eastAsia="Arial" w:hAnsi="Arial"/>
          <w:sz w:val="18"/>
          <w:szCs w:val="18"/>
          <w:color w:val="auto"/>
        </w:rPr>
      </w:pPr>
      <w:r>
        <w:rPr>
          <w:rFonts w:ascii="Arial" w:cs="Arial" w:eastAsia="Arial" w:hAnsi="Arial"/>
          <w:sz w:val="18"/>
          <w:szCs w:val="18"/>
          <w:color w:val="auto"/>
        </w:rPr>
        <w:t>Certain portions of the registrant’s Proxy Statement for its 2009 Annual Meeting of Shareholders are incorporated by reference into Part III of this Report.</w:t>
      </w:r>
    </w:p>
    <w:p>
      <w:pPr>
        <w:spacing w:after="0" w:line="130" w:lineRule="exact"/>
        <w:rPr>
          <w:sz w:val="20"/>
          <w:szCs w:val="20"/>
          <w:color w:val="auto"/>
        </w:rPr>
      </w:pPr>
    </w:p>
    <w:p>
      <w:pPr>
        <w:ind w:left="3408"/>
        <w:spacing w:after="0"/>
        <w:rPr>
          <w:sz w:val="20"/>
          <w:szCs w:val="20"/>
          <w:color w:val="auto"/>
        </w:rPr>
      </w:pPr>
      <w:r>
        <w:rPr>
          <w:rFonts w:ascii="Arial" w:cs="Arial" w:eastAsia="Arial" w:hAnsi="Arial"/>
          <w:sz w:val="18"/>
          <w:szCs w:val="18"/>
          <w:color w:val="auto"/>
        </w:rPr>
        <w:t>Exhibit Index located on page 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143510</wp:posOffset>
            </wp:positionV>
            <wp:extent cx="59258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258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160655</wp:posOffset>
            </wp:positionV>
            <wp:extent cx="59258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column">
              <wp:posOffset>-207010</wp:posOffset>
            </wp:positionH>
            <wp:positionV relativeFrom="paragraph">
              <wp:posOffset>819150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125" w:right="1440" w:bottom="1440" w:gutter="0" w:footer="0" w:header="0"/>
        </w:sectPr>
      </w:pPr>
    </w:p>
    <w:bookmarkStart w:id="2" w:name="page3"/>
    <w:bookmarkEnd w:id="2"/>
    <w:p>
      <w:pPr>
        <w:jc w:val="center"/>
        <w:ind w:right="559"/>
        <w:spacing w:after="0"/>
        <w:rPr>
          <w:sz w:val="20"/>
          <w:szCs w:val="20"/>
          <w:color w:val="auto"/>
        </w:rPr>
      </w:pPr>
      <w:r>
        <w:rPr>
          <w:rFonts w:ascii="Arial" w:cs="Arial" w:eastAsia="Arial" w:hAnsi="Arial"/>
          <w:sz w:val="18"/>
          <w:szCs w:val="18"/>
          <w:color w:val="auto"/>
        </w:rPr>
        <w:t>EXPLANATORY NOTE</w:t>
      </w:r>
    </w:p>
    <w:p>
      <w:pPr>
        <w:spacing w:after="0" w:line="198" w:lineRule="exact"/>
        <w:rPr>
          <w:sz w:val="20"/>
          <w:szCs w:val="20"/>
          <w:color w:val="auto"/>
        </w:rPr>
      </w:pPr>
    </w:p>
    <w:p>
      <w:pPr>
        <w:jc w:val="both"/>
        <w:ind w:right="559"/>
        <w:spacing w:after="0" w:line="276" w:lineRule="auto"/>
        <w:rPr>
          <w:sz w:val="20"/>
          <w:szCs w:val="20"/>
          <w:color w:val="auto"/>
        </w:rPr>
      </w:pPr>
      <w:r>
        <w:rPr>
          <w:rFonts w:ascii="Arial" w:cs="Arial" w:eastAsia="Arial" w:hAnsi="Arial"/>
          <w:sz w:val="17"/>
          <w:szCs w:val="17"/>
          <w:color w:val="auto"/>
        </w:rPr>
        <w:t>The purpose of this Amendment No. 1 to the Annual Report on Form 10-K filed by Universal Forest Products, Inc. (the “Company”) is to correct Item 12 Security Ownership of Certain Beneficial Owners and Management and Related Shareholder Matters. The Annual Report on Form 10-K originally filed by the Company on February 25, 2009 (the “Original Annual Report”) contained an incorrect number of securities remaining available for future issuance under equity compensation plans. The Company has made no other changes to the Original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614045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3" w:name="page4"/>
    <w:bookmarkEnd w:id="3"/>
    <w:p>
      <w:pPr>
        <w:ind w:left="340"/>
        <w:spacing w:after="0"/>
        <w:rPr>
          <w:sz w:val="20"/>
          <w:szCs w:val="20"/>
          <w:color w:val="auto"/>
        </w:rPr>
      </w:pPr>
      <w:r>
        <w:rPr>
          <w:rFonts w:ascii="Arial" w:cs="Arial" w:eastAsia="Arial" w:hAnsi="Arial"/>
          <w:sz w:val="18"/>
          <w:szCs w:val="18"/>
          <w:b w:val="1"/>
          <w:bCs w:val="1"/>
          <w:u w:val="single" w:color="auto"/>
          <w:color w:val="auto"/>
        </w:rPr>
        <w:t>Item 12. Security Ownership of Certain Beneficial Owners and Management and Related Shareholder Matters</w:t>
      </w:r>
      <w:r>
        <w:rPr>
          <w:rFonts w:ascii="Arial" w:cs="Arial" w:eastAsia="Arial" w:hAnsi="Arial"/>
          <w:sz w:val="18"/>
          <w:szCs w:val="18"/>
          <w:b w:val="1"/>
          <w:bCs w:val="1"/>
          <w:color w:val="auto"/>
        </w:rPr>
        <w:t>.</w:t>
      </w:r>
    </w:p>
    <w:p>
      <w:pPr>
        <w:spacing w:after="0" w:line="202" w:lineRule="exact"/>
        <w:rPr>
          <w:sz w:val="20"/>
          <w:szCs w:val="20"/>
          <w:color w:val="auto"/>
        </w:rPr>
      </w:pPr>
    </w:p>
    <w:p>
      <w:pPr>
        <w:ind w:left="340" w:right="1760"/>
        <w:spacing w:after="0" w:line="308" w:lineRule="auto"/>
        <w:rPr>
          <w:sz w:val="20"/>
          <w:szCs w:val="20"/>
          <w:color w:val="auto"/>
        </w:rPr>
      </w:pPr>
      <w:r>
        <w:rPr>
          <w:rFonts w:ascii="Arial" w:cs="Arial" w:eastAsia="Arial" w:hAnsi="Arial"/>
          <w:sz w:val="17"/>
          <w:szCs w:val="17"/>
          <w:color w:val="auto"/>
        </w:rPr>
        <w:t>Information relating to security ownership of certain beneficial owners and management is incorporated by reference from our 2009 Proxy Statement under the captions “Ownership of Common Stock” and “Securities Ownership of Management.”</w:t>
      </w:r>
    </w:p>
    <w:p>
      <w:pPr>
        <w:spacing w:after="0" w:line="106" w:lineRule="exact"/>
        <w:rPr>
          <w:sz w:val="20"/>
          <w:szCs w:val="20"/>
          <w:color w:val="auto"/>
        </w:rPr>
      </w:pPr>
    </w:p>
    <w:p>
      <w:pPr>
        <w:ind w:left="340" w:right="1760"/>
        <w:spacing w:after="0" w:line="277" w:lineRule="auto"/>
        <w:rPr>
          <w:sz w:val="20"/>
          <w:szCs w:val="20"/>
          <w:color w:val="auto"/>
        </w:rPr>
      </w:pPr>
      <w:r>
        <w:rPr>
          <w:rFonts w:ascii="Arial" w:cs="Arial" w:eastAsia="Arial" w:hAnsi="Arial"/>
          <w:sz w:val="18"/>
          <w:szCs w:val="18"/>
          <w:color w:val="auto"/>
        </w:rPr>
        <w:t>Information relating to securities authorized for issuance under equity compensation plans as of December 27, 2008, is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gridSpan w:val="2"/>
          </w:tcPr>
          <w:p>
            <w:pPr>
              <w:jc w:val="center"/>
              <w:ind w:right="60"/>
              <w:spacing w:after="0"/>
              <w:rPr>
                <w:sz w:val="20"/>
                <w:szCs w:val="20"/>
                <w:color w:val="auto"/>
              </w:rPr>
            </w:pPr>
            <w:r>
              <w:rPr>
                <w:rFonts w:ascii="Arial" w:cs="Arial" w:eastAsia="Arial" w:hAnsi="Arial"/>
                <w:sz w:val="18"/>
                <w:szCs w:val="18"/>
                <w:color w:val="auto"/>
                <w:w w:val="89"/>
              </w:rPr>
              <w:t>Number of shares</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gridSpan w:val="2"/>
          </w:tcPr>
          <w:p>
            <w:pPr>
              <w:jc w:val="center"/>
              <w:ind w:right="60"/>
              <w:spacing w:after="0"/>
              <w:rPr>
                <w:sz w:val="20"/>
                <w:szCs w:val="20"/>
                <w:color w:val="auto"/>
              </w:rPr>
            </w:pPr>
            <w:r>
              <w:rPr>
                <w:rFonts w:ascii="Arial" w:cs="Arial" w:eastAsia="Arial" w:hAnsi="Arial"/>
                <w:sz w:val="18"/>
                <w:szCs w:val="18"/>
                <w:color w:val="auto"/>
                <w:w w:val="91"/>
              </w:rPr>
              <w:t>remaining</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available for future</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color w:val="auto"/>
                <w:w w:val="95"/>
              </w:rPr>
              <w:t>Number of</w:t>
            </w:r>
          </w:p>
        </w:tc>
        <w:tc>
          <w:tcPr>
            <w:tcW w:w="100" w:type="dxa"/>
            <w:vAlign w:val="bottom"/>
          </w:tcPr>
          <w:p>
            <w:pPr>
              <w:spacing w:after="0"/>
              <w:rPr>
                <w:sz w:val="18"/>
                <w:szCs w:val="18"/>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8"/>
                <w:szCs w:val="18"/>
                <w:color w:val="auto"/>
                <w:w w:val="89"/>
              </w:rPr>
              <w:t>Weighted</w:t>
            </w:r>
          </w:p>
        </w:tc>
        <w:tc>
          <w:tcPr>
            <w:tcW w:w="1460" w:type="dxa"/>
            <w:vAlign w:val="bottom"/>
            <w:gridSpan w:val="2"/>
          </w:tcPr>
          <w:p>
            <w:pPr>
              <w:jc w:val="center"/>
              <w:ind w:right="80"/>
              <w:spacing w:after="0"/>
              <w:rPr>
                <w:sz w:val="20"/>
                <w:szCs w:val="20"/>
                <w:color w:val="auto"/>
              </w:rPr>
            </w:pPr>
            <w:r>
              <w:rPr>
                <w:rFonts w:ascii="Arial" w:cs="Arial" w:eastAsia="Arial" w:hAnsi="Arial"/>
                <w:sz w:val="18"/>
                <w:szCs w:val="18"/>
                <w:color w:val="auto"/>
                <w:w w:val="86"/>
              </w:rPr>
              <w:t>issuance under</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color w:val="auto"/>
                <w:w w:val="84"/>
              </w:rPr>
              <w:t>shares to be</w:t>
            </w:r>
          </w:p>
        </w:tc>
        <w:tc>
          <w:tcPr>
            <w:tcW w:w="100" w:type="dxa"/>
            <w:vAlign w:val="bottom"/>
          </w:tcPr>
          <w:p>
            <w:pPr>
              <w:spacing w:after="0"/>
              <w:rPr>
                <w:sz w:val="18"/>
                <w:szCs w:val="18"/>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8"/>
                <w:szCs w:val="18"/>
                <w:color w:val="auto"/>
                <w:w w:val="86"/>
              </w:rPr>
              <w:t>average</w:t>
            </w:r>
          </w:p>
        </w:tc>
        <w:tc>
          <w:tcPr>
            <w:tcW w:w="1460" w:type="dxa"/>
            <w:vAlign w:val="bottom"/>
            <w:gridSpan w:val="2"/>
          </w:tcPr>
          <w:p>
            <w:pPr>
              <w:jc w:val="center"/>
              <w:ind w:right="60"/>
              <w:spacing w:after="0"/>
              <w:rPr>
                <w:sz w:val="20"/>
                <w:szCs w:val="20"/>
                <w:color w:val="auto"/>
              </w:rPr>
            </w:pPr>
            <w:r>
              <w:rPr>
                <w:rFonts w:ascii="Arial" w:cs="Arial" w:eastAsia="Arial" w:hAnsi="Arial"/>
                <w:sz w:val="18"/>
                <w:szCs w:val="18"/>
                <w:color w:val="auto"/>
                <w:w w:val="91"/>
              </w:rPr>
              <w:t>equity</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color w:val="auto"/>
                <w:w w:val="86"/>
              </w:rPr>
              <w:t>issued upon</w:t>
            </w:r>
          </w:p>
        </w:tc>
        <w:tc>
          <w:tcPr>
            <w:tcW w:w="100" w:type="dxa"/>
            <w:vAlign w:val="bottom"/>
          </w:tcPr>
          <w:p>
            <w:pPr>
              <w:spacing w:after="0"/>
              <w:rPr>
                <w:sz w:val="18"/>
                <w:szCs w:val="18"/>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8"/>
                <w:szCs w:val="18"/>
                <w:color w:val="auto"/>
                <w:w w:val="89"/>
              </w:rPr>
              <w:t>exercise</w:t>
            </w:r>
          </w:p>
        </w:tc>
        <w:tc>
          <w:tcPr>
            <w:tcW w:w="1460" w:type="dxa"/>
            <w:vAlign w:val="bottom"/>
            <w:gridSpan w:val="2"/>
          </w:tcPr>
          <w:p>
            <w:pPr>
              <w:jc w:val="center"/>
              <w:ind w:right="60"/>
              <w:spacing w:after="0"/>
              <w:rPr>
                <w:sz w:val="20"/>
                <w:szCs w:val="20"/>
                <w:color w:val="auto"/>
              </w:rPr>
            </w:pPr>
            <w:r>
              <w:rPr>
                <w:rFonts w:ascii="Arial" w:cs="Arial" w:eastAsia="Arial" w:hAnsi="Arial"/>
                <w:sz w:val="18"/>
                <w:szCs w:val="18"/>
                <w:color w:val="auto"/>
                <w:w w:val="89"/>
              </w:rPr>
              <w:t>compensation</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exercise of</w:t>
            </w:r>
          </w:p>
        </w:tc>
        <w:tc>
          <w:tcPr>
            <w:tcW w:w="100" w:type="dxa"/>
            <w:vAlign w:val="bottom"/>
          </w:tcPr>
          <w:p>
            <w:pPr>
              <w:spacing w:after="0"/>
              <w:rPr>
                <w:sz w:val="18"/>
                <w:szCs w:val="18"/>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8"/>
                <w:szCs w:val="18"/>
                <w:color w:val="auto"/>
                <w:w w:val="94"/>
              </w:rPr>
              <w:t>price of</w:t>
            </w:r>
          </w:p>
        </w:tc>
        <w:tc>
          <w:tcPr>
            <w:tcW w:w="146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plans [excluding</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outstanding</w:t>
            </w:r>
          </w:p>
        </w:tc>
        <w:tc>
          <w:tcPr>
            <w:tcW w:w="1260" w:type="dxa"/>
            <w:vAlign w:val="bottom"/>
            <w:gridSpan w:val="3"/>
          </w:tcPr>
          <w:p>
            <w:pPr>
              <w:jc w:val="center"/>
              <w:ind w:right="340"/>
              <w:spacing w:after="0"/>
              <w:rPr>
                <w:sz w:val="20"/>
                <w:szCs w:val="20"/>
                <w:color w:val="auto"/>
              </w:rPr>
            </w:pPr>
            <w:r>
              <w:rPr>
                <w:rFonts w:ascii="Arial" w:cs="Arial" w:eastAsia="Arial" w:hAnsi="Arial"/>
                <w:sz w:val="18"/>
                <w:szCs w:val="18"/>
                <w:color w:val="auto"/>
                <w:w w:val="90"/>
              </w:rPr>
              <w:t>outstanding</w:t>
            </w:r>
          </w:p>
        </w:tc>
        <w:tc>
          <w:tcPr>
            <w:tcW w:w="1460" w:type="dxa"/>
            <w:vAlign w:val="bottom"/>
            <w:gridSpan w:val="2"/>
          </w:tcPr>
          <w:p>
            <w:pPr>
              <w:jc w:val="center"/>
              <w:ind w:right="60"/>
              <w:spacing w:after="0"/>
              <w:rPr>
                <w:sz w:val="20"/>
                <w:szCs w:val="20"/>
                <w:color w:val="auto"/>
              </w:rPr>
            </w:pPr>
            <w:r>
              <w:rPr>
                <w:rFonts w:ascii="Arial" w:cs="Arial" w:eastAsia="Arial" w:hAnsi="Arial"/>
                <w:sz w:val="18"/>
                <w:szCs w:val="18"/>
                <w:color w:val="auto"/>
                <w:w w:val="89"/>
              </w:rPr>
              <w:t>shares reflected in</w:t>
            </w:r>
          </w:p>
        </w:tc>
        <w:tc>
          <w:tcPr>
            <w:tcW w:w="17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options</w:t>
            </w:r>
          </w:p>
        </w:tc>
        <w:tc>
          <w:tcPr>
            <w:tcW w:w="100" w:type="dxa"/>
            <w:vAlign w:val="bottom"/>
          </w:tcPr>
          <w:p>
            <w:pPr>
              <w:spacing w:after="0"/>
              <w:rPr>
                <w:sz w:val="20"/>
                <w:szCs w:val="20"/>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8"/>
                <w:szCs w:val="18"/>
                <w:color w:val="auto"/>
                <w:w w:val="89"/>
              </w:rPr>
              <w:t>options</w:t>
            </w:r>
          </w:p>
        </w:tc>
        <w:tc>
          <w:tcPr>
            <w:tcW w:w="1460" w:type="dxa"/>
            <w:vAlign w:val="bottom"/>
            <w:gridSpan w:val="2"/>
          </w:tcPr>
          <w:p>
            <w:pPr>
              <w:jc w:val="center"/>
              <w:ind w:right="60"/>
              <w:spacing w:after="0"/>
              <w:rPr>
                <w:sz w:val="20"/>
                <w:szCs w:val="20"/>
                <w:color w:val="auto"/>
              </w:rPr>
            </w:pPr>
            <w:r>
              <w:rPr>
                <w:rFonts w:ascii="Arial" w:cs="Arial" w:eastAsia="Arial" w:hAnsi="Arial"/>
                <w:sz w:val="18"/>
                <w:szCs w:val="18"/>
                <w:color w:val="auto"/>
                <w:w w:val="93"/>
              </w:rPr>
              <w:t>column (a)]</w:t>
            </w:r>
          </w:p>
        </w:tc>
        <w:tc>
          <w:tcPr>
            <w:tcW w:w="17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(a)</w:t>
            </w:r>
          </w:p>
        </w:tc>
        <w:tc>
          <w:tcPr>
            <w:tcW w:w="3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center"/>
              <w:ind w:right="10"/>
              <w:spacing w:after="0"/>
              <w:rPr>
                <w:sz w:val="20"/>
                <w:szCs w:val="20"/>
                <w:color w:val="auto"/>
              </w:rPr>
            </w:pPr>
            <w:r>
              <w:rPr>
                <w:rFonts w:ascii="Arial" w:cs="Arial" w:eastAsia="Arial" w:hAnsi="Arial"/>
                <w:sz w:val="18"/>
                <w:szCs w:val="18"/>
                <w:color w:val="auto"/>
                <w:w w:val="90"/>
              </w:rPr>
              <w:t>(b)</w:t>
            </w:r>
          </w:p>
        </w:tc>
        <w:tc>
          <w:tcPr>
            <w:tcW w:w="34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5"/>
              </w:rPr>
              <w:t>(c)</w:t>
            </w: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600,047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22.16</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1,632,247</w:t>
            </w:r>
          </w:p>
        </w:tc>
        <w:tc>
          <w:tcPr>
            <w:tcW w:w="17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none</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1009"/>
        </w:trPr>
        <w:tc>
          <w:tcPr>
            <w:tcW w:w="340" w:type="dxa"/>
            <w:vAlign w:val="bottom"/>
            <w:tcBorders>
              <w:bottom w:val="single" w:sz="8" w:color="808080"/>
            </w:tcBorders>
          </w:tcPr>
          <w:p>
            <w:pPr>
              <w:spacing w:after="0"/>
              <w:rPr>
                <w:sz w:val="24"/>
                <w:szCs w:val="24"/>
                <w:color w:val="auto"/>
              </w:rPr>
            </w:pPr>
          </w:p>
        </w:tc>
        <w:tc>
          <w:tcPr>
            <w:tcW w:w="534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4" w:name="page5"/>
    <w:bookmarkEnd w:id="4"/>
    <w:p>
      <w:pPr>
        <w:jc w:val="center"/>
        <w:ind w:right="55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02" w:lineRule="exact"/>
        <w:rPr>
          <w:sz w:val="20"/>
          <w:szCs w:val="20"/>
          <w:color w:val="auto"/>
        </w:rPr>
      </w:pPr>
    </w:p>
    <w:p>
      <w:pPr>
        <w:ind w:right="559" w:firstLine="373"/>
        <w:spacing w:after="0" w:line="277" w:lineRule="auto"/>
        <w:rPr>
          <w:sz w:val="20"/>
          <w:szCs w:val="20"/>
          <w:color w:val="auto"/>
        </w:rPr>
      </w:pPr>
      <w:r>
        <w:rPr>
          <w:rFonts w:ascii="Arial" w:cs="Arial" w:eastAsia="Arial" w:hAnsi="Arial"/>
          <w:sz w:val="18"/>
          <w:szCs w:val="18"/>
          <w:color w:val="auto"/>
        </w:rPr>
        <w:t>Pursuant to the requirements of Section 13 or 15(d) of the Securities and Exchange Act of 1934, the Registrant has duly caused this report to be signed on its behalf by the undersigned, thereunto duly authorized.</w:t>
      </w:r>
    </w:p>
    <w:p>
      <w:pPr>
        <w:spacing w:after="0" w:line="166" w:lineRule="exact"/>
        <w:rPr>
          <w:sz w:val="20"/>
          <w:szCs w:val="20"/>
          <w:color w:val="auto"/>
        </w:rPr>
      </w:pPr>
    </w:p>
    <w:p>
      <w:pPr>
        <w:spacing w:after="0"/>
        <w:tabs>
          <w:tab w:leader="none" w:pos="4260" w:val="left"/>
        </w:tabs>
        <w:rPr>
          <w:sz w:val="20"/>
          <w:szCs w:val="20"/>
          <w:color w:val="auto"/>
        </w:rPr>
      </w:pPr>
      <w:r>
        <w:rPr>
          <w:rFonts w:ascii="Arial" w:cs="Arial" w:eastAsia="Arial" w:hAnsi="Arial"/>
          <w:sz w:val="18"/>
          <w:szCs w:val="18"/>
          <w:color w:val="auto"/>
        </w:rPr>
        <w:t>Dated: March 6, 2009</w:t>
      </w:r>
      <w:r>
        <w:rPr>
          <w:sz w:val="20"/>
          <w:szCs w:val="20"/>
          <w:color w:val="auto"/>
        </w:rPr>
        <w:tab/>
      </w:r>
      <w:r>
        <w:rPr>
          <w:rFonts w:ascii="Arial" w:cs="Arial" w:eastAsia="Arial" w:hAnsi="Arial"/>
          <w:sz w:val="17"/>
          <w:szCs w:val="17"/>
          <w:b w:val="1"/>
          <w:bCs w:val="1"/>
          <w:color w:val="auto"/>
        </w:rPr>
        <w:t>UNIVERSAL FOREST PRODUCTS, INC.</w:t>
      </w:r>
    </w:p>
    <w:p>
      <w:pPr>
        <w:spacing w:after="0" w:line="229"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By: /s/ Michael B. Glenn</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Michael B. Glenn,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2945130</wp:posOffset>
            </wp:positionH>
            <wp:positionV relativeFrom="paragraph">
              <wp:posOffset>-130810</wp:posOffset>
            </wp:positionV>
            <wp:extent cx="21183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204"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 Michael R. Cole</w:t>
      </w:r>
    </w:p>
    <w:p>
      <w:pPr>
        <w:spacing w:after="0" w:line="23"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Michael R. Cole,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-130810</wp:posOffset>
            </wp:positionV>
            <wp:extent cx="21951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3"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638175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5" w:name="page6"/>
    <w:bookmarkEnd w:id="5"/>
    <w:p>
      <w:pPr>
        <w:ind w:right="559" w:firstLine="373"/>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on this 5th day of March, 2009, by the following persons on behalf of us and in the capacities indicated.</w:t>
      </w:r>
    </w:p>
    <w:p>
      <w:pPr>
        <w:sectPr>
          <w:pgSz w:w="11900" w:h="16838" w:orient="portrait"/>
          <w:cols w:equalWidth="0" w:num="1">
            <w:col w:w="9879"/>
          </w:cols>
          <w:pgMar w:left="580" w:top="935" w:right="1440" w:bottom="144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Peter F. Secchia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25298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Peter F. Secchia, Director*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Dan M. Dutton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25298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Dan M. Dutton, Director*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John W. Garside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25298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John W. Garside, Director*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Gary F. Goode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252984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Gary F. Goode, Director*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William R.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252984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R. Payne, Director*</w:t>
      </w:r>
    </w:p>
    <w:p>
      <w:pPr>
        <w:spacing w:after="0" w:line="229"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R. Cole</w:t>
      </w:r>
    </w:p>
    <w:p>
      <w:pPr>
        <w:spacing w:after="0" w:line="23" w:lineRule="exact"/>
        <w:rPr>
          <w:sz w:val="20"/>
          <w:szCs w:val="20"/>
          <w:color w:val="auto"/>
        </w:rPr>
      </w:pPr>
    </w:p>
    <w:p>
      <w:pPr>
        <w:jc w:val="right"/>
        <w:ind w:right="1460"/>
        <w:spacing w:after="0"/>
        <w:rPr>
          <w:sz w:val="20"/>
          <w:szCs w:val="20"/>
          <w:color w:val="auto"/>
        </w:rPr>
      </w:pPr>
      <w:r>
        <w:rPr>
          <w:rFonts w:ascii="Arial" w:cs="Arial" w:eastAsia="Arial" w:hAnsi="Arial"/>
          <w:sz w:val="18"/>
          <w:szCs w:val="18"/>
          <w:b w:val="1"/>
          <w:bCs w:val="1"/>
          <w:color w:val="auto"/>
        </w:rPr>
        <w:t>Michael R. Cole,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wp:posOffset>
            </wp:positionH>
            <wp:positionV relativeFrom="paragraph">
              <wp:posOffset>-130810</wp:posOffset>
            </wp:positionV>
            <wp:extent cx="228981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/s/ William G. Currie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5558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William G. Currie, Director*</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John M. Engler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5558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John M. Engler, Director*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Michael B. Glenn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5558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Michael B. Glenn, Director*</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Mark A. Murray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55587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 A. Murray, Director*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Louis A.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55587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Louis A. Smith,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-3577590</wp:posOffset>
            </wp:positionH>
            <wp:positionV relativeFrom="paragraph">
              <wp:posOffset>1216025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4580" w:space="720"/>
            <w:col w:w="4579"/>
          </w:cols>
          <w:pgMar w:left="580" w:top="935" w:right="1440" w:bottom="1440" w:gutter="0" w:footer="0" w:header="0"/>
          <w:type w:val="continuous"/>
        </w:sectPr>
      </w:pPr>
    </w:p>
    <w:bookmarkStart w:id="6" w:name="page7"/>
    <w:bookmarkEnd w:id="6"/>
    <w:p>
      <w:pPr>
        <w:ind w:left="3960"/>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29" w:lineRule="exact"/>
        <w:rPr>
          <w:sz w:val="20"/>
          <w:szCs w:val="20"/>
          <w:color w:val="auto"/>
        </w:rPr>
      </w:pPr>
    </w:p>
    <w:p>
      <w:pPr>
        <w:ind w:left="20"/>
        <w:spacing w:after="0"/>
        <w:tabs>
          <w:tab w:leader="none" w:pos="960" w:val="left"/>
        </w:tabs>
        <w:rPr>
          <w:sz w:val="20"/>
          <w:szCs w:val="20"/>
          <w:color w:val="auto"/>
        </w:rPr>
      </w:pPr>
      <w:r>
        <w:rPr>
          <w:rFonts w:ascii="Arial" w:cs="Arial" w:eastAsia="Arial" w:hAnsi="Arial"/>
          <w:sz w:val="18"/>
          <w:szCs w:val="18"/>
          <w:u w:val="single" w:color="auto"/>
          <w:color w:val="auto"/>
        </w:rPr>
        <w:t>Exhibit #</w:t>
      </w:r>
      <w:r>
        <w:rPr>
          <w:sz w:val="20"/>
          <w:szCs w:val="20"/>
          <w:color w:val="auto"/>
        </w:rPr>
        <w:tab/>
      </w:r>
      <w:r>
        <w:rPr>
          <w:rFonts w:ascii="Arial" w:cs="Arial" w:eastAsia="Arial" w:hAnsi="Arial"/>
          <w:sz w:val="16"/>
          <w:szCs w:val="16"/>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621030</wp:posOffset>
            </wp:positionH>
            <wp:positionV relativeFrom="paragraph">
              <wp:posOffset>14605</wp:posOffset>
            </wp:positionV>
            <wp:extent cx="529971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299710" cy="8890"/>
                    </a:xfrm>
                    <a:prstGeom prst="rect">
                      <a:avLst/>
                    </a:prstGeom>
                    <a:noFill/>
                  </pic:spPr>
                </pic:pic>
              </a:graphicData>
            </a:graphic>
          </wp:anchor>
        </w:drawing>
      </w:r>
    </w:p>
    <w:p>
      <w:pPr>
        <w:spacing w:after="0" w:line="219" w:lineRule="exact"/>
        <w:rPr>
          <w:sz w:val="20"/>
          <w:szCs w:val="20"/>
          <w:color w:val="auto"/>
        </w:rPr>
      </w:pPr>
    </w:p>
    <w:p>
      <w:pPr>
        <w:ind w:left="980" w:hanging="707"/>
        <w:spacing w:after="0"/>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Certifications.</w:t>
      </w:r>
    </w:p>
    <w:p>
      <w:pPr>
        <w:spacing w:after="0" w:line="225" w:lineRule="exact"/>
        <w:rPr>
          <w:rFonts w:ascii="Arial" w:cs="Arial" w:eastAsia="Arial" w:hAnsi="Arial"/>
          <w:sz w:val="18"/>
          <w:szCs w:val="18"/>
          <w:color w:val="auto"/>
        </w:rPr>
      </w:pPr>
    </w:p>
    <w:p>
      <w:pPr>
        <w:ind w:left="1520" w:right="559" w:hanging="541"/>
        <w:spacing w:after="0" w:line="277" w:lineRule="auto"/>
        <w:tabs>
          <w:tab w:leader="none" w:pos="1520" w:val="left"/>
        </w:tabs>
        <w:numPr>
          <w:ilvl w:val="2"/>
          <w:numId w:val="5"/>
        </w:numPr>
        <w:rPr>
          <w:rFonts w:ascii="Arial" w:cs="Arial" w:eastAsia="Arial" w:hAnsi="Arial"/>
          <w:sz w:val="18"/>
          <w:szCs w:val="18"/>
          <w:color w:val="auto"/>
        </w:rPr>
      </w:pPr>
      <w:r>
        <w:rPr>
          <w:rFonts w:ascii="Arial" w:cs="Arial" w:eastAsia="Arial" w:hAnsi="Arial"/>
          <w:sz w:val="18"/>
          <w:szCs w:val="18"/>
          <w:color w:val="auto"/>
        </w:rPr>
        <w:t>Certificate of the Chief Executive Officer of Universal Forest Products, Inc., pursuant to Section 302 of the Sarbanes-Oxley Act of 2002 (18 U.S.C. 1350).</w:t>
      </w:r>
    </w:p>
    <w:p>
      <w:pPr>
        <w:spacing w:after="0" w:line="170" w:lineRule="exact"/>
        <w:rPr>
          <w:rFonts w:ascii="Arial" w:cs="Arial" w:eastAsia="Arial" w:hAnsi="Arial"/>
          <w:sz w:val="18"/>
          <w:szCs w:val="18"/>
          <w:color w:val="auto"/>
        </w:rPr>
      </w:pPr>
    </w:p>
    <w:p>
      <w:pPr>
        <w:ind w:left="1520" w:right="559" w:hanging="541"/>
        <w:spacing w:after="0" w:line="277" w:lineRule="auto"/>
        <w:tabs>
          <w:tab w:leader="none" w:pos="1520" w:val="left"/>
        </w:tabs>
        <w:numPr>
          <w:ilvl w:val="2"/>
          <w:numId w:val="5"/>
        </w:numPr>
        <w:rPr>
          <w:rFonts w:ascii="Arial" w:cs="Arial" w:eastAsia="Arial" w:hAnsi="Arial"/>
          <w:sz w:val="18"/>
          <w:szCs w:val="18"/>
          <w:color w:val="auto"/>
        </w:rPr>
      </w:pPr>
      <w:r>
        <w:rPr>
          <w:rFonts w:ascii="Arial" w:cs="Arial" w:eastAsia="Arial" w:hAnsi="Arial"/>
          <w:sz w:val="18"/>
          <w:szCs w:val="18"/>
          <w:color w:val="auto"/>
        </w:rPr>
        <w:t>Certificate of the Chief Financial Officer of Universal Forest Products, Inc., pursuant to Section 302 of the Sarbanes-Oxley Act of 2002 (18 U.S.C. 1350).</w:t>
      </w:r>
    </w:p>
    <w:p>
      <w:pPr>
        <w:spacing w:after="0" w:line="170" w:lineRule="exact"/>
        <w:rPr>
          <w:rFonts w:ascii="Arial" w:cs="Arial" w:eastAsia="Arial" w:hAnsi="Arial"/>
          <w:sz w:val="18"/>
          <w:szCs w:val="18"/>
          <w:color w:val="auto"/>
        </w:rPr>
      </w:pPr>
    </w:p>
    <w:p>
      <w:pPr>
        <w:ind w:left="980" w:hanging="707"/>
        <w:spacing w:after="0"/>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Certifications.</w:t>
      </w:r>
    </w:p>
    <w:p>
      <w:pPr>
        <w:spacing w:after="0" w:line="225" w:lineRule="exact"/>
        <w:rPr>
          <w:rFonts w:ascii="Arial" w:cs="Arial" w:eastAsia="Arial" w:hAnsi="Arial"/>
          <w:sz w:val="18"/>
          <w:szCs w:val="18"/>
          <w:color w:val="auto"/>
        </w:rPr>
      </w:pPr>
    </w:p>
    <w:p>
      <w:pPr>
        <w:ind w:left="1520" w:right="559" w:hanging="541"/>
        <w:spacing w:after="0" w:line="277" w:lineRule="auto"/>
        <w:tabs>
          <w:tab w:leader="none" w:pos="1520" w:val="left"/>
        </w:tabs>
        <w:numPr>
          <w:ilvl w:val="2"/>
          <w:numId w:val="5"/>
        </w:numPr>
        <w:rPr>
          <w:rFonts w:ascii="Arial" w:cs="Arial" w:eastAsia="Arial" w:hAnsi="Arial"/>
          <w:sz w:val="18"/>
          <w:szCs w:val="18"/>
          <w:color w:val="auto"/>
        </w:rPr>
      </w:pPr>
      <w:r>
        <w:rPr>
          <w:rFonts w:ascii="Arial" w:cs="Arial" w:eastAsia="Arial" w:hAnsi="Arial"/>
          <w:sz w:val="18"/>
          <w:szCs w:val="18"/>
          <w:color w:val="auto"/>
        </w:rPr>
        <w:t>Certificate of the Chief Executive Officer of Universal Forest Products, Inc., pursuant to Section 906 of the Sarbanes-Oxley Act of 2002 (18 U.S.C. 1350).</w:t>
      </w:r>
    </w:p>
    <w:p>
      <w:pPr>
        <w:spacing w:after="0" w:line="170" w:lineRule="exact"/>
        <w:rPr>
          <w:rFonts w:ascii="Arial" w:cs="Arial" w:eastAsia="Arial" w:hAnsi="Arial"/>
          <w:sz w:val="18"/>
          <w:szCs w:val="18"/>
          <w:color w:val="auto"/>
        </w:rPr>
      </w:pPr>
    </w:p>
    <w:p>
      <w:pPr>
        <w:ind w:left="1520" w:right="559" w:hanging="541"/>
        <w:spacing w:after="0" w:line="277" w:lineRule="auto"/>
        <w:tabs>
          <w:tab w:leader="none" w:pos="1520" w:val="left"/>
        </w:tabs>
        <w:numPr>
          <w:ilvl w:val="2"/>
          <w:numId w:val="5"/>
        </w:numPr>
        <w:rPr>
          <w:rFonts w:ascii="Arial" w:cs="Arial" w:eastAsia="Arial" w:hAnsi="Arial"/>
          <w:sz w:val="18"/>
          <w:szCs w:val="18"/>
          <w:color w:val="auto"/>
        </w:rPr>
      </w:pPr>
      <w:r>
        <w:rPr>
          <w:rFonts w:ascii="Arial" w:cs="Arial" w:eastAsia="Arial" w:hAnsi="Arial"/>
          <w:sz w:val="18"/>
          <w:szCs w:val="18"/>
          <w:color w:val="auto"/>
        </w:rPr>
        <w:t>Certificate of the Chief Financial Officer of Universal Forest Products, Inc., pursuant to Section 906 of the Sarbanes-Oxley Act of 2002 (18 U.S.C. 1350).</w:t>
      </w:r>
    </w:p>
    <w:p>
      <w:pPr>
        <w:spacing w:after="0" w:line="200" w:lineRule="exact"/>
        <w:rPr>
          <w:rFonts w:ascii="Arial" w:cs="Arial" w:eastAsia="Arial" w:hAnsi="Arial"/>
          <w:sz w:val="18"/>
          <w:szCs w:val="18"/>
          <w:color w:val="auto"/>
        </w:rPr>
      </w:pPr>
    </w:p>
    <w:p>
      <w:pPr>
        <w:spacing w:after="0" w:line="294"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Indicates a compensatory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-207645</wp:posOffset>
            </wp:positionV>
            <wp:extent cx="106362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7" w:name="page8"/>
    <w:bookmarkEnd w:id="7"/>
    <w:p>
      <w:pPr>
        <w:jc w:val="right"/>
        <w:ind w:right="559"/>
        <w:spacing w:after="0"/>
        <w:rPr>
          <w:sz w:val="20"/>
          <w:szCs w:val="20"/>
          <w:color w:val="auto"/>
        </w:rPr>
      </w:pPr>
      <w:r>
        <w:rPr>
          <w:rFonts w:ascii="Arial" w:cs="Arial" w:eastAsia="Arial" w:hAnsi="Arial"/>
          <w:sz w:val="18"/>
          <w:szCs w:val="18"/>
          <w:b w:val="1"/>
          <w:bCs w:val="1"/>
          <w:u w:val="single" w:color="auto"/>
          <w:color w:val="auto"/>
        </w:rPr>
        <w:t>EXHIBIT 31(a)</w:t>
      </w:r>
    </w:p>
    <w:p>
      <w:pPr>
        <w:spacing w:after="0" w:line="185" w:lineRule="exact"/>
        <w:rPr>
          <w:sz w:val="20"/>
          <w:szCs w:val="20"/>
          <w:color w:val="auto"/>
        </w:rPr>
      </w:pPr>
    </w:p>
    <w:p>
      <w:pPr>
        <w:jc w:val="center"/>
        <w:ind w:right="551"/>
        <w:spacing w:after="0"/>
        <w:rPr>
          <w:sz w:val="20"/>
          <w:szCs w:val="20"/>
          <w:color w:val="auto"/>
        </w:rPr>
      </w:pPr>
      <w:r>
        <w:rPr>
          <w:rFonts w:ascii="Arial" w:cs="Arial" w:eastAsia="Arial" w:hAnsi="Arial"/>
          <w:sz w:val="18"/>
          <w:szCs w:val="18"/>
          <w:b w:val="1"/>
          <w:bCs w:val="1"/>
          <w:color w:val="auto"/>
        </w:rPr>
        <w:t>Universal Forest Products, Inc.</w:t>
      </w:r>
    </w:p>
    <w:p>
      <w:pPr>
        <w:spacing w:after="0" w:line="198" w:lineRule="exact"/>
        <w:rPr>
          <w:sz w:val="20"/>
          <w:szCs w:val="20"/>
          <w:color w:val="auto"/>
        </w:rPr>
      </w:pPr>
    </w:p>
    <w:p>
      <w:pPr>
        <w:ind w:left="4168"/>
        <w:spacing w:after="0"/>
        <w:rPr>
          <w:sz w:val="20"/>
          <w:szCs w:val="20"/>
          <w:color w:val="auto"/>
        </w:rPr>
      </w:pPr>
      <w:r>
        <w:rPr>
          <w:rFonts w:ascii="Arial" w:cs="Arial" w:eastAsia="Arial" w:hAnsi="Arial"/>
          <w:sz w:val="18"/>
          <w:szCs w:val="18"/>
          <w:b w:val="1"/>
          <w:bCs w:val="1"/>
          <w:color w:val="auto"/>
        </w:rPr>
        <w:t>Certification</w:t>
      </w:r>
    </w:p>
    <w:p>
      <w:pPr>
        <w:spacing w:after="0" w:line="189" w:lineRule="exact"/>
        <w:rPr>
          <w:sz w:val="20"/>
          <w:szCs w:val="20"/>
          <w:color w:val="auto"/>
        </w:rPr>
      </w:pPr>
    </w:p>
    <w:p>
      <w:pPr>
        <w:ind w:left="8"/>
        <w:spacing w:after="0"/>
        <w:rPr>
          <w:sz w:val="20"/>
          <w:szCs w:val="20"/>
          <w:color w:val="auto"/>
        </w:rPr>
      </w:pPr>
      <w:r>
        <w:rPr>
          <w:rFonts w:ascii="Arial" w:cs="Arial" w:eastAsia="Arial" w:hAnsi="Arial"/>
          <w:sz w:val="18"/>
          <w:szCs w:val="18"/>
          <w:color w:val="auto"/>
        </w:rPr>
        <w:t>I, Michael B. Glenn, certify that:</w:t>
      </w:r>
    </w:p>
    <w:p>
      <w:pPr>
        <w:spacing w:after="0" w:line="185" w:lineRule="exact"/>
        <w:rPr>
          <w:sz w:val="20"/>
          <w:szCs w:val="20"/>
          <w:color w:val="auto"/>
        </w:rPr>
      </w:pPr>
    </w:p>
    <w:p>
      <w:pPr>
        <w:ind w:left="348" w:hanging="348"/>
        <w:spacing w:after="0"/>
        <w:tabs>
          <w:tab w:leader="none" w:pos="348"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report on Form 10-K of Universal Forest Products, Inc.;</w:t>
      </w:r>
    </w:p>
    <w:p>
      <w:pPr>
        <w:spacing w:after="0" w:line="157" w:lineRule="exact"/>
        <w:rPr>
          <w:rFonts w:ascii="Arial" w:cs="Arial" w:eastAsia="Arial" w:hAnsi="Arial"/>
          <w:sz w:val="18"/>
          <w:szCs w:val="18"/>
          <w:color w:val="auto"/>
        </w:rPr>
      </w:pPr>
    </w:p>
    <w:p>
      <w:pPr>
        <w:jc w:val="both"/>
        <w:ind w:left="348" w:right="559" w:hanging="348"/>
        <w:spacing w:after="0" w:line="264" w:lineRule="auto"/>
        <w:tabs>
          <w:tab w:leader="none" w:pos="348"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3" w:lineRule="exact"/>
        <w:rPr>
          <w:rFonts w:ascii="Arial" w:cs="Arial" w:eastAsia="Arial" w:hAnsi="Arial"/>
          <w:sz w:val="18"/>
          <w:szCs w:val="18"/>
          <w:color w:val="auto"/>
        </w:rPr>
      </w:pPr>
    </w:p>
    <w:p>
      <w:pPr>
        <w:jc w:val="both"/>
        <w:ind w:left="348" w:right="559" w:hanging="348"/>
        <w:spacing w:after="0" w:line="264" w:lineRule="auto"/>
        <w:tabs>
          <w:tab w:leader="none" w:pos="348"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3" w:lineRule="exact"/>
        <w:rPr>
          <w:rFonts w:ascii="Arial" w:cs="Arial" w:eastAsia="Arial" w:hAnsi="Arial"/>
          <w:sz w:val="18"/>
          <w:szCs w:val="18"/>
          <w:color w:val="auto"/>
        </w:rPr>
      </w:pPr>
    </w:p>
    <w:p>
      <w:pPr>
        <w:jc w:val="both"/>
        <w:ind w:left="348" w:right="559" w:hanging="348"/>
        <w:spacing w:after="0" w:line="264" w:lineRule="auto"/>
        <w:tabs>
          <w:tab w:leader="none" w:pos="348"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4" w:lineRule="exact"/>
        <w:rPr>
          <w:rFonts w:ascii="Arial" w:cs="Arial" w:eastAsia="Arial" w:hAnsi="Arial"/>
          <w:sz w:val="18"/>
          <w:szCs w:val="18"/>
          <w:color w:val="auto"/>
        </w:rPr>
      </w:pPr>
    </w:p>
    <w:p>
      <w:pPr>
        <w:jc w:val="both"/>
        <w:ind w:left="708" w:right="559" w:hanging="343"/>
        <w:spacing w:after="0" w:line="259" w:lineRule="auto"/>
        <w:tabs>
          <w:tab w:leader="none" w:pos="708"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9" w:lineRule="exact"/>
        <w:rPr>
          <w:rFonts w:ascii="Arial" w:cs="Arial" w:eastAsia="Arial" w:hAnsi="Arial"/>
          <w:sz w:val="18"/>
          <w:szCs w:val="18"/>
          <w:color w:val="auto"/>
        </w:rPr>
      </w:pPr>
    </w:p>
    <w:p>
      <w:pPr>
        <w:jc w:val="both"/>
        <w:ind w:left="708" w:right="559" w:hanging="343"/>
        <w:spacing w:after="0" w:line="312" w:lineRule="auto"/>
        <w:tabs>
          <w:tab w:leader="none" w:pos="708" w:val="left"/>
        </w:tabs>
        <w:numPr>
          <w:ilvl w:val="1"/>
          <w:numId w:val="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de designed under our supervision, to provide reasonable assurance regarding the reliability of financial reporting and the preparation of financial statements for external purposes in accordance with generally accepted accounting principles;</w:t>
      </w:r>
    </w:p>
    <w:p>
      <w:pPr>
        <w:spacing w:after="0" w:line="79" w:lineRule="exact"/>
        <w:rPr>
          <w:rFonts w:ascii="Arial" w:cs="Arial" w:eastAsia="Arial" w:hAnsi="Arial"/>
          <w:sz w:val="16"/>
          <w:szCs w:val="16"/>
          <w:color w:val="auto"/>
        </w:rPr>
      </w:pPr>
    </w:p>
    <w:p>
      <w:pPr>
        <w:jc w:val="both"/>
        <w:ind w:left="708" w:right="559" w:hanging="343"/>
        <w:spacing w:after="0" w:line="264" w:lineRule="auto"/>
        <w:tabs>
          <w:tab w:leader="none" w:pos="708" w:val="left"/>
        </w:tabs>
        <w:numPr>
          <w:ilvl w:val="1"/>
          <w:numId w:val="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3" w:lineRule="exact"/>
        <w:rPr>
          <w:rFonts w:ascii="Arial" w:cs="Arial" w:eastAsia="Arial" w:hAnsi="Arial"/>
          <w:sz w:val="18"/>
          <w:szCs w:val="18"/>
          <w:color w:val="auto"/>
        </w:rPr>
      </w:pPr>
    </w:p>
    <w:p>
      <w:pPr>
        <w:jc w:val="both"/>
        <w:ind w:left="708" w:right="559" w:hanging="343"/>
        <w:spacing w:after="0" w:line="259" w:lineRule="auto"/>
        <w:tabs>
          <w:tab w:leader="none" w:pos="708"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6" w:lineRule="exact"/>
        <w:rPr>
          <w:rFonts w:ascii="Arial" w:cs="Arial" w:eastAsia="Arial" w:hAnsi="Arial"/>
          <w:sz w:val="18"/>
          <w:szCs w:val="18"/>
          <w:color w:val="auto"/>
        </w:rPr>
      </w:pPr>
    </w:p>
    <w:p>
      <w:pPr>
        <w:jc w:val="both"/>
        <w:ind w:left="348" w:right="559" w:hanging="348"/>
        <w:spacing w:after="0" w:line="264" w:lineRule="auto"/>
        <w:tabs>
          <w:tab w:leader="none" w:pos="348"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0" w:lineRule="exact"/>
        <w:rPr>
          <w:rFonts w:ascii="Arial" w:cs="Arial" w:eastAsia="Arial" w:hAnsi="Arial"/>
          <w:sz w:val="18"/>
          <w:szCs w:val="18"/>
          <w:color w:val="auto"/>
        </w:rPr>
      </w:pPr>
    </w:p>
    <w:p>
      <w:pPr>
        <w:jc w:val="both"/>
        <w:ind w:left="708" w:right="559" w:hanging="343"/>
        <w:spacing w:after="0" w:line="264" w:lineRule="auto"/>
        <w:tabs>
          <w:tab w:leader="none" w:pos="708"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3" w:lineRule="exact"/>
        <w:rPr>
          <w:rFonts w:ascii="Arial" w:cs="Arial" w:eastAsia="Arial" w:hAnsi="Arial"/>
          <w:sz w:val="18"/>
          <w:szCs w:val="18"/>
          <w:color w:val="auto"/>
        </w:rPr>
      </w:pPr>
    </w:p>
    <w:p>
      <w:pPr>
        <w:ind w:left="708" w:right="559" w:hanging="343"/>
        <w:spacing w:after="0" w:line="277" w:lineRule="auto"/>
        <w:tabs>
          <w:tab w:leader="none" w:pos="708"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8" w:type="dxa"/>
        <w:tblCellMar>
          <w:top w:w="0" w:type="dxa"/>
          <w:left w:w="0" w:type="dxa"/>
          <w:bottom w:w="0" w:type="dxa"/>
          <w:right w:w="0" w:type="dxa"/>
        </w:tblCellMar>
      </w:tblP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Date: March 6, 2009</w:t>
            </w:r>
          </w:p>
        </w:tc>
        <w:tc>
          <w:tcPr>
            <w:tcW w:w="3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B. Glenn</w:t>
            </w:r>
          </w:p>
        </w:tc>
      </w:tr>
      <w:tr>
        <w:trPr>
          <w:trHeight w:val="195"/>
        </w:trPr>
        <w:tc>
          <w:tcPr>
            <w:tcW w:w="4480" w:type="dxa"/>
            <w:vAlign w:val="bottom"/>
          </w:tcPr>
          <w:p>
            <w:pPr>
              <w:spacing w:after="0"/>
              <w:rPr>
                <w:sz w:val="16"/>
                <w:szCs w:val="16"/>
                <w:color w:val="auto"/>
              </w:rPr>
            </w:pPr>
          </w:p>
        </w:tc>
        <w:tc>
          <w:tcPr>
            <w:tcW w:w="3460" w:type="dxa"/>
            <w:vAlign w:val="bottom"/>
          </w:tcPr>
          <w:p>
            <w:pPr>
              <w:spacing w:after="0" w:line="195" w:lineRule="exact"/>
              <w:rPr>
                <w:sz w:val="20"/>
                <w:szCs w:val="20"/>
                <w:color w:val="auto"/>
              </w:rPr>
            </w:pPr>
            <w:r>
              <w:rPr>
                <w:rFonts w:ascii="Arial" w:cs="Arial" w:eastAsia="Arial" w:hAnsi="Arial"/>
                <w:sz w:val="18"/>
                <w:szCs w:val="18"/>
                <w:color w:val="auto"/>
              </w:rPr>
              <w:t>Michael B. Glenn</w:t>
            </w:r>
          </w:p>
        </w:tc>
      </w:tr>
      <w:tr>
        <w:trPr>
          <w:trHeight w:val="230"/>
        </w:trPr>
        <w:tc>
          <w:tcPr>
            <w:tcW w:w="448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9887"/>
          </w:cols>
          <w:pgMar w:left="572" w:top="121" w:right="1440" w:bottom="1440" w:gutter="0" w:footer="0" w:header="0"/>
        </w:sectPr>
      </w:pPr>
    </w:p>
    <w:bookmarkStart w:id="8" w:name="page9"/>
    <w:bookmarkEnd w:id="8"/>
    <w:p>
      <w:pPr>
        <w:jc w:val="right"/>
        <w:ind w:right="559"/>
        <w:spacing w:after="0"/>
        <w:rPr>
          <w:sz w:val="20"/>
          <w:szCs w:val="20"/>
          <w:color w:val="auto"/>
        </w:rPr>
      </w:pPr>
      <w:r>
        <w:rPr>
          <w:rFonts w:ascii="Arial" w:cs="Arial" w:eastAsia="Arial" w:hAnsi="Arial"/>
          <w:sz w:val="18"/>
          <w:szCs w:val="18"/>
          <w:b w:val="1"/>
          <w:bCs w:val="1"/>
          <w:u w:val="single" w:color="auto"/>
          <w:color w:val="auto"/>
        </w:rPr>
        <w:t>EXHIBIT 31(b)</w:t>
      </w:r>
    </w:p>
    <w:p>
      <w:pPr>
        <w:spacing w:after="0" w:line="185" w:lineRule="exact"/>
        <w:rPr>
          <w:sz w:val="20"/>
          <w:szCs w:val="20"/>
          <w:color w:val="auto"/>
        </w:rPr>
      </w:pPr>
    </w:p>
    <w:p>
      <w:pPr>
        <w:jc w:val="center"/>
        <w:ind w:right="551"/>
        <w:spacing w:after="0"/>
        <w:rPr>
          <w:sz w:val="20"/>
          <w:szCs w:val="20"/>
          <w:color w:val="auto"/>
        </w:rPr>
      </w:pPr>
      <w:r>
        <w:rPr>
          <w:rFonts w:ascii="Arial" w:cs="Arial" w:eastAsia="Arial" w:hAnsi="Arial"/>
          <w:sz w:val="18"/>
          <w:szCs w:val="18"/>
          <w:b w:val="1"/>
          <w:bCs w:val="1"/>
          <w:color w:val="auto"/>
        </w:rPr>
        <w:t>Universal Forest Products, Inc.</w:t>
      </w:r>
    </w:p>
    <w:p>
      <w:pPr>
        <w:spacing w:after="0" w:line="198" w:lineRule="exact"/>
        <w:rPr>
          <w:sz w:val="20"/>
          <w:szCs w:val="20"/>
          <w:color w:val="auto"/>
        </w:rPr>
      </w:pPr>
    </w:p>
    <w:p>
      <w:pPr>
        <w:ind w:left="4168"/>
        <w:spacing w:after="0"/>
        <w:rPr>
          <w:sz w:val="20"/>
          <w:szCs w:val="20"/>
          <w:color w:val="auto"/>
        </w:rPr>
      </w:pPr>
      <w:r>
        <w:rPr>
          <w:rFonts w:ascii="Arial" w:cs="Arial" w:eastAsia="Arial" w:hAnsi="Arial"/>
          <w:sz w:val="18"/>
          <w:szCs w:val="18"/>
          <w:b w:val="1"/>
          <w:bCs w:val="1"/>
          <w:color w:val="auto"/>
        </w:rPr>
        <w:t>Certification</w:t>
      </w:r>
    </w:p>
    <w:p>
      <w:pPr>
        <w:spacing w:after="0" w:line="189" w:lineRule="exact"/>
        <w:rPr>
          <w:sz w:val="20"/>
          <w:szCs w:val="20"/>
          <w:color w:val="auto"/>
        </w:rPr>
      </w:pPr>
    </w:p>
    <w:p>
      <w:pPr>
        <w:ind w:left="8"/>
        <w:spacing w:after="0"/>
        <w:rPr>
          <w:sz w:val="20"/>
          <w:szCs w:val="20"/>
          <w:color w:val="auto"/>
        </w:rPr>
      </w:pPr>
      <w:r>
        <w:rPr>
          <w:rFonts w:ascii="Arial" w:cs="Arial" w:eastAsia="Arial" w:hAnsi="Arial"/>
          <w:sz w:val="18"/>
          <w:szCs w:val="18"/>
          <w:color w:val="auto"/>
        </w:rPr>
        <w:t>I, Michael R. Cole, certify that:</w:t>
      </w:r>
    </w:p>
    <w:p>
      <w:pPr>
        <w:spacing w:after="0" w:line="185" w:lineRule="exact"/>
        <w:rPr>
          <w:sz w:val="20"/>
          <w:szCs w:val="20"/>
          <w:color w:val="auto"/>
        </w:rPr>
      </w:pPr>
    </w:p>
    <w:p>
      <w:pPr>
        <w:ind w:left="348" w:hanging="348"/>
        <w:spacing w:after="0"/>
        <w:tabs>
          <w:tab w:leader="none" w:pos="348"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report on Form 10-K of Universal Forest Products, Inc.;</w:t>
      </w:r>
    </w:p>
    <w:p>
      <w:pPr>
        <w:spacing w:after="0" w:line="157" w:lineRule="exact"/>
        <w:rPr>
          <w:rFonts w:ascii="Arial" w:cs="Arial" w:eastAsia="Arial" w:hAnsi="Arial"/>
          <w:sz w:val="18"/>
          <w:szCs w:val="18"/>
          <w:color w:val="auto"/>
        </w:rPr>
      </w:pPr>
    </w:p>
    <w:p>
      <w:pPr>
        <w:jc w:val="both"/>
        <w:ind w:left="348" w:right="559" w:hanging="348"/>
        <w:spacing w:after="0" w:line="264" w:lineRule="auto"/>
        <w:tabs>
          <w:tab w:leader="none" w:pos="348"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3" w:lineRule="exact"/>
        <w:rPr>
          <w:rFonts w:ascii="Arial" w:cs="Arial" w:eastAsia="Arial" w:hAnsi="Arial"/>
          <w:sz w:val="18"/>
          <w:szCs w:val="18"/>
          <w:color w:val="auto"/>
        </w:rPr>
      </w:pPr>
    </w:p>
    <w:p>
      <w:pPr>
        <w:jc w:val="both"/>
        <w:ind w:left="348" w:right="559" w:hanging="348"/>
        <w:spacing w:after="0" w:line="264" w:lineRule="auto"/>
        <w:tabs>
          <w:tab w:leader="none" w:pos="348"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3" w:lineRule="exact"/>
        <w:rPr>
          <w:rFonts w:ascii="Arial" w:cs="Arial" w:eastAsia="Arial" w:hAnsi="Arial"/>
          <w:sz w:val="18"/>
          <w:szCs w:val="18"/>
          <w:color w:val="auto"/>
        </w:rPr>
      </w:pPr>
    </w:p>
    <w:p>
      <w:pPr>
        <w:jc w:val="both"/>
        <w:ind w:left="348" w:right="559" w:hanging="348"/>
        <w:spacing w:after="0" w:line="264" w:lineRule="auto"/>
        <w:tabs>
          <w:tab w:leader="none" w:pos="348"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4" w:lineRule="exact"/>
        <w:rPr>
          <w:rFonts w:ascii="Arial" w:cs="Arial" w:eastAsia="Arial" w:hAnsi="Arial"/>
          <w:sz w:val="18"/>
          <w:szCs w:val="18"/>
          <w:color w:val="auto"/>
        </w:rPr>
      </w:pPr>
    </w:p>
    <w:p>
      <w:pPr>
        <w:jc w:val="both"/>
        <w:ind w:left="708" w:right="559" w:hanging="343"/>
        <w:spacing w:after="0" w:line="259" w:lineRule="auto"/>
        <w:tabs>
          <w:tab w:leader="none" w:pos="708"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9" w:lineRule="exact"/>
        <w:rPr>
          <w:rFonts w:ascii="Arial" w:cs="Arial" w:eastAsia="Arial" w:hAnsi="Arial"/>
          <w:sz w:val="18"/>
          <w:szCs w:val="18"/>
          <w:color w:val="auto"/>
        </w:rPr>
      </w:pPr>
    </w:p>
    <w:p>
      <w:pPr>
        <w:jc w:val="both"/>
        <w:ind w:left="708" w:right="559" w:hanging="343"/>
        <w:spacing w:after="0" w:line="312" w:lineRule="auto"/>
        <w:tabs>
          <w:tab w:leader="none" w:pos="708" w:val="left"/>
        </w:tabs>
        <w:numPr>
          <w:ilvl w:val="1"/>
          <w:numId w:val="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de designed under our supervision, to provide reasonable assurance regarding the reliability of financial reporting and the preparation of financial statements for external purposes in accordance with generally accepted accounting principles;</w:t>
      </w:r>
    </w:p>
    <w:p>
      <w:pPr>
        <w:spacing w:after="0" w:line="79" w:lineRule="exact"/>
        <w:rPr>
          <w:rFonts w:ascii="Arial" w:cs="Arial" w:eastAsia="Arial" w:hAnsi="Arial"/>
          <w:sz w:val="16"/>
          <w:szCs w:val="16"/>
          <w:color w:val="auto"/>
        </w:rPr>
      </w:pPr>
    </w:p>
    <w:p>
      <w:pPr>
        <w:jc w:val="both"/>
        <w:ind w:left="708" w:right="559" w:hanging="343"/>
        <w:spacing w:after="0" w:line="264" w:lineRule="auto"/>
        <w:tabs>
          <w:tab w:leader="none" w:pos="708" w:val="left"/>
        </w:tabs>
        <w:numPr>
          <w:ilvl w:val="1"/>
          <w:numId w:val="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3" w:lineRule="exact"/>
        <w:rPr>
          <w:rFonts w:ascii="Arial" w:cs="Arial" w:eastAsia="Arial" w:hAnsi="Arial"/>
          <w:sz w:val="18"/>
          <w:szCs w:val="18"/>
          <w:color w:val="auto"/>
        </w:rPr>
      </w:pPr>
    </w:p>
    <w:p>
      <w:pPr>
        <w:jc w:val="both"/>
        <w:ind w:left="708" w:right="559" w:hanging="343"/>
        <w:spacing w:after="0" w:line="259" w:lineRule="auto"/>
        <w:tabs>
          <w:tab w:leader="none" w:pos="708"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6" w:lineRule="exact"/>
        <w:rPr>
          <w:rFonts w:ascii="Arial" w:cs="Arial" w:eastAsia="Arial" w:hAnsi="Arial"/>
          <w:sz w:val="18"/>
          <w:szCs w:val="18"/>
          <w:color w:val="auto"/>
        </w:rPr>
      </w:pPr>
    </w:p>
    <w:p>
      <w:pPr>
        <w:jc w:val="both"/>
        <w:ind w:left="348" w:right="559" w:hanging="348"/>
        <w:spacing w:after="0" w:line="264" w:lineRule="auto"/>
        <w:tabs>
          <w:tab w:leader="none" w:pos="348"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0" w:lineRule="exact"/>
        <w:rPr>
          <w:rFonts w:ascii="Arial" w:cs="Arial" w:eastAsia="Arial" w:hAnsi="Arial"/>
          <w:sz w:val="18"/>
          <w:szCs w:val="18"/>
          <w:color w:val="auto"/>
        </w:rPr>
      </w:pPr>
    </w:p>
    <w:p>
      <w:pPr>
        <w:jc w:val="both"/>
        <w:ind w:left="708" w:right="559" w:hanging="343"/>
        <w:spacing w:after="0" w:line="264" w:lineRule="auto"/>
        <w:tabs>
          <w:tab w:leader="none" w:pos="708"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3" w:lineRule="exact"/>
        <w:rPr>
          <w:rFonts w:ascii="Arial" w:cs="Arial" w:eastAsia="Arial" w:hAnsi="Arial"/>
          <w:sz w:val="18"/>
          <w:szCs w:val="18"/>
          <w:color w:val="auto"/>
        </w:rPr>
      </w:pPr>
    </w:p>
    <w:p>
      <w:pPr>
        <w:ind w:left="708" w:right="559" w:hanging="343"/>
        <w:spacing w:after="0" w:line="277" w:lineRule="auto"/>
        <w:tabs>
          <w:tab w:leader="none" w:pos="708"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8" w:type="dxa"/>
        <w:tblCellMar>
          <w:top w:w="0" w:type="dxa"/>
          <w:left w:w="0" w:type="dxa"/>
          <w:bottom w:w="0" w:type="dxa"/>
          <w:right w:w="0" w:type="dxa"/>
        </w:tblCellMar>
      </w:tblP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Date: March 6, 2009</w:t>
            </w:r>
          </w:p>
        </w:tc>
        <w:tc>
          <w:tcPr>
            <w:tcW w:w="3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R. Cole</w:t>
            </w:r>
          </w:p>
        </w:tc>
      </w:tr>
      <w:tr>
        <w:trPr>
          <w:trHeight w:val="195"/>
        </w:trPr>
        <w:tc>
          <w:tcPr>
            <w:tcW w:w="4480" w:type="dxa"/>
            <w:vAlign w:val="bottom"/>
          </w:tcPr>
          <w:p>
            <w:pPr>
              <w:spacing w:after="0"/>
              <w:rPr>
                <w:sz w:val="16"/>
                <w:szCs w:val="16"/>
                <w:color w:val="auto"/>
              </w:rPr>
            </w:pPr>
          </w:p>
        </w:tc>
        <w:tc>
          <w:tcPr>
            <w:tcW w:w="3460" w:type="dxa"/>
            <w:vAlign w:val="bottom"/>
          </w:tcPr>
          <w:p>
            <w:pPr>
              <w:spacing w:after="0" w:line="195" w:lineRule="exact"/>
              <w:rPr>
                <w:sz w:val="20"/>
                <w:szCs w:val="20"/>
                <w:color w:val="auto"/>
              </w:rPr>
            </w:pPr>
            <w:r>
              <w:rPr>
                <w:rFonts w:ascii="Arial" w:cs="Arial" w:eastAsia="Arial" w:hAnsi="Arial"/>
                <w:sz w:val="18"/>
                <w:szCs w:val="18"/>
                <w:color w:val="auto"/>
              </w:rPr>
              <w:t>Michael R. Cole</w:t>
            </w:r>
          </w:p>
        </w:tc>
      </w:tr>
      <w:tr>
        <w:trPr>
          <w:trHeight w:val="230"/>
        </w:trPr>
        <w:tc>
          <w:tcPr>
            <w:tcW w:w="448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9887"/>
          </w:cols>
          <w:pgMar w:left="572" w:top="121" w:right="1440" w:bottom="1440" w:gutter="0" w:footer="0" w:header="0"/>
        </w:sectPr>
      </w:pPr>
    </w:p>
    <w:bookmarkStart w:id="9" w:name="page10"/>
    <w:bookmarkEnd w:id="9"/>
    <w:p>
      <w:pPr>
        <w:jc w:val="right"/>
        <w:ind w:right="559"/>
        <w:spacing w:after="0"/>
        <w:rPr>
          <w:sz w:val="20"/>
          <w:szCs w:val="20"/>
          <w:color w:val="auto"/>
        </w:rPr>
      </w:pPr>
      <w:r>
        <w:rPr>
          <w:rFonts w:ascii="Arial" w:cs="Arial" w:eastAsia="Arial" w:hAnsi="Arial"/>
          <w:sz w:val="18"/>
          <w:szCs w:val="18"/>
          <w:b w:val="1"/>
          <w:bCs w:val="1"/>
          <w:u w:val="single" w:color="auto"/>
          <w:color w:val="auto"/>
        </w:rPr>
        <w:t>EXHIBIT 32(a)</w:t>
      </w:r>
    </w:p>
    <w:p>
      <w:pPr>
        <w:spacing w:after="0" w:line="185"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CERTIFICATE OF THE</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CHIEF EXECUTIVE OFFICER OF</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UNIVERSAL FOREST PRODUCTS, INC.</w:t>
      </w:r>
    </w:p>
    <w:p>
      <w:pPr>
        <w:spacing w:after="0" w:line="18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Pursuant to Section 906 of the Sarbanes-Oxley Act of 2002 (18 U.S.C. 1350):</w:t>
      </w:r>
    </w:p>
    <w:p>
      <w:pPr>
        <w:spacing w:after="0" w:line="185" w:lineRule="exact"/>
        <w:rPr>
          <w:sz w:val="20"/>
          <w:szCs w:val="20"/>
          <w:color w:val="auto"/>
        </w:rPr>
      </w:pPr>
    </w:p>
    <w:p>
      <w:pPr>
        <w:ind w:right="559" w:firstLine="373"/>
        <w:spacing w:after="0" w:line="277" w:lineRule="auto"/>
        <w:rPr>
          <w:sz w:val="20"/>
          <w:szCs w:val="20"/>
          <w:color w:val="auto"/>
        </w:rPr>
      </w:pPr>
      <w:r>
        <w:rPr>
          <w:rFonts w:ascii="Arial" w:cs="Arial" w:eastAsia="Arial" w:hAnsi="Arial"/>
          <w:sz w:val="18"/>
          <w:szCs w:val="18"/>
          <w:color w:val="auto"/>
        </w:rPr>
        <w:t>I, Michael B. Glenn, Chief Executive Officer of Universal Forest Products, Inc., certify, to the best of my knowledge and belief, pursuant to Section 906 of the Sarbanes-Oxley Act of 2002 (18 U.S.C. 1350) that:</w:t>
      </w:r>
    </w:p>
    <w:p>
      <w:pPr>
        <w:spacing w:after="0" w:line="130" w:lineRule="exact"/>
        <w:rPr>
          <w:sz w:val="20"/>
          <w:szCs w:val="20"/>
          <w:color w:val="auto"/>
        </w:rPr>
      </w:pPr>
    </w:p>
    <w:p>
      <w:pPr>
        <w:ind w:right="559" w:firstLine="365"/>
        <w:spacing w:after="0" w:line="277" w:lineRule="auto"/>
        <w:tabs>
          <w:tab w:leader="none" w:pos="626"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on Form 10-K for the year ended December 27, 2008, which this statement accompanies, fully complies with requirements of Section 13(a) or 15(d) of the Securities Exchange Act of 1934; and</w:t>
      </w:r>
    </w:p>
    <w:p>
      <w:pPr>
        <w:spacing w:after="0" w:line="143" w:lineRule="exact"/>
        <w:rPr>
          <w:rFonts w:ascii="Arial" w:cs="Arial" w:eastAsia="Arial" w:hAnsi="Arial"/>
          <w:sz w:val="18"/>
          <w:szCs w:val="18"/>
          <w:color w:val="auto"/>
        </w:rPr>
      </w:pPr>
    </w:p>
    <w:p>
      <w:pPr>
        <w:ind w:right="559" w:firstLine="365"/>
        <w:spacing w:after="0" w:line="277" w:lineRule="auto"/>
        <w:tabs>
          <w:tab w:leader="none" w:pos="638"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information contained in this report on Form 10-K for the period ended December 27, 2008 fairly presents, in all material respects, the financial condition and results of operations of Universal Forest Products, Inc.</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20" w:type="dxa"/>
            <w:vAlign w:val="bottom"/>
          </w:tcPr>
          <w:p>
            <w:pPr>
              <w:spacing w:after="0"/>
              <w:rPr>
                <w:sz w:val="20"/>
                <w:szCs w:val="20"/>
                <w:color w:val="auto"/>
              </w:rPr>
            </w:pPr>
          </w:p>
        </w:tc>
        <w:tc>
          <w:tcPr>
            <w:tcW w:w="5040" w:type="dxa"/>
            <w:vAlign w:val="bottom"/>
            <w:gridSpan w:val="2"/>
          </w:tcPr>
          <w:p>
            <w:pPr>
              <w:ind w:left="1420"/>
              <w:spacing w:after="0"/>
              <w:rPr>
                <w:sz w:val="20"/>
                <w:szCs w:val="20"/>
                <w:color w:val="auto"/>
              </w:rPr>
            </w:pPr>
            <w:r>
              <w:rPr>
                <w:rFonts w:ascii="Arial" w:cs="Arial" w:eastAsia="Arial" w:hAnsi="Arial"/>
                <w:sz w:val="18"/>
                <w:szCs w:val="18"/>
                <w:color w:val="auto"/>
              </w:rPr>
              <w:t>UNIVERSAL FOREST PRODUCTS, INC.</w:t>
            </w:r>
          </w:p>
        </w:tc>
      </w:tr>
      <w:tr>
        <w:trPr>
          <w:trHeight w:val="432"/>
        </w:trPr>
        <w:tc>
          <w:tcPr>
            <w:tcW w:w="2920" w:type="dxa"/>
            <w:vAlign w:val="bottom"/>
          </w:tcPr>
          <w:p>
            <w:pPr>
              <w:spacing w:after="0"/>
              <w:rPr>
                <w:sz w:val="20"/>
                <w:szCs w:val="20"/>
                <w:color w:val="auto"/>
              </w:rPr>
            </w:pPr>
            <w:r>
              <w:rPr>
                <w:rFonts w:ascii="Arial" w:cs="Arial" w:eastAsia="Arial" w:hAnsi="Arial"/>
                <w:sz w:val="18"/>
                <w:szCs w:val="18"/>
                <w:color w:val="auto"/>
              </w:rPr>
              <w:t>Date: March 6, 2009</w:t>
            </w:r>
          </w:p>
        </w:tc>
        <w:tc>
          <w:tcPr>
            <w:tcW w:w="5040" w:type="dxa"/>
            <w:vAlign w:val="bottom"/>
            <w:gridSpan w:val="2"/>
          </w:tcPr>
          <w:p>
            <w:pPr>
              <w:ind w:left="1420"/>
              <w:spacing w:after="0"/>
              <w:rPr>
                <w:sz w:val="20"/>
                <w:szCs w:val="20"/>
                <w:color w:val="auto"/>
              </w:rPr>
            </w:pPr>
            <w:r>
              <w:rPr>
                <w:rFonts w:ascii="Arial" w:cs="Arial" w:eastAsia="Arial" w:hAnsi="Arial"/>
                <w:sz w:val="18"/>
                <w:szCs w:val="18"/>
                <w:color w:val="auto"/>
              </w:rPr>
              <w:t>By: /s/ Michael B. Glenn</w:t>
            </w:r>
          </w:p>
        </w:tc>
      </w:tr>
      <w:tr>
        <w:trPr>
          <w:trHeight w:val="195"/>
        </w:trPr>
        <w:tc>
          <w:tcPr>
            <w:tcW w:w="29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2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Michael B. Glenn</w:t>
            </w:r>
          </w:p>
        </w:tc>
      </w:tr>
      <w:tr>
        <w:trPr>
          <w:trHeight w:val="230"/>
        </w:trPr>
        <w:tc>
          <w:tcPr>
            <w:tcW w:w="29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Its: Chief Executive Officer</w:t>
            </w:r>
          </w:p>
        </w:tc>
      </w:tr>
    </w:tbl>
    <w:p>
      <w:pPr>
        <w:spacing w:after="0" w:line="161" w:lineRule="exact"/>
        <w:rPr>
          <w:sz w:val="20"/>
          <w:szCs w:val="20"/>
          <w:color w:val="auto"/>
        </w:rPr>
      </w:pPr>
    </w:p>
    <w:p>
      <w:pPr>
        <w:jc w:val="both"/>
        <w:ind w:right="559"/>
        <w:spacing w:after="0" w:line="279" w:lineRule="auto"/>
        <w:rPr>
          <w:sz w:val="20"/>
          <w:szCs w:val="20"/>
          <w:color w:val="auto"/>
        </w:rPr>
      </w:pPr>
      <w:r>
        <w:rPr>
          <w:rFonts w:ascii="Arial" w:cs="Arial" w:eastAsia="Arial" w:hAnsi="Arial"/>
          <w:sz w:val="17"/>
          <w:szCs w:val="17"/>
          <w:color w:val="auto"/>
        </w:rPr>
        <w:t>The signed original of this written statement required by Section 906, or any other document authenticating, acknowledging, or otherwise adopting the signature that appears in typed form within the electronic version of this written statement required by Section 906, has been provided to Universal Forest Products, Inc. and will be retained by Universal Forest Products, Inc. and furnished to the Securities and Exchange Commission or its staff upon request.</w:t>
      </w:r>
    </w:p>
    <w:p>
      <w:pPr>
        <w:sectPr>
          <w:pgSz w:w="11900" w:h="16838" w:orient="portrait"/>
          <w:cols w:equalWidth="0" w:num="1">
            <w:col w:w="9879"/>
          </w:cols>
          <w:pgMar w:left="580" w:top="121" w:right="1440" w:bottom="1440" w:gutter="0" w:footer="0" w:header="0"/>
        </w:sectPr>
      </w:pPr>
    </w:p>
    <w:bookmarkStart w:id="10" w:name="page11"/>
    <w:bookmarkEnd w:id="10"/>
    <w:p>
      <w:pPr>
        <w:jc w:val="right"/>
        <w:ind w:right="559"/>
        <w:spacing w:after="0"/>
        <w:rPr>
          <w:sz w:val="20"/>
          <w:szCs w:val="20"/>
          <w:color w:val="auto"/>
        </w:rPr>
      </w:pPr>
      <w:r>
        <w:rPr>
          <w:rFonts w:ascii="Arial" w:cs="Arial" w:eastAsia="Arial" w:hAnsi="Arial"/>
          <w:sz w:val="18"/>
          <w:szCs w:val="18"/>
          <w:b w:val="1"/>
          <w:bCs w:val="1"/>
          <w:u w:val="single" w:color="auto"/>
          <w:color w:val="auto"/>
        </w:rPr>
        <w:t>EXHIBIT 32(b)</w:t>
      </w:r>
    </w:p>
    <w:p>
      <w:pPr>
        <w:spacing w:after="0" w:line="185"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CERTIFICATE OF THE</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CHIEF FINANCIAL OFFICER OF</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UNIVERSAL FOREST PRODUCTS, INC.</w:t>
      </w:r>
    </w:p>
    <w:p>
      <w:pPr>
        <w:spacing w:after="0" w:line="18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Pursuant to Section 906 of the Sarbanes-Oxley Act of 2002 (18 U.S.C. 1350):</w:t>
      </w:r>
    </w:p>
    <w:p>
      <w:pPr>
        <w:spacing w:after="0" w:line="185" w:lineRule="exact"/>
        <w:rPr>
          <w:sz w:val="20"/>
          <w:szCs w:val="20"/>
          <w:color w:val="auto"/>
        </w:rPr>
      </w:pPr>
    </w:p>
    <w:p>
      <w:pPr>
        <w:ind w:right="559" w:firstLine="373"/>
        <w:spacing w:after="0" w:line="277" w:lineRule="auto"/>
        <w:rPr>
          <w:sz w:val="20"/>
          <w:szCs w:val="20"/>
          <w:color w:val="auto"/>
        </w:rPr>
      </w:pPr>
      <w:r>
        <w:rPr>
          <w:rFonts w:ascii="Arial" w:cs="Arial" w:eastAsia="Arial" w:hAnsi="Arial"/>
          <w:sz w:val="18"/>
          <w:szCs w:val="18"/>
          <w:color w:val="auto"/>
        </w:rPr>
        <w:t>I, Michael R. Cole, Chief Financial Officer of Universal Forest Products, Inc., certify, to the best of my knowledge and belief, pursuant to Section 906 of the Sarbanes-Oxley Act of 2002 (18 U.S.C. 1350) that:</w:t>
      </w:r>
    </w:p>
    <w:p>
      <w:pPr>
        <w:spacing w:after="0" w:line="130" w:lineRule="exact"/>
        <w:rPr>
          <w:sz w:val="20"/>
          <w:szCs w:val="20"/>
          <w:color w:val="auto"/>
        </w:rPr>
      </w:pPr>
    </w:p>
    <w:p>
      <w:pPr>
        <w:ind w:right="559" w:firstLine="365"/>
        <w:spacing w:after="0" w:line="277" w:lineRule="auto"/>
        <w:tabs>
          <w:tab w:leader="none" w:pos="638"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on Form 10-K for the period ended December 27, 2008, which this statement accompanies, fully complies with requirements of Section 13(a) or 15(d) of the Securities Exchange Act of 1934; and</w:t>
      </w:r>
    </w:p>
    <w:p>
      <w:pPr>
        <w:spacing w:after="0" w:line="143" w:lineRule="exact"/>
        <w:rPr>
          <w:rFonts w:ascii="Arial" w:cs="Arial" w:eastAsia="Arial" w:hAnsi="Arial"/>
          <w:sz w:val="18"/>
          <w:szCs w:val="18"/>
          <w:color w:val="auto"/>
        </w:rPr>
      </w:pPr>
    </w:p>
    <w:p>
      <w:pPr>
        <w:ind w:right="559" w:firstLine="365"/>
        <w:spacing w:after="0" w:line="277" w:lineRule="auto"/>
        <w:tabs>
          <w:tab w:leader="none" w:pos="638"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information contained in this report on Form 10-K for the period ended December 27, 2008 fairly presents, in all material respects, the financial condition and results of operations of Universal Forest Products, Inc.</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20" w:type="dxa"/>
            <w:vAlign w:val="bottom"/>
          </w:tcPr>
          <w:p>
            <w:pPr>
              <w:spacing w:after="0"/>
              <w:rPr>
                <w:sz w:val="20"/>
                <w:szCs w:val="20"/>
                <w:color w:val="auto"/>
              </w:rPr>
            </w:pPr>
          </w:p>
        </w:tc>
        <w:tc>
          <w:tcPr>
            <w:tcW w:w="5040" w:type="dxa"/>
            <w:vAlign w:val="bottom"/>
            <w:gridSpan w:val="2"/>
          </w:tcPr>
          <w:p>
            <w:pPr>
              <w:ind w:left="1420"/>
              <w:spacing w:after="0"/>
              <w:rPr>
                <w:sz w:val="20"/>
                <w:szCs w:val="20"/>
                <w:color w:val="auto"/>
              </w:rPr>
            </w:pPr>
            <w:r>
              <w:rPr>
                <w:rFonts w:ascii="Arial" w:cs="Arial" w:eastAsia="Arial" w:hAnsi="Arial"/>
                <w:sz w:val="18"/>
                <w:szCs w:val="18"/>
                <w:color w:val="auto"/>
              </w:rPr>
              <w:t>UNIVERSAL FOREST PRODUCTS, INC.</w:t>
            </w:r>
          </w:p>
        </w:tc>
      </w:tr>
      <w:tr>
        <w:trPr>
          <w:trHeight w:val="432"/>
        </w:trPr>
        <w:tc>
          <w:tcPr>
            <w:tcW w:w="2920" w:type="dxa"/>
            <w:vAlign w:val="bottom"/>
          </w:tcPr>
          <w:p>
            <w:pPr>
              <w:spacing w:after="0"/>
              <w:rPr>
                <w:sz w:val="20"/>
                <w:szCs w:val="20"/>
                <w:color w:val="auto"/>
              </w:rPr>
            </w:pPr>
            <w:r>
              <w:rPr>
                <w:rFonts w:ascii="Arial" w:cs="Arial" w:eastAsia="Arial" w:hAnsi="Arial"/>
                <w:sz w:val="18"/>
                <w:szCs w:val="18"/>
                <w:color w:val="auto"/>
              </w:rPr>
              <w:t>Date: March 6, 2009</w:t>
            </w:r>
          </w:p>
        </w:tc>
        <w:tc>
          <w:tcPr>
            <w:tcW w:w="5040" w:type="dxa"/>
            <w:vAlign w:val="bottom"/>
            <w:gridSpan w:val="2"/>
          </w:tcPr>
          <w:p>
            <w:pPr>
              <w:ind w:left="1420"/>
              <w:spacing w:after="0"/>
              <w:rPr>
                <w:sz w:val="20"/>
                <w:szCs w:val="20"/>
                <w:color w:val="auto"/>
              </w:rPr>
            </w:pPr>
            <w:r>
              <w:rPr>
                <w:rFonts w:ascii="Arial" w:cs="Arial" w:eastAsia="Arial" w:hAnsi="Arial"/>
                <w:sz w:val="18"/>
                <w:szCs w:val="18"/>
                <w:color w:val="auto"/>
              </w:rPr>
              <w:t>By: /s/ Michael R. Cole</w:t>
            </w:r>
          </w:p>
        </w:tc>
      </w:tr>
      <w:tr>
        <w:trPr>
          <w:trHeight w:val="195"/>
        </w:trPr>
        <w:tc>
          <w:tcPr>
            <w:tcW w:w="29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2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Michael R. Cole</w:t>
            </w:r>
          </w:p>
        </w:tc>
      </w:tr>
      <w:tr>
        <w:trPr>
          <w:trHeight w:val="230"/>
        </w:trPr>
        <w:tc>
          <w:tcPr>
            <w:tcW w:w="29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Its: Chief Financial Officer</w:t>
            </w:r>
          </w:p>
        </w:tc>
      </w:tr>
    </w:tbl>
    <w:p>
      <w:pPr>
        <w:spacing w:after="0" w:line="161" w:lineRule="exact"/>
        <w:rPr>
          <w:sz w:val="20"/>
          <w:szCs w:val="20"/>
          <w:color w:val="auto"/>
        </w:rPr>
      </w:pPr>
    </w:p>
    <w:p>
      <w:pPr>
        <w:jc w:val="both"/>
        <w:ind w:right="559"/>
        <w:spacing w:after="0" w:line="279" w:lineRule="auto"/>
        <w:rPr>
          <w:sz w:val="20"/>
          <w:szCs w:val="20"/>
          <w:color w:val="auto"/>
        </w:rPr>
      </w:pPr>
      <w:r>
        <w:rPr>
          <w:rFonts w:ascii="Arial" w:cs="Arial" w:eastAsia="Arial" w:hAnsi="Arial"/>
          <w:sz w:val="17"/>
          <w:szCs w:val="17"/>
          <w:color w:val="auto"/>
        </w:rPr>
        <w:t>The signed original of this written statement required by Section 906, or any other document authenticating, acknowledging, or otherwise adopting the signature that appears in typed form within the electronic version of this written statement required by Section 906, has been provided to Universal Forest Products, Inc. and will be retained by Universal Forest Products, Inc. and furnished to the Securities and Exchange Commission or its staff upon request.</w:t>
      </w:r>
    </w:p>
    <w:sectPr>
      <w:pgSz w:w="11900" w:h="16838" w:orient="portrait"/>
      <w:cols w:equalWidth="0" w:num="1">
        <w:col w:w="9879"/>
      </w:cols>
      <w:pgMar w:left="58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o"/>
      <w:numFmt w:val="bullet"/>
      <w:start w:val="1"/>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1)"/>
      <w:numFmt w:val="decimal"/>
      <w:start w:val="2"/>
    </w:lvl>
  </w:abstractNum>
  <w:abstractNum w:abstractNumId="4">
    <w:nsid w:val="41B71EFB"/>
    <w:multiLevelType w:val="hybridMultilevel"/>
    <w:lvl w:ilvl="0">
      <w:lvlJc w:val="left"/>
      <w:lvlText w:val="*"/>
      <w:numFmt w:val="bullet"/>
      <w:start w:val="1"/>
    </w:lvl>
    <w:lvl w:ilvl="1">
      <w:lvlJc w:val="left"/>
      <w:lvlText w:val="%2"/>
      <w:numFmt w:val="decimal"/>
      <w:start w:val="31"/>
    </w:lvl>
    <w:lvl w:ilvl="2">
      <w:lvlJc w:val="left"/>
      <w:lvlText w:val="(%3)"/>
      <w:numFmt w:val="lowerLetter"/>
      <w:start w:val="1"/>
    </w:lvl>
  </w:abstractNum>
  <w:abstractNum w:abstractNumId="5">
    <w:nsid w:val="79E2A9E3"/>
    <w:multiLevelType w:val="hybridMultilevel"/>
    <w:lvl w:ilvl="0">
      <w:lvlJc w:val="left"/>
      <w:lvlText w:val="%1."/>
      <w:numFmt w:val="decimal"/>
      <w:start w:val="1"/>
    </w:lvl>
    <w:lvl w:ilvl="1">
      <w:lvlJc w:val="left"/>
      <w:lvlText w:val="%2."/>
      <w:numFmt w:val="lowerLetter"/>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2019-12-10T11:48:25Z</dcterms:created>
  <dcterms:modified xsi:type="dcterms:W3CDTF">2019-12-10T11:48:25Z</dcterms:modified>
</cp:coreProperties>
</file>