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5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5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-238125</wp:posOffset>
            </wp:positionV>
            <wp:extent cx="124460" cy="12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76200</wp:posOffset>
            </wp:positionV>
            <wp:extent cx="124460" cy="124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3 Holdings Reported.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102235</wp:posOffset>
            </wp:positionV>
            <wp:extent cx="124460" cy="124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4 Transactions Reported.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-403860</wp:posOffset>
            </wp:positionV>
            <wp:extent cx="124460" cy="12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0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05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5277485</wp:posOffset>
            </wp:positionH>
            <wp:positionV relativeFrom="paragraph">
              <wp:posOffset>-634365</wp:posOffset>
            </wp:positionV>
            <wp:extent cx="58420" cy="6477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4000500</wp:posOffset>
            </wp:positionH>
            <wp:positionV relativeFrom="paragraph">
              <wp:posOffset>-634365</wp:posOffset>
            </wp:positionV>
            <wp:extent cx="58420" cy="6477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center"/>
        <w:ind w:right="2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746760</wp:posOffset>
            </wp:positionV>
            <wp:extent cx="7045960" cy="49269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26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7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5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Tuuk Kuras Mary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625 KENMOOR AVE SE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49546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2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6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5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Statement for Issuer's Fiscal Year Ended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19"/>
        </w:trPr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12/28/2024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33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7,777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12/28/2024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112.19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80" w:firstLine="4"/>
        <w:spacing w:after="0" w:line="260" w:lineRule="auto"/>
        <w:tabs>
          <w:tab w:leader="none" w:pos="171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credited to account based on dividends paid during the calendar 2024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Katherine L. Karel,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Mary Tuuk Kuras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00" w:firstLine="4"/>
        <w:spacing w:after="0" w:line="314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hyperlink" Target="http://www.sec.gov/cgi-bin/browse-edgar?action=getcompany&amp;CIK=0001403967" TargetMode="External"/><Relationship Id="rId16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2025-02-10T13:09:22Z</dcterms:created>
  <dcterms:modified xsi:type="dcterms:W3CDTF">2025-02-10T13:09:22Z</dcterms:modified>
</cp:coreProperties>
</file>