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343" w:before="0" w:after="600"/>
        <w:ind w:left="0" w:right="0" w:hanging="0"/>
        <w:jc w:val="left"/>
        <w:rPr/>
      </w:pPr>
      <w:hyperlink w:anchor="TOC">
        <w:bookmarkStart w:id="0" w:name="ufpi-20260627x10q.htm"/>
        <w:bookmarkStart w:id="1" w:name="ksufpi20260627x10q"/>
        <w:bookmarkEnd w:id="0"/>
        <w:bookmarkEnd w:id="1"/>
        <w:r>
          <w:rPr>
            <w:rStyle w:val="InternetLink"/>
            <w:rFonts w:ascii="Times New Roman;Times;serif" w:hAnsi="Times New Roman;Times;serif"/>
            <w:b w:val="false"/>
            <w:i w:val="false"/>
            <w:caps w:val="false"/>
            <w:smallCaps w:val="false"/>
            <w:sz w:val="20"/>
          </w:rPr>
          <w:t>Table of Contents</w:t>
        </w:r>
      </w:hyperlink>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8740" cy="175260"/>
                      <wp:effectExtent l="0" t="0" r="0" b="0"/>
                      <wp:wrapNone/>
                      <wp:docPr id="1" name="Frame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7790" cy="175260"/>
                      <wp:effectExtent l="0" t="0" r="0" b="0"/>
                      <wp:wrapNone/>
                      <wp:docPr id="2" name="Frame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top w:val="single" w:sz="16" w:space="0" w:color="000000"/>
              <w:left w:val="single" w:sz="8" w:space="0" w:color="000000"/>
              <w:bottom w:val="single" w:sz="8" w:space="0" w:color="000000"/>
            </w:tcBorders>
            <w:tcMar>
              <w:top w:w="28" w:type="dxa"/>
              <w:left w:w="50" w:type="dxa"/>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6990" cy="175260"/>
                      <wp:effectExtent l="0" t="0" r="0" b="0"/>
                      <wp:wrapNone/>
                      <wp:docPr id="3" name="Frame3"/>
                      <a:graphic xmlns:a="http://schemas.openxmlformats.org/drawingml/2006/main">
                        <a:graphicData uri="http://schemas.microsoft.com/office/word/2010/wordprocessingShape">
                          <wps:wsp>
                            <wps:cNvSpPr txBox="1"/>
                            <wps:spPr>
                              <a:xfrm>
                                <a:off x="0" y="0"/>
                                <a:ext cx="46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top w:val="single" w:sz="16" w:space="0" w:color="000000"/>
              <w:bottom w:val="single" w:sz="8" w:space="0" w:color="000000"/>
              <w:right w:val="single" w:sz="8" w:space="0" w:color="000000"/>
            </w:tcBorders>
            <w:tcMar>
              <w:top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80010" cy="175260"/>
                      <wp:effectExtent l="0" t="0" r="0" b="0"/>
                      <wp:wrapNone/>
                      <wp:docPr id="4" name="Frame4"/>
                      <a:graphic xmlns:a="http://schemas.openxmlformats.org/drawingml/2006/main">
                        <a:graphicData uri="http://schemas.microsoft.com/office/word/2010/wordprocessingShape">
                          <wps:wsp>
                            <wps:cNvSpPr txBox="1"/>
                            <wps:spPr>
                              <a:xfrm>
                                <a:off x="0" y="0"/>
                                <a:ext cx="80010"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8"/>
        </w:rPr>
      </w:pPr>
      <w:bookmarkStart w:id="2" w:name="_4301f840_5323_4939_8b8e_2a6167275a8e"/>
      <w:bookmarkEnd w:id="2"/>
      <w:r>
        <w:rPr>
          <w:rFonts w:ascii="Times New Roman;Times;serif" w:hAnsi="Times New Roman;Times;serif"/>
          <w:b/>
          <w:sz w:val="28"/>
        </w:rPr>
        <w:t>UNITED STATES SECURITIES AND EXCHANGE COMMISSION</w:t>
      </w:r>
    </w:p>
    <w:p>
      <w:pPr>
        <w:pStyle w:val="TextBody"/>
        <w:bidi w:val="0"/>
        <w:spacing w:before="60" w:after="16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16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Normal"/>
        <w:bidi w:val="0"/>
        <w:spacing w:before="0" w:after="0"/>
        <w:jc w:val="left"/>
        <w:rPr>
          <w:sz w:val="4"/>
          <w:szCs w:val="4"/>
        </w:rPr>
      </w:pPr>
      <w:r>
        <w:rPr>
          <w:sz w:val="4"/>
          <w:szCs w:val="4"/>
        </w:rPr>
      </w:r>
      <w:bookmarkStart w:id="3" w:name="Tc_aX3p2nIzCUSNCvDEZXUiog_1_1"/>
      <w:bookmarkStart w:id="4" w:name="_65cae306_78fd_4233_9adb_4a7cddc86b55"/>
      <w:bookmarkStart w:id="5" w:name="Tc_aX3p2nIzCUSNCvDEZXUiog_1_1"/>
      <w:bookmarkStart w:id="6" w:name="_65cae306_78fd_4233_9adb_4a7cddc86b55"/>
      <w:bookmarkEnd w:id="5"/>
      <w:bookmarkEnd w:id="6"/>
    </w:p>
    <w:tbl>
      <w:tblPr>
        <w:tblW w:w="9827" w:type="dxa"/>
        <w:jc w:val="left"/>
        <w:tblInd w:w="0" w:type="dxa"/>
        <w:tblLayout w:type="fixed"/>
        <w:tblCellMar>
          <w:top w:w="0" w:type="dxa"/>
          <w:left w:w="0" w:type="dxa"/>
          <w:bottom w:w="0" w:type="dxa"/>
          <w:right w:w="0" w:type="dxa"/>
        </w:tblCellMar>
      </w:tblPr>
      <w:tblGrid>
        <w:gridCol w:w="331"/>
        <w:gridCol w:w="9496"/>
      </w:tblGrid>
      <w:tr>
        <w:trPr/>
        <w:tc>
          <w:tcPr>
            <w:tcW w:w="331" w:type="dxa"/>
            <w:tcBorders/>
            <w:vAlign w:val="center"/>
          </w:tcPr>
          <w:p>
            <w:pPr>
              <w:pStyle w:val="TableContents"/>
              <w:bidi w:val="0"/>
              <w:spacing w:before="0" w:after="0"/>
              <w:ind w:left="0" w:right="0" w:hanging="0"/>
              <w:jc w:val="left"/>
              <w:rPr/>
            </w:pPr>
            <w:r>
              <w:rPr/>
              <w:t>​</w:t>
            </w:r>
          </w:p>
        </w:tc>
        <w:tc>
          <w:tcPr>
            <w:tcW w:w="949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40" w:after="40"/>
              <w:ind w:left="0" w:right="0" w:hanging="0"/>
              <w:jc w:val="left"/>
              <w:rPr/>
            </w:pPr>
            <w:r>
              <w:rPr/>
              <w:t>☒</w:t>
            </w:r>
          </w:p>
        </w:tc>
        <w:tc>
          <w:tcPr>
            <w:tcW w:w="9496" w:type="dxa"/>
            <w:tcBorders/>
            <w:vAlign w:val="center"/>
          </w:tcPr>
          <w:p>
            <w:pPr>
              <w:pStyle w:val="TableContents"/>
              <w:bidi w:val="0"/>
              <w:spacing w:before="40" w:after="40"/>
              <w:ind w:left="0" w:right="0" w:hanging="0"/>
              <w:jc w:val="both"/>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bl>
    <w:p>
      <w:pPr>
        <w:pStyle w:val="TextBody"/>
        <w:bidi w:val="0"/>
        <w:spacing w:before="200" w:after="0"/>
        <w:ind w:left="0" w:right="0" w:hanging="0"/>
        <w:jc w:val="center"/>
        <w:rPr>
          <w:rFonts w:ascii="Times New Roman;Times;serif" w:hAnsi="Times New Roman;Times;serif"/>
          <w:sz w:val="20"/>
        </w:rPr>
      </w:pPr>
      <w:r>
        <w:rPr>
          <w:rFonts w:ascii="Times New Roman;Times;serif" w:hAnsi="Times New Roman;Times;serif"/>
          <w:sz w:val="20"/>
        </w:rPr>
        <w:t>For the quarterly period ended June 27, 2026</w:t>
      </w:r>
    </w:p>
    <w:p>
      <w:pPr>
        <w:pStyle w:val="TextBody"/>
        <w:bidi w:val="0"/>
        <w:spacing w:before="200" w:after="200"/>
        <w:ind w:left="0" w:right="0" w:hanging="0"/>
        <w:jc w:val="center"/>
        <w:rPr>
          <w:rFonts w:ascii="Times New Roman;Times;serif" w:hAnsi="Times New Roman;Times;serif"/>
          <w:sz w:val="20"/>
        </w:rPr>
      </w:pPr>
      <w:r>
        <w:rPr>
          <w:rFonts w:ascii="Times New Roman;Times;serif" w:hAnsi="Times New Roman;Times;serif"/>
          <w:sz w:val="20"/>
        </w:rPr>
        <w:t>OR</w:t>
      </w:r>
    </w:p>
    <w:p>
      <w:pPr>
        <w:pStyle w:val="Normal"/>
        <w:bidi w:val="0"/>
        <w:spacing w:before="0" w:after="0"/>
        <w:jc w:val="left"/>
        <w:rPr>
          <w:sz w:val="4"/>
          <w:szCs w:val="4"/>
        </w:rPr>
      </w:pPr>
      <w:r>
        <w:rPr>
          <w:sz w:val="4"/>
          <w:szCs w:val="4"/>
        </w:rPr>
      </w:r>
      <w:bookmarkStart w:id="7" w:name="Tc_2IUeoqZy90uISy2sQ7bXng_1_1"/>
      <w:bookmarkStart w:id="8" w:name="_c7390305_3233_4a53_9ece_f968bd9a4365"/>
      <w:bookmarkStart w:id="9" w:name="Tc_2IUeoqZy90uISy2sQ7bXng_1_1"/>
      <w:bookmarkStart w:id="10" w:name="_c7390305_3233_4a53_9ece_f968bd9a4365"/>
      <w:bookmarkEnd w:id="9"/>
      <w:bookmarkEnd w:id="10"/>
    </w:p>
    <w:tbl>
      <w:tblPr>
        <w:tblW w:w="9797" w:type="dxa"/>
        <w:jc w:val="left"/>
        <w:tblInd w:w="0" w:type="dxa"/>
        <w:tblLayout w:type="fixed"/>
        <w:tblCellMar>
          <w:top w:w="0" w:type="dxa"/>
          <w:left w:w="0" w:type="dxa"/>
          <w:bottom w:w="0" w:type="dxa"/>
          <w:right w:w="0" w:type="dxa"/>
        </w:tblCellMar>
      </w:tblPr>
      <w:tblGrid>
        <w:gridCol w:w="331"/>
        <w:gridCol w:w="9466"/>
      </w:tblGrid>
      <w:tr>
        <w:trPr/>
        <w:tc>
          <w:tcPr>
            <w:tcW w:w="331" w:type="dxa"/>
            <w:tcBorders/>
            <w:vAlign w:val="center"/>
          </w:tcPr>
          <w:p>
            <w:pPr>
              <w:pStyle w:val="TableContents"/>
              <w:bidi w:val="0"/>
              <w:spacing w:before="0" w:after="0"/>
              <w:ind w:left="0" w:right="0" w:hanging="0"/>
              <w:jc w:val="left"/>
              <w:rPr/>
            </w:pPr>
            <w:r>
              <w:rPr/>
              <w:t>​</w:t>
            </w:r>
          </w:p>
        </w:tc>
        <w:tc>
          <w:tcPr>
            <w:tcW w:w="946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40" w:after="40"/>
              <w:ind w:left="0" w:right="0" w:hanging="0"/>
              <w:jc w:val="both"/>
              <w:rPr/>
            </w:pPr>
            <w:r>
              <w:rPr/>
              <w:t>☐</w:t>
            </w:r>
          </w:p>
        </w:tc>
        <w:tc>
          <w:tcPr>
            <w:tcW w:w="9466" w:type="dxa"/>
            <w:tcBorders/>
            <w:vAlign w:val="center"/>
          </w:tcPr>
          <w:p>
            <w:pPr>
              <w:pStyle w:val="TableContents"/>
              <w:bidi w:val="0"/>
              <w:spacing w:before="40" w:after="40"/>
              <w:ind w:left="0" w:right="0" w:hanging="0"/>
              <w:jc w:val="both"/>
              <w:rPr>
                <w:rFonts w:ascii="Times New Roman;Times;serif" w:hAnsi="Times New Roman;Times;serif"/>
                <w:sz w:val="20"/>
              </w:rPr>
            </w:pPr>
            <w:r>
              <w:rPr>
                <w:rFonts w:ascii="Times New Roman;Times;serif" w:hAnsi="Times New Roman;Times;serif"/>
                <w:sz w:val="20"/>
              </w:rPr>
              <w:t>TRANSITION REPORT PURSUANT TO SECTION 13 OR 15(d) OF THE SECURITIES EXCHANGE ACT OF 1934</w:t>
            </w:r>
          </w:p>
        </w:tc>
      </w:tr>
    </w:tbl>
    <w:p>
      <w:pPr>
        <w:pStyle w:val="TextBody"/>
        <w:bidi w:val="0"/>
        <w:spacing w:before="160" w:after="0"/>
        <w:ind w:left="0" w:right="0" w:hanging="0"/>
        <w:jc w:val="center"/>
        <w:rPr>
          <w:rFonts w:ascii="Times New Roman;Times;serif" w:hAnsi="Times New Roman;Times;serif"/>
          <w:sz w:val="20"/>
        </w:rPr>
      </w:pPr>
      <w:r>
        <w:rPr>
          <w:rFonts w:ascii="Times New Roman;Times;serif" w:hAnsi="Times New Roman;Times;serif"/>
          <w:sz w:val="20"/>
        </w:rPr>
        <w:t>Commission File Number 0-22684</w:t>
      </w:r>
    </w:p>
    <w:p>
      <w:pPr>
        <w:pStyle w:val="TextBody"/>
        <w:bidi w:val="0"/>
        <w:spacing w:before="160" w:after="0"/>
        <w:ind w:left="0" w:right="0" w:hanging="0"/>
        <w:jc w:val="center"/>
        <w:rPr>
          <w:rFonts w:ascii="Times New Roman;Times;serif" w:hAnsi="Times New Roman;Times;serif"/>
          <w:b/>
          <w:sz w:val="30"/>
        </w:rPr>
      </w:pPr>
      <w:r>
        <w:rPr>
          <w:rFonts w:ascii="Times New Roman;Times;serif" w:hAnsi="Times New Roman;Times;serif"/>
          <w:b/>
          <w:sz w:val="30"/>
        </w:rPr>
        <w:t>UFP INDUSTRIES, INC.</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11" w:name="Tc_bVP-qiXImU-zyHDeiDeXbQ_6_3"/>
      <w:bookmarkStart w:id="12" w:name="Tc_vna8J7hGRESpRYsIInhjSg_6_1"/>
      <w:bookmarkStart w:id="13" w:name="Tc__D30MhoUTUi2ykuSsntsLA_5_1"/>
      <w:bookmarkStart w:id="14" w:name="Tc_Saz2mDe3SUebC6BSYkZ6Bg_3_1"/>
      <w:bookmarkStart w:id="15" w:name="Tc_osd3rswuhEOGjff4Y8mV8g_2_3"/>
      <w:bookmarkStart w:id="16" w:name="Tc_9AQ3MrH87ka9ezSRL7WVWA_2_1"/>
      <w:bookmarkStart w:id="17" w:name="_099826b6_cbef_431a_91a4_af4addab6a3f"/>
      <w:bookmarkStart w:id="18" w:name="Tc_bVP-qiXImU-zyHDeiDeXbQ_6_3"/>
      <w:bookmarkStart w:id="19" w:name="Tc_vna8J7hGRESpRYsIInhjSg_6_1"/>
      <w:bookmarkStart w:id="20" w:name="Tc__D30MhoUTUi2ykuSsntsLA_5_1"/>
      <w:bookmarkStart w:id="21" w:name="Tc_Saz2mDe3SUebC6BSYkZ6Bg_3_1"/>
      <w:bookmarkStart w:id="22" w:name="Tc_osd3rswuhEOGjff4Y8mV8g_2_3"/>
      <w:bookmarkStart w:id="23" w:name="Tc_9AQ3MrH87ka9ezSRL7WVWA_2_1"/>
      <w:bookmarkStart w:id="24" w:name="_099826b6_cbef_431a_91a4_af4addab6a3f"/>
      <w:bookmarkEnd w:id="18"/>
      <w:bookmarkEnd w:id="19"/>
      <w:bookmarkEnd w:id="20"/>
      <w:bookmarkEnd w:id="21"/>
      <w:bookmarkEnd w:id="22"/>
      <w:bookmarkEnd w:id="23"/>
      <w:bookmarkEnd w:id="24"/>
    </w:p>
    <w:tbl>
      <w:tblPr>
        <w:tblW w:w="7976" w:type="dxa"/>
        <w:jc w:val="left"/>
        <w:tblInd w:w="0" w:type="dxa"/>
        <w:tblLayout w:type="fixed"/>
        <w:tblCellMar>
          <w:top w:w="0" w:type="dxa"/>
          <w:left w:w="0" w:type="dxa"/>
          <w:bottom w:w="0" w:type="dxa"/>
          <w:right w:w="0" w:type="dxa"/>
        </w:tblCellMar>
      </w:tblPr>
      <w:tblGrid>
        <w:gridCol w:w="124"/>
        <w:gridCol w:w="4006"/>
        <w:gridCol w:w="346"/>
        <w:gridCol w:w="3346"/>
        <w:gridCol w:w="154"/>
      </w:tblGrid>
      <w:tr>
        <w:trPr/>
        <w:tc>
          <w:tcPr>
            <w:tcW w:w="124" w:type="dxa"/>
            <w:tcBorders/>
            <w:vAlign w:val="center"/>
          </w:tcPr>
          <w:p>
            <w:pPr>
              <w:pStyle w:val="TableContents"/>
              <w:bidi w:val="0"/>
              <w:spacing w:before="0" w:after="0"/>
              <w:ind w:left="0" w:right="0" w:hanging="0"/>
              <w:jc w:val="left"/>
              <w:rPr/>
            </w:pPr>
            <w:r>
              <w:rPr/>
              <w:t>​</w:t>
            </w:r>
          </w:p>
        </w:tc>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40"/>
              <w:ind w:left="0" w:right="0" w:hanging="0"/>
              <w:jc w:val="left"/>
              <w:rPr/>
            </w:pPr>
            <w:r>
              <w:rPr/>
              <w:t>​</w:t>
            </w:r>
          </w:p>
        </w:tc>
        <w:tc>
          <w:tcPr>
            <w:tcW w:w="4006" w:type="dxa"/>
            <w:tcBorders>
              <w:bottom w:val="single" w:sz="1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Michigan</w:t>
            </w:r>
          </w:p>
        </w:tc>
        <w:tc>
          <w:tcPr>
            <w:tcW w:w="346" w:type="dxa"/>
            <w:tcBorders>
              <w:bottom w:val="single" w:sz="16" w:space="0" w:color="000000"/>
            </w:tcBorders>
            <w:tcMar>
              <w:bottom w:w="28" w:type="dxa"/>
            </w:tcMar>
            <w:vAlign w:val="center"/>
          </w:tcPr>
          <w:p>
            <w:pPr>
              <w:pStyle w:val="TableContents"/>
              <w:bidi w:val="0"/>
              <w:spacing w:before="0" w:after="0"/>
              <w:ind w:left="0" w:right="0" w:hanging="0"/>
              <w:jc w:val="both"/>
              <w:rPr/>
            </w:pPr>
            <w:r>
              <w:rPr/>
              <w:t>  ​ ​ ​</w:t>
            </w:r>
          </w:p>
        </w:tc>
        <w:tc>
          <w:tcPr>
            <w:tcW w:w="3346" w:type="dxa"/>
            <w:tcBorders>
              <w:bottom w:val="single" w:sz="1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38-1465835</w:t>
            </w:r>
          </w:p>
        </w:tc>
        <w:tc>
          <w:tcPr>
            <w:tcW w:w="154" w:type="dxa"/>
            <w:tcBorders>
              <w:bottom w:val="single" w:sz="16" w:space="0" w:color="000000"/>
            </w:tcBorders>
            <w:tcMar>
              <w:bottom w:w="28" w:type="dxa"/>
            </w:tcMar>
            <w:vAlign w:val="center"/>
          </w:tcPr>
          <w:p>
            <w:pPr>
              <w:pStyle w:val="TableContents"/>
              <w:bidi w:val="0"/>
              <w:spacing w:before="0" w:after="240"/>
              <w:ind w:left="0" w:right="0" w:hanging="0"/>
              <w:jc w:val="left"/>
              <w:rPr/>
            </w:pPr>
            <w:r>
              <w:rPr/>
              <w:t>​</w:t>
            </w:r>
          </w:p>
        </w:tc>
      </w:tr>
      <w:tr>
        <w:trPr/>
        <w:tc>
          <w:tcPr>
            <w:tcW w:w="124" w:type="dxa"/>
            <w:tcBorders/>
            <w:vAlign w:val="center"/>
          </w:tcPr>
          <w:p>
            <w:pPr>
              <w:pStyle w:val="TableContents"/>
              <w:bidi w:val="0"/>
              <w:spacing w:before="0" w:after="240"/>
              <w:ind w:left="0" w:right="0" w:hanging="0"/>
              <w:jc w:val="left"/>
              <w:rPr/>
            </w:pPr>
            <w:r>
              <w:rPr/>
              <w:t>​</w:t>
            </w:r>
          </w:p>
        </w:tc>
        <w:tc>
          <w:tcPr>
            <w:tcW w:w="4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(State or other jurisdiction of incorporation or </w:t>
            </w:r>
          </w:p>
        </w:tc>
        <w:tc>
          <w:tcPr>
            <w:tcW w:w="346" w:type="dxa"/>
            <w:tcBorders/>
            <w:vAlign w:val="center"/>
          </w:tcPr>
          <w:p>
            <w:pPr>
              <w:pStyle w:val="TableContents"/>
              <w:bidi w:val="0"/>
              <w:spacing w:before="0" w:after="240"/>
              <w:ind w:left="0" w:right="0" w:hanging="0"/>
              <w:jc w:val="left"/>
              <w:rPr/>
            </w:pPr>
            <w:r>
              <w:rPr/>
              <w:t>​</w:t>
            </w:r>
          </w:p>
        </w:tc>
        <w:tc>
          <w:tcPr>
            <w:tcW w:w="33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Number)</w:t>
            </w:r>
          </w:p>
        </w:tc>
        <w:tc>
          <w:tcPr>
            <w:tcW w:w="154" w:type="dxa"/>
            <w:tcBorders/>
            <w:vAlign w:val="center"/>
          </w:tcPr>
          <w:p>
            <w:pPr>
              <w:pStyle w:val="TableContents"/>
              <w:bidi w:val="0"/>
              <w:spacing w:before="0" w:after="240"/>
              <w:ind w:left="0" w:right="0" w:hanging="0"/>
              <w:jc w:val="left"/>
              <w:rPr/>
            </w:pPr>
            <w:r>
              <w:rPr/>
              <w:t>​</w:t>
            </w:r>
          </w:p>
        </w:tc>
      </w:tr>
      <w:tr>
        <w:trPr/>
        <w:tc>
          <w:tcPr>
            <w:tcW w:w="124" w:type="dxa"/>
            <w:tcBorders/>
            <w:vAlign w:val="center"/>
          </w:tcPr>
          <w:p>
            <w:pPr>
              <w:pStyle w:val="TableContents"/>
              <w:bidi w:val="0"/>
              <w:spacing w:before="0" w:after="240"/>
              <w:ind w:left="0" w:right="0" w:hanging="0"/>
              <w:jc w:val="left"/>
              <w:rPr/>
            </w:pPr>
            <w:r>
              <w:rPr/>
              <w:t>​</w:t>
            </w:r>
          </w:p>
        </w:tc>
        <w:tc>
          <w:tcPr>
            <w:tcW w:w="4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organization)</w:t>
            </w:r>
          </w:p>
        </w:tc>
        <w:tc>
          <w:tcPr>
            <w:tcW w:w="346" w:type="dxa"/>
            <w:tcBorders/>
            <w:vAlign w:val="center"/>
          </w:tcPr>
          <w:p>
            <w:pPr>
              <w:pStyle w:val="TableContents"/>
              <w:bidi w:val="0"/>
              <w:spacing w:before="0" w:after="240"/>
              <w:ind w:left="0" w:right="0" w:hanging="0"/>
              <w:jc w:val="left"/>
              <w:rPr/>
            </w:pPr>
            <w:r>
              <w:rPr/>
              <w:t>​</w:t>
            </w:r>
          </w:p>
        </w:tc>
        <w:tc>
          <w:tcPr>
            <w:tcW w:w="3346" w:type="dxa"/>
            <w:tcBorders/>
            <w:vAlign w:val="center"/>
          </w:tcPr>
          <w:p>
            <w:pPr>
              <w:pStyle w:val="TableContents"/>
              <w:bidi w:val="0"/>
              <w:spacing w:before="0" w:after="240"/>
              <w:ind w:left="0" w:right="0" w:hanging="0"/>
              <w:jc w:val="center"/>
              <w:rPr/>
            </w:pPr>
            <w:r>
              <w:rPr/>
              <w:t>​</w:t>
            </w:r>
          </w:p>
        </w:tc>
        <w:tc>
          <w:tcPr>
            <w:tcW w:w="154" w:type="dxa"/>
            <w:tcBorders/>
            <w:vAlign w:val="center"/>
          </w:tcPr>
          <w:p>
            <w:pPr>
              <w:pStyle w:val="TableContents"/>
              <w:bidi w:val="0"/>
              <w:spacing w:before="0" w:after="240"/>
              <w:ind w:left="0" w:right="0" w:hanging="0"/>
              <w:jc w:val="left"/>
              <w:rPr/>
            </w:pPr>
            <w:r>
              <w:rPr/>
              <w:t>​</w:t>
            </w:r>
          </w:p>
        </w:tc>
      </w:tr>
      <w:tr>
        <w:trPr/>
        <w:tc>
          <w:tcPr>
            <w:tcW w:w="124" w:type="dxa"/>
            <w:tcBorders/>
            <w:vAlign w:val="center"/>
          </w:tcPr>
          <w:p>
            <w:pPr>
              <w:pStyle w:val="TableContents"/>
              <w:bidi w:val="0"/>
              <w:spacing w:before="0" w:after="240"/>
              <w:ind w:left="0" w:right="0" w:hanging="0"/>
              <w:jc w:val="left"/>
              <w:rPr/>
            </w:pPr>
            <w:r>
              <w:rPr/>
              <w:t>​</w:t>
            </w:r>
          </w:p>
        </w:tc>
        <w:tc>
          <w:tcPr>
            <w:tcW w:w="4006"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3346" w:type="dxa"/>
            <w:tcBorders/>
            <w:vAlign w:val="center"/>
          </w:tcPr>
          <w:p>
            <w:pPr>
              <w:pStyle w:val="TableContents"/>
              <w:bidi w:val="0"/>
              <w:spacing w:before="0" w:after="240"/>
              <w:ind w:left="0" w:right="0" w:hanging="0"/>
              <w:jc w:val="left"/>
              <w:rPr/>
            </w:pPr>
            <w:r>
              <w:rPr/>
              <w:t>​</w:t>
            </w:r>
          </w:p>
        </w:tc>
        <w:tc>
          <w:tcPr>
            <w:tcW w:w="154" w:type="dxa"/>
            <w:tcBorders/>
            <w:vAlign w:val="center"/>
          </w:tcPr>
          <w:p>
            <w:pPr>
              <w:pStyle w:val="TableContents"/>
              <w:bidi w:val="0"/>
              <w:spacing w:before="0" w:after="240"/>
              <w:ind w:left="0" w:right="0" w:hanging="0"/>
              <w:jc w:val="left"/>
              <w:rPr/>
            </w:pPr>
            <w:r>
              <w:rPr/>
              <w:t>​</w:t>
            </w:r>
          </w:p>
        </w:tc>
      </w:tr>
      <w:tr>
        <w:trPr/>
        <w:tc>
          <w:tcPr>
            <w:tcW w:w="124" w:type="dxa"/>
            <w:tcBorders/>
            <w:vAlign w:val="center"/>
          </w:tcPr>
          <w:p>
            <w:pPr>
              <w:pStyle w:val="TableContents"/>
              <w:bidi w:val="0"/>
              <w:spacing w:before="0" w:after="240"/>
              <w:ind w:left="0" w:right="0" w:hanging="0"/>
              <w:jc w:val="left"/>
              <w:rPr/>
            </w:pPr>
            <w:r>
              <w:rPr/>
              <w:t>​</w:t>
            </w:r>
          </w:p>
        </w:tc>
        <w:tc>
          <w:tcPr>
            <w:tcW w:w="4006" w:type="dxa"/>
            <w:tcBorders>
              <w:bottom w:val="single" w:sz="1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2801 East Beltline NE, Grand Rapids, Michigan</w:t>
            </w:r>
          </w:p>
        </w:tc>
        <w:tc>
          <w:tcPr>
            <w:tcW w:w="346" w:type="dxa"/>
            <w:tcBorders>
              <w:bottom w:val="single" w:sz="16" w:space="0" w:color="000000"/>
            </w:tcBorders>
            <w:tcMar>
              <w:bottom w:w="28" w:type="dxa"/>
            </w:tcMar>
            <w:vAlign w:val="center"/>
          </w:tcPr>
          <w:p>
            <w:pPr>
              <w:pStyle w:val="TableContents"/>
              <w:bidi w:val="0"/>
              <w:spacing w:before="0" w:after="240"/>
              <w:ind w:left="0" w:right="0" w:hanging="0"/>
              <w:jc w:val="left"/>
              <w:rPr/>
            </w:pPr>
            <w:r>
              <w:rPr/>
              <w:t>​</w:t>
            </w:r>
          </w:p>
        </w:tc>
        <w:tc>
          <w:tcPr>
            <w:tcW w:w="3346" w:type="dxa"/>
            <w:tcBorders>
              <w:bottom w:val="single" w:sz="1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49525</w:t>
            </w:r>
          </w:p>
        </w:tc>
        <w:tc>
          <w:tcPr>
            <w:tcW w:w="154" w:type="dxa"/>
            <w:tcBorders>
              <w:bottom w:val="single" w:sz="16" w:space="0" w:color="000000"/>
            </w:tcBorders>
            <w:tcMar>
              <w:bottom w:w="28" w:type="dxa"/>
            </w:tcMar>
            <w:vAlign w:val="center"/>
          </w:tcPr>
          <w:p>
            <w:pPr>
              <w:pStyle w:val="TableContents"/>
              <w:bidi w:val="0"/>
              <w:spacing w:before="0" w:after="240"/>
              <w:ind w:left="0" w:right="0" w:hanging="0"/>
              <w:jc w:val="left"/>
              <w:rPr/>
            </w:pPr>
            <w:r>
              <w:rPr/>
              <w:t>​</w:t>
            </w:r>
          </w:p>
        </w:tc>
      </w:tr>
      <w:tr>
        <w:trPr/>
        <w:tc>
          <w:tcPr>
            <w:tcW w:w="124" w:type="dxa"/>
            <w:tcBorders/>
            <w:vAlign w:val="center"/>
          </w:tcPr>
          <w:p>
            <w:pPr>
              <w:pStyle w:val="TableContents"/>
              <w:bidi w:val="0"/>
              <w:spacing w:before="0" w:after="240"/>
              <w:ind w:left="0" w:right="0" w:hanging="0"/>
              <w:jc w:val="left"/>
              <w:rPr/>
            </w:pPr>
            <w:r>
              <w:rPr/>
              <w:t>​</w:t>
            </w:r>
          </w:p>
        </w:tc>
        <w:tc>
          <w:tcPr>
            <w:tcW w:w="4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46" w:type="dxa"/>
            <w:tcBorders/>
            <w:vAlign w:val="center"/>
          </w:tcPr>
          <w:p>
            <w:pPr>
              <w:pStyle w:val="TableContents"/>
              <w:bidi w:val="0"/>
              <w:spacing w:before="0" w:after="240"/>
              <w:ind w:left="0" w:right="0" w:hanging="0"/>
              <w:jc w:val="left"/>
              <w:rPr/>
            </w:pPr>
            <w:r>
              <w:rPr/>
              <w:t>​</w:t>
            </w:r>
          </w:p>
        </w:tc>
        <w:tc>
          <w:tcPr>
            <w:tcW w:w="33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c>
          <w:tcPr>
            <w:tcW w:w="154" w:type="dxa"/>
            <w:tcBorders/>
            <w:vAlign w:val="center"/>
          </w:tcPr>
          <w:p>
            <w:pPr>
              <w:pStyle w:val="TableContents"/>
              <w:bidi w:val="0"/>
              <w:spacing w:before="0" w:after="240"/>
              <w:ind w:left="0" w:right="0" w:hanging="0"/>
              <w:jc w:val="left"/>
              <w:rPr/>
            </w:pPr>
            <w:r>
              <w:rPr/>
              <w:t>​</w:t>
            </w:r>
          </w:p>
        </w:tc>
      </w:tr>
    </w:tbl>
    <w:p>
      <w:pPr>
        <w:pStyle w:val="TextBody"/>
        <w:bidi w:val="0"/>
        <w:spacing w:before="0" w:after="240"/>
        <w:ind w:left="0" w:right="0" w:firstLine="1080"/>
        <w:jc w:val="both"/>
        <w:rPr/>
      </w:pPr>
      <w:r>
        <w:rPr/>
        <w:t>​</w:t>
      </w:r>
    </w:p>
    <w:p>
      <w:pPr>
        <w:pStyle w:val="TextBody"/>
        <w:bidi w:val="0"/>
        <w:spacing w:before="220" w:after="220"/>
        <w:ind w:left="0" w:right="0" w:firstLine="1080"/>
        <w:jc w:val="both"/>
        <w:rPr>
          <w:rFonts w:ascii="Times New Roman;Times;serif" w:hAnsi="Times New Roman;Times;serif"/>
          <w:sz w:val="20"/>
        </w:rPr>
      </w:pPr>
      <w:r>
        <w:rPr>
          <w:rFonts w:ascii="Times New Roman;Times;serif" w:hAnsi="Times New Roman;Times;serif"/>
          <w:sz w:val="20"/>
        </w:rPr>
        <w:t>Registrant’s telephone number, including area code (616) 364-6161</w:t>
      </w:r>
    </w:p>
    <w:tbl>
      <w:tblPr>
        <w:tblW w:w="5289" w:type="dxa"/>
        <w:jc w:val="left"/>
        <w:tblInd w:w="0" w:type="dxa"/>
        <w:tblLayout w:type="fixed"/>
        <w:tblCellMar>
          <w:top w:w="0" w:type="dxa"/>
          <w:left w:w="0" w:type="dxa"/>
          <w:bottom w:w="0" w:type="dxa"/>
          <w:right w:w="0" w:type="dxa"/>
        </w:tblCellMar>
      </w:tblPr>
      <w:tblGrid>
        <w:gridCol w:w="124"/>
        <w:gridCol w:w="5011"/>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8740" cy="175260"/>
                      <wp:effectExtent l="0" t="0" r="0" b="0"/>
                      <wp:wrapNone/>
                      <wp:docPr id="5" name="Frame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97790" cy="175260"/>
                      <wp:effectExtent l="0" t="0" r="0" b="0"/>
                      <wp:wrapNone/>
                      <wp:docPr id="6" name="Frame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40"/>
              <w:ind w:left="0" w:right="0" w:hanging="0"/>
              <w:jc w:val="left"/>
              <w:rPr/>
            </w:pPr>
            <w:r>
              <w:rPr/>
              <w:t>​</w:t>
            </w:r>
          </w:p>
        </w:tc>
        <w:tc>
          <w:tcPr>
            <w:tcW w:w="5011" w:type="dxa"/>
            <w:tcBorders>
              <w:bottom w:val="single" w:sz="1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c>
          <w:tcPr>
            <w:tcW w:w="154" w:type="dxa"/>
            <w:tcBorders>
              <w:bottom w:val="single" w:sz="16" w:space="0" w:color="000000"/>
            </w:tcBorders>
            <w:tcMar>
              <w:bottom w:w="28" w:type="dxa"/>
            </w:tcMar>
            <w:vAlign w:val="center"/>
          </w:tcPr>
          <w:p>
            <w:pPr>
              <w:pStyle w:val="TableContents"/>
              <w:bidi w:val="0"/>
              <w:spacing w:before="0" w:after="240"/>
              <w:ind w:left="0" w:right="0" w:hanging="0"/>
              <w:jc w:val="left"/>
              <w:rPr/>
            </w:pPr>
            <w:r>
              <w:rPr/>
              <w:t>​</w:t>
            </w:r>
          </w:p>
        </w:tc>
      </w:tr>
      <w:tr>
        <w:trPr/>
        <w:tc>
          <w:tcPr>
            <w:tcW w:w="124" w:type="dxa"/>
            <w:tcBorders/>
            <w:vAlign w:val="center"/>
          </w:tcPr>
          <w:p>
            <w:pPr>
              <w:pStyle w:val="TableContents"/>
              <w:bidi w:val="0"/>
              <w:spacing w:before="0" w:after="240"/>
              <w:ind w:left="0" w:right="0" w:hanging="0"/>
              <w:jc w:val="left"/>
              <w:rPr/>
            </w:pPr>
            <w:r>
              <w:rPr/>
              <w:t>​</w:t>
            </w:r>
          </w:p>
        </w:tc>
        <w:tc>
          <w:tcPr>
            <w:tcW w:w="50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c>
          <w:tcPr>
            <w:tcW w:w="154" w:type="dxa"/>
            <w:tcBorders/>
            <w:vAlign w:val="center"/>
          </w:tcPr>
          <w:p>
            <w:pPr>
              <w:pStyle w:val="TableContents"/>
              <w:bidi w:val="0"/>
              <w:spacing w:before="0" w:after="240"/>
              <w:ind w:left="0" w:right="0" w:hanging="0"/>
              <w:jc w:val="left"/>
              <w:rPr/>
            </w:pPr>
            <w:r>
              <w:rPr/>
              <w:t>​</w:t>
            </w:r>
          </w:p>
          <w:p>
            <w:pPr>
              <w:pStyle w:val="TableContents"/>
              <w:bidi w:val="0"/>
              <w:spacing w:before="0" w:after="24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 w:name="Tc_HTEbFj0ypkCBfZPghDJCzQ_2_2"/>
      <w:bookmarkStart w:id="26" w:name="Tc_zvbmRLrYXkyM9a7Ys12Zqw_2_1"/>
      <w:bookmarkStart w:id="27" w:name="Tc_PYq3s8C4IkCOOR6W0C021g_2_0"/>
      <w:bookmarkStart w:id="28" w:name="Tc_AhZMDLzAakeyy0kMQx7yuQ_1_0"/>
      <w:bookmarkStart w:id="29" w:name="_a7f76fc5_84d2_4356_8c29_995f131139ef"/>
      <w:bookmarkStart w:id="30" w:name="Tc_HTEbFj0ypkCBfZPghDJCzQ_2_2"/>
      <w:bookmarkStart w:id="31" w:name="Tc_zvbmRLrYXkyM9a7Ys12Zqw_2_1"/>
      <w:bookmarkStart w:id="32" w:name="Tc_PYq3s8C4IkCOOR6W0C021g_2_0"/>
      <w:bookmarkStart w:id="33" w:name="Tc_AhZMDLzAakeyy0kMQx7yuQ_1_0"/>
      <w:bookmarkStart w:id="34" w:name="_a7f76fc5_84d2_4356_8c29_995f131139ef"/>
      <w:bookmarkEnd w:id="30"/>
      <w:bookmarkEnd w:id="31"/>
      <w:bookmarkEnd w:id="32"/>
      <w:bookmarkEnd w:id="33"/>
      <w:bookmarkEnd w:id="34"/>
    </w:p>
    <w:tbl>
      <w:tblPr>
        <w:tblW w:w="7908" w:type="dxa"/>
        <w:jc w:val="left"/>
        <w:tblInd w:w="0" w:type="dxa"/>
        <w:tblLayout w:type="fixed"/>
        <w:tblCellMar>
          <w:top w:w="0" w:type="dxa"/>
          <w:left w:w="0" w:type="dxa"/>
          <w:bottom w:w="0" w:type="dxa"/>
          <w:right w:w="0" w:type="dxa"/>
        </w:tblCellMar>
      </w:tblPr>
      <w:tblGrid>
        <w:gridCol w:w="2566"/>
        <w:gridCol w:w="1426"/>
        <w:gridCol w:w="3916"/>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629410" cy="175260"/>
                      <wp:effectExtent l="0" t="0" r="0" b="0"/>
                      <wp:wrapNone/>
                      <wp:docPr id="7" name="Frame7"/>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05510" cy="175260"/>
                      <wp:effectExtent l="0" t="0" r="0" b="0"/>
                      <wp:wrapNone/>
                      <wp:docPr id="8" name="Frame8"/>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486660" cy="175260"/>
                      <wp:effectExtent l="0" t="0" r="0" b="0"/>
                      <wp:wrapNone/>
                      <wp:docPr id="9" name="Frame9"/>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908" w:type="dxa"/>
            <w:gridSpan w:val="3"/>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tc>
      </w:tr>
      <w:tr>
        <w:trPr/>
        <w:tc>
          <w:tcPr>
            <w:tcW w:w="256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42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Trading Symbol</w:t>
            </w:r>
          </w:p>
        </w:tc>
        <w:tc>
          <w:tcPr>
            <w:tcW w:w="391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56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Common Stock, $1 par value</w:t>
            </w:r>
          </w:p>
        </w:tc>
        <w:tc>
          <w:tcPr>
            <w:tcW w:w="142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UFPI</w:t>
            </w:r>
          </w:p>
        </w:tc>
        <w:tc>
          <w:tcPr>
            <w:tcW w:w="391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Indicate by checkmark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20" w:after="120"/>
        <w:ind w:left="0" w:right="0" w:hanging="0"/>
        <w:jc w:val="both"/>
        <w:rPr>
          <w:rFonts w:ascii="Times New Roman;Times;serif" w:hAnsi="Times New Roman;Times;serif"/>
          <w:sz w:val="20"/>
        </w:rPr>
      </w:pPr>
      <w:r>
        <w:rPr>
          <w:rFonts w:ascii="Times New Roman;Times;serif" w:hAnsi="Times New Roman;Times;serif"/>
          <w:sz w:val="20"/>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719" w:type="dxa"/>
        <w:jc w:val="left"/>
        <w:tblInd w:w="0" w:type="dxa"/>
        <w:tblLayout w:type="fixed"/>
        <w:tblCellMar>
          <w:top w:w="0" w:type="dxa"/>
          <w:left w:w="0" w:type="dxa"/>
          <w:bottom w:w="0" w:type="dxa"/>
          <w:right w:w="0" w:type="dxa"/>
        </w:tblCellMar>
      </w:tblPr>
      <w:tblGrid>
        <w:gridCol w:w="2191"/>
        <w:gridCol w:w="1711"/>
        <w:gridCol w:w="2116"/>
        <w:gridCol w:w="2701"/>
      </w:tblGrid>
      <w:tr>
        <w:trPr/>
        <w:tc>
          <w:tcPr>
            <w:tcW w:w="2191"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c>
          <w:tcPr>
            <w:tcW w:w="2116" w:type="dxa"/>
            <w:tcBorders/>
            <w:vAlign w:val="center"/>
          </w:tcPr>
          <w:p>
            <w:pPr>
              <w:pStyle w:val="TableContents"/>
              <w:bidi w:val="0"/>
              <w:spacing w:before="0" w:after="0"/>
              <w:ind w:left="0" w:right="0" w:hanging="0"/>
              <w:jc w:val="left"/>
              <w:rPr/>
            </w:pPr>
            <w:r>
              <w:rPr/>
              <w:t>​</w:t>
            </w:r>
          </w:p>
        </w:tc>
        <w:tc>
          <w:tcPr>
            <w:tcW w:w="2701" w:type="dxa"/>
            <w:tcBorders/>
            <w:vAlign w:val="center"/>
          </w:tcPr>
          <w:p>
            <w:pPr>
              <w:pStyle w:val="TableContents"/>
              <w:bidi w:val="0"/>
              <w:spacing w:before="0" w:after="0"/>
              <w:ind w:left="0" w:right="0" w:hanging="0"/>
              <w:jc w:val="left"/>
              <w:rPr/>
            </w:pPr>
            <w:r>
              <w:rPr/>
              <w:t>​</w:t>
            </w:r>
          </w:p>
        </w:tc>
      </w:tr>
      <w:tr>
        <w:trPr/>
        <w:tc>
          <w:tcPr>
            <w:tcW w:w="21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Large Accelerated Filer ⌧</w:t>
            </w:r>
          </w:p>
        </w:tc>
        <w:tc>
          <w:tcPr>
            <w:tcW w:w="17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Accelerated Filer ☐</w:t>
            </w:r>
          </w:p>
        </w:tc>
        <w:tc>
          <w:tcPr>
            <w:tcW w:w="21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Non-Accelerated Filer ☐</w:t>
            </w:r>
          </w:p>
        </w:tc>
        <w:tc>
          <w:tcPr>
            <w:tcW w:w="27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Smaller Reporting Company ☐</w:t>
            </w:r>
          </w:p>
        </w:tc>
      </w:tr>
      <w:tr>
        <w:trPr/>
        <w:tc>
          <w:tcPr>
            <w:tcW w:w="2191" w:type="dxa"/>
            <w:tcBorders/>
            <w:vAlign w:val="center"/>
          </w:tcPr>
          <w:p>
            <w:pPr>
              <w:pStyle w:val="TableContents"/>
              <w:bidi w:val="0"/>
              <w:spacing w:before="0" w:after="240"/>
              <w:ind w:left="0" w:right="0" w:hanging="0"/>
              <w:jc w:val="both"/>
              <w:rPr/>
            </w:pPr>
            <w:r>
              <w:rPr/>
              <w:t>​</w:t>
            </w:r>
          </w:p>
        </w:tc>
        <w:tc>
          <w:tcPr>
            <w:tcW w:w="1711" w:type="dxa"/>
            <w:tcBorders/>
            <w:vAlign w:val="center"/>
          </w:tcPr>
          <w:p>
            <w:pPr>
              <w:pStyle w:val="TableContents"/>
              <w:bidi w:val="0"/>
              <w:spacing w:before="0" w:after="240"/>
              <w:ind w:left="0" w:right="0" w:hanging="0"/>
              <w:jc w:val="both"/>
              <w:rPr/>
            </w:pPr>
            <w:r>
              <w:rPr/>
              <w:t>​</w:t>
            </w:r>
          </w:p>
        </w:tc>
        <w:tc>
          <w:tcPr>
            <w:tcW w:w="2116" w:type="dxa"/>
            <w:tcBorders/>
            <w:vAlign w:val="center"/>
          </w:tcPr>
          <w:p>
            <w:pPr>
              <w:pStyle w:val="TableContents"/>
              <w:bidi w:val="0"/>
              <w:spacing w:before="0" w:after="240"/>
              <w:ind w:left="0" w:right="0" w:hanging="0"/>
              <w:jc w:val="both"/>
              <w:rPr/>
            </w:pPr>
            <w:r>
              <w:rPr/>
              <w:t>​</w:t>
            </w:r>
          </w:p>
        </w:tc>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8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 new or revised financial accounting standards provided pursuant to Section 13(a) of the Exchange Act. ☐</w:t>
      </w:r>
    </w:p>
    <w:p>
      <w:pPr>
        <w:pStyle w:val="TextBody"/>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Indicate by checkmark whether the registrant is a shell company (as defined by Rule 12b-2 of the Exchange Act). Yes ☐   No ⌧</w:t>
      </w:r>
    </w:p>
    <w:p>
      <w:pPr>
        <w:pStyle w:val="TextBody"/>
        <w:bidi w:val="0"/>
        <w:spacing w:before="120" w:after="120"/>
        <w:ind w:left="0" w:right="0" w:hanging="0"/>
        <w:jc w:val="both"/>
        <w:rPr>
          <w:rFonts w:ascii="Times New Roman;Times;serif" w:hAnsi="Times New Roman;Times;serif"/>
          <w:sz w:val="20"/>
        </w:rPr>
      </w:pPr>
      <w:r>
        <w:rPr>
          <w:rFonts w:ascii="Times New Roman;Times;serif" w:hAnsi="Times New Roman;Times;serif"/>
          <w:sz w:val="20"/>
        </w:rPr>
        <w:t>Indicate the number of shares outstanding of each of the issuer’s classes of common stock, as of the latest practicable date:</w:t>
      </w:r>
    </w:p>
    <w:p>
      <w:pPr>
        <w:pStyle w:val="Normal"/>
        <w:bidi w:val="0"/>
        <w:spacing w:before="0" w:after="0"/>
        <w:jc w:val="left"/>
        <w:rPr>
          <w:sz w:val="4"/>
          <w:szCs w:val="4"/>
        </w:rPr>
      </w:pPr>
      <w:r>
        <w:rPr>
          <w:sz w:val="4"/>
          <w:szCs w:val="4"/>
        </w:rPr>
      </w:r>
      <w:bookmarkStart w:id="35" w:name="Tc_O9AtVtY6wEGk7ZH1IGks3w_2_1"/>
      <w:bookmarkStart w:id="36" w:name="Tc_-POVumCzikGXqd-0D0NE2Q_1_3"/>
      <w:bookmarkStart w:id="37" w:name="Tc_hrjrt7WHGECpCNIhtqoehQ_1_1"/>
      <w:bookmarkStart w:id="38" w:name="_bd0371fc_dbe3_43da_852d_1a2bae81d927"/>
      <w:bookmarkStart w:id="39" w:name="Tc_O9AtVtY6wEGk7ZH1IGks3w_2_1"/>
      <w:bookmarkStart w:id="40" w:name="Tc_-POVumCzikGXqd-0D0NE2Q_1_3"/>
      <w:bookmarkStart w:id="41" w:name="Tc_hrjrt7WHGECpCNIhtqoehQ_1_1"/>
      <w:bookmarkStart w:id="42" w:name="_bd0371fc_dbe3_43da_852d_1a2bae81d927"/>
      <w:bookmarkEnd w:id="39"/>
      <w:bookmarkEnd w:id="40"/>
      <w:bookmarkEnd w:id="41"/>
      <w:bookmarkEnd w:id="42"/>
    </w:p>
    <w:tbl>
      <w:tblPr>
        <w:tblW w:w="5771" w:type="dxa"/>
        <w:jc w:val="left"/>
        <w:tblInd w:w="0" w:type="dxa"/>
        <w:tblLayout w:type="fixed"/>
        <w:tblCellMar>
          <w:top w:w="0" w:type="dxa"/>
          <w:left w:w="0" w:type="dxa"/>
          <w:bottom w:w="0" w:type="dxa"/>
          <w:right w:w="0" w:type="dxa"/>
        </w:tblCellMar>
      </w:tblPr>
      <w:tblGrid>
        <w:gridCol w:w="124"/>
        <w:gridCol w:w="2431"/>
        <w:gridCol w:w="346"/>
        <w:gridCol w:w="2716"/>
        <w:gridCol w:w="154"/>
      </w:tblGrid>
      <w:tr>
        <w:trPr/>
        <w:tc>
          <w:tcPr>
            <w:tcW w:w="124" w:type="dxa"/>
            <w:tcBorders/>
            <w:vAlign w:val="center"/>
          </w:tcPr>
          <w:p>
            <w:pPr>
              <w:pStyle w:val="TableContents"/>
              <w:bidi w:val="0"/>
              <w:spacing w:before="0" w:after="0"/>
              <w:ind w:left="0" w:right="0" w:hanging="0"/>
              <w:jc w:val="left"/>
              <w:rPr/>
            </w:pPr>
            <w:r>
              <w:rPr/>
              <w:t>​</w:t>
            </w:r>
          </w:p>
        </w:tc>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center"/>
              <w:rPr/>
            </w:pPr>
            <w:r>
              <w:rPr/>
              <w:t>​</w:t>
            </w:r>
          </w:p>
        </w:tc>
        <w:tc>
          <w:tcPr>
            <w:tcW w:w="243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center"/>
              <w:rPr/>
            </w:pPr>
            <w:r>
              <w:rPr/>
              <w:t>  ​ ​ ​</w:t>
            </w:r>
          </w:p>
        </w:tc>
        <w:tc>
          <w:tcPr>
            <w:tcW w:w="271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Outstanding as of June 27, 2026</w:t>
            </w:r>
          </w:p>
        </w:tc>
        <w:tc>
          <w:tcPr>
            <w:tcW w:w="154" w:type="dxa"/>
            <w:tcBorders>
              <w:bottom w:val="single" w:sz="12" w:space="0" w:color="000000"/>
            </w:tcBorders>
            <w:tcMar>
              <w:bottom w:w="28" w:type="dxa"/>
            </w:tcMar>
            <w:vAlign w:val="center"/>
          </w:tcPr>
          <w:p>
            <w:pPr>
              <w:pStyle w:val="TableContents"/>
              <w:bidi w:val="0"/>
              <w:spacing w:before="0" w:after="0"/>
              <w:ind w:left="0" w:right="0" w:hanging="0"/>
              <w:jc w:val="center"/>
              <w:rPr/>
            </w:pPr>
            <w:r>
              <w:rPr/>
              <w:t>​</w:t>
            </w:r>
          </w:p>
        </w:tc>
      </w:tr>
      <w:tr>
        <w:trPr/>
        <w:tc>
          <w:tcPr>
            <w:tcW w:w="124" w:type="dxa"/>
            <w:tcBorders/>
            <w:vAlign w:val="center"/>
          </w:tcPr>
          <w:p>
            <w:pPr>
              <w:pStyle w:val="TableContents"/>
              <w:bidi w:val="0"/>
              <w:spacing w:before="0" w:after="0"/>
              <w:ind w:left="0" w:right="0" w:hanging="0"/>
              <w:jc w:val="center"/>
              <w:rPr/>
            </w:pPr>
            <w:r>
              <w:rPr/>
              <w:t>​</w:t>
            </w:r>
          </w:p>
        </w:tc>
        <w:tc>
          <w:tcPr>
            <w:tcW w:w="2431" w:type="dxa"/>
            <w:tcBorders>
              <w:top w:val="single" w:sz="1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$1 par value</w:t>
            </w:r>
          </w:p>
        </w:tc>
        <w:tc>
          <w:tcPr>
            <w:tcW w:w="346" w:type="dxa"/>
            <w:tcBorders/>
            <w:vAlign w:val="center"/>
          </w:tcPr>
          <w:p>
            <w:pPr>
              <w:pStyle w:val="TableContents"/>
              <w:bidi w:val="0"/>
              <w:spacing w:before="0" w:after="0"/>
              <w:ind w:left="0" w:right="0" w:hanging="0"/>
              <w:jc w:val="center"/>
              <w:rPr/>
            </w:pPr>
            <w:r>
              <w:rPr/>
              <w:t>​</w:t>
            </w:r>
          </w:p>
        </w:tc>
        <w:tc>
          <w:tcPr>
            <w:tcW w:w="2716" w:type="dxa"/>
            <w:tcBorders>
              <w:top w:val="single" w:sz="1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55,161,491</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
        </w:rPr>
      </w:pPr>
      <w:r>
        <w:rPr>
          <w:rFonts w:ascii="Times New Roman;Times;serif" w:hAnsi="Times New Roman;Times;serif"/>
          <w:sz w:val="2"/>
        </w:rPr>
        <w:t>=</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78740" cy="175260"/>
                      <wp:effectExtent l="0" t="0" r="0" b="0"/>
                      <wp:wrapNone/>
                      <wp:docPr id="10" name="Frame1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97790" cy="175260"/>
                      <wp:effectExtent l="0" t="0" r="0" b="0"/>
                      <wp:wrapNone/>
                      <wp:docPr id="11" name="Frame1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top w:val="single" w:sz="8" w:space="0" w:color="000000"/>
              <w:left w:val="single" w:sz="8" w:space="0" w:color="000000"/>
              <w:bottom w:val="single" w:sz="16" w:space="0" w:color="000000"/>
            </w:tcBorders>
            <w:tcMar>
              <w:top w:w="28" w:type="dxa"/>
              <w:left w:w="50" w:type="dxa"/>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6990" cy="175260"/>
                      <wp:effectExtent l="0" t="0" r="0" b="0"/>
                      <wp:wrapNone/>
                      <wp:docPr id="12" name="Frame12"/>
                      <a:graphic xmlns:a="http://schemas.openxmlformats.org/drawingml/2006/main">
                        <a:graphicData uri="http://schemas.microsoft.com/office/word/2010/wordprocessingShape">
                          <wps:wsp>
                            <wps:cNvSpPr txBox="1"/>
                            <wps:spPr>
                              <a:xfrm>
                                <a:off x="0" y="0"/>
                                <a:ext cx="46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top w:val="single" w:sz="8" w:space="0" w:color="000000"/>
              <w:bottom w:val="single" w:sz="16" w:space="0" w:color="000000"/>
              <w:right w:val="single" w:sz="8" w:space="0" w:color="000000"/>
            </w:tcBorders>
            <w:tcMar>
              <w:top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80010" cy="175260"/>
                      <wp:effectExtent l="0" t="0" r="0" b="0"/>
                      <wp:wrapNone/>
                      <wp:docPr id="13" name="Frame13"/>
                      <a:graphic xmlns:a="http://schemas.openxmlformats.org/drawingml/2006/main">
                        <a:graphicData uri="http://schemas.microsoft.com/office/word/2010/wordprocessingShape">
                          <wps:wsp>
                            <wps:cNvSpPr txBox="1"/>
                            <wps:spPr>
                              <a:xfrm>
                                <a:off x="0" y="0"/>
                                <a:ext cx="80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hanging="0"/>
        <w:jc w:val="center"/>
        <w:rPr>
          <w:rFonts w:ascii="Times New Roman;Times;serif" w:hAnsi="Times New Roman;Times;serif"/>
          <w:b/>
          <w:sz w:val="20"/>
        </w:rPr>
      </w:pPr>
      <w:bookmarkStart w:id="43" w:name="_18416488_5849_48bc_acda_c7f0dffccbe7"/>
      <w:bookmarkStart w:id="44" w:name="TOC"/>
      <w:bookmarkEnd w:id="43"/>
      <w:bookmarkEnd w:id="44"/>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86"/>
        <w:gridCol w:w="796"/>
        <w:gridCol w:w="7622"/>
        <w:gridCol w:w="901"/>
      </w:tblGrid>
      <w:tr>
        <w:trPr/>
        <w:tc>
          <w:tcPr>
            <w:tcW w:w="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 I.</w:t>
            </w:r>
          </w:p>
        </w:tc>
        <w:tc>
          <w:tcPr>
            <w:tcW w:w="796" w:type="dxa"/>
            <w:tcBorders/>
            <w:vAlign w:val="center"/>
          </w:tcPr>
          <w:p>
            <w:pPr>
              <w:pStyle w:val="TableContents"/>
              <w:bidi w:val="0"/>
              <w:spacing w:before="0" w:after="0"/>
              <w:ind w:left="0" w:right="0" w:hanging="0"/>
              <w:jc w:val="left"/>
              <w:rPr/>
            </w:pPr>
            <w:r>
              <w:rPr/>
              <w:t>​</w:t>
            </w:r>
          </w:p>
        </w:tc>
        <w:tc>
          <w:tcPr>
            <w:tcW w:w="762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INFORMATION.</w:t>
            </w:r>
          </w:p>
        </w:tc>
        <w:tc>
          <w:tcPr>
            <w:tcW w:w="901" w:type="dxa"/>
            <w:tcBorders>
              <w:bottom w:val="single" w:sz="1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Page No.</w:t>
            </w:r>
          </w:p>
        </w:tc>
      </w:tr>
      <w:tr>
        <w:trPr/>
        <w:tc>
          <w:tcPr>
            <w:tcW w:w="88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622" w:type="dxa"/>
            <w:tcBorders/>
            <w:vAlign w:val="center"/>
          </w:tcPr>
          <w:p>
            <w:pPr>
              <w:pStyle w:val="TableContents"/>
              <w:bidi w:val="0"/>
              <w:spacing w:before="0" w:after="0"/>
              <w:ind w:left="0" w:right="0" w:hanging="0"/>
              <w:jc w:val="left"/>
              <w:rPr/>
            </w:pPr>
            <w:r>
              <w:rPr/>
              <w:t>​</w:t>
            </w:r>
          </w:p>
        </w:tc>
        <w:tc>
          <w:tcPr>
            <w:tcW w:w="901" w:type="dxa"/>
            <w:tcBorders>
              <w:top w:val="single" w:sz="18" w:space="0" w:color="000000"/>
            </w:tcBorders>
            <w:tcMar>
              <w:top w:w="28" w:type="dxa"/>
            </w:tcMar>
            <w:vAlign w:val="center"/>
          </w:tcPr>
          <w:p>
            <w:pPr>
              <w:pStyle w:val="TableContents"/>
              <w:bidi w:val="0"/>
              <w:spacing w:before="0" w:after="0"/>
              <w:ind w:left="0" w:right="0" w:hanging="0"/>
              <w:jc w:val="right"/>
              <w:rPr/>
            </w:pPr>
            <w:r>
              <w:rPr/>
              <w:t>​</w:t>
            </w:r>
          </w:p>
        </w:tc>
      </w:tr>
      <w:tr>
        <w:trPr/>
        <w:tc>
          <w:tcPr>
            <w:tcW w:w="88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both"/>
              <w:rPr/>
            </w:pPr>
            <w:hyperlink w:anchor="CONSOLIDATEDCONDENSEDBALANCESHEETS_27088">
              <w:r>
                <w:rPr>
                  <w:rStyle w:val="InternetLink"/>
                  <w:rFonts w:ascii="Times New Roman;Times;serif" w:hAnsi="Times New Roman;Times;serif"/>
                  <w:b w:val="false"/>
                  <w:i w:val="false"/>
                  <w:caps w:val="false"/>
                  <w:smallCaps w:val="false"/>
                  <w:sz w:val="20"/>
                </w:rPr>
                <w:t>Item 1.</w:t>
              </w:r>
            </w:hyperlink>
          </w:p>
        </w:tc>
        <w:tc>
          <w:tcPr>
            <w:tcW w:w="7622" w:type="dxa"/>
            <w:tcBorders/>
            <w:shd w:fill="CCEEFF" w:val="clear"/>
            <w:vAlign w:val="center"/>
          </w:tcPr>
          <w:p>
            <w:pPr>
              <w:pStyle w:val="TableContents"/>
              <w:bidi w:val="0"/>
              <w:spacing w:before="0" w:after="0"/>
              <w:ind w:left="0" w:right="0" w:hanging="0"/>
              <w:jc w:val="both"/>
              <w:rPr/>
            </w:pPr>
            <w:hyperlink w:anchor="CONSOLIDATEDCONDENSEDBALANCESHEETS_27088">
              <w:r>
                <w:rPr>
                  <w:rStyle w:val="InternetLink"/>
                  <w:rFonts w:ascii="Times New Roman;Times;serif" w:hAnsi="Times New Roman;Times;serif"/>
                  <w:b w:val="false"/>
                  <w:i w:val="false"/>
                  <w:caps w:val="false"/>
                  <w:smallCaps w:val="false"/>
                  <w:sz w:val="20"/>
                </w:rPr>
                <w:t>Financial Statements</w:t>
              </w:r>
            </w:hyperlink>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8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622"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r>
      <w:tr>
        <w:trPr/>
        <w:tc>
          <w:tcPr>
            <w:tcW w:w="88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7622" w:type="dxa"/>
            <w:tcBorders/>
            <w:shd w:fill="CCEEFF" w:val="clear"/>
            <w:vAlign w:val="center"/>
          </w:tcPr>
          <w:p>
            <w:pPr>
              <w:pStyle w:val="TableContents"/>
              <w:bidi w:val="0"/>
              <w:spacing w:before="0" w:after="0"/>
              <w:ind w:left="0" w:right="0" w:hanging="0"/>
              <w:jc w:val="both"/>
              <w:rPr/>
            </w:pPr>
            <w:hyperlink w:anchor="CONSOLIDATEDCONDENSEDBALANCESHEETS_27088">
              <w:r>
                <w:rPr>
                  <w:rStyle w:val="InternetLink"/>
                  <w:rFonts w:ascii="Times New Roman;Times;serif" w:hAnsi="Times New Roman;Times;serif"/>
                  <w:b w:val="false"/>
                  <w:i w:val="false"/>
                  <w:caps w:val="false"/>
                  <w:smallCaps w:val="false"/>
                  <w:sz w:val="20"/>
                </w:rPr>
                <w:t>Condensed Consolidated Balance Sheets at June 27, 2026, December 27, 2025 and June 28, 2025</w:t>
              </w:r>
            </w:hyperlink>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8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622"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r>
      <w:tr>
        <w:trPr/>
        <w:tc>
          <w:tcPr>
            <w:tcW w:w="88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7622" w:type="dxa"/>
            <w:tcBorders/>
            <w:shd w:fill="CCEEFF" w:val="clear"/>
            <w:vAlign w:val="center"/>
          </w:tcPr>
          <w:p>
            <w:pPr>
              <w:pStyle w:val="TableContents"/>
              <w:bidi w:val="0"/>
              <w:spacing w:before="0" w:after="0"/>
              <w:ind w:left="0" w:right="0" w:hanging="0"/>
              <w:jc w:val="both"/>
              <w:rPr/>
            </w:pPr>
            <w:hyperlink w:anchor="CONSOLIDATEDCONDENSEDSTATEMENTSOFEARNING">
              <w:r>
                <w:rPr>
                  <w:rStyle w:val="InternetLink"/>
                  <w:rFonts w:ascii="Times New Roman;Times;serif" w:hAnsi="Times New Roman;Times;serif"/>
                  <w:b w:val="false"/>
                  <w:i w:val="false"/>
                  <w:caps w:val="false"/>
                  <w:smallCaps w:val="false"/>
                  <w:sz w:val="20"/>
                </w:rPr>
                <w:t>Condensed Consolidated Statements of Earnings and Comprehensive Income for the Three and Six</w:t>
              </w:r>
            </w:hyperlink>
            <w:hyperlink w:anchor="CONSOLIDATEDCONDENSEDSTATEMENTSOFEARNING">
              <w:r>
                <w:rPr>
                  <w:rStyle w:val="InternetLink"/>
                  <w:rFonts w:ascii="Times New Roman;Times;serif" w:hAnsi="Times New Roman;Times;serif"/>
                  <w:caps w:val="false"/>
                  <w:smallCaps w:val="false"/>
                  <w:sz w:val="20"/>
                </w:rPr>
                <w:t xml:space="preserve"> </w:t>
              </w:r>
            </w:hyperlink>
            <w:hyperlink w:anchor="CONSOLIDATEDCONDENSEDSTATEMENTSOFEARNING">
              <w:r>
                <w:rPr>
                  <w:rStyle w:val="InternetLink"/>
                  <w:rFonts w:ascii="Times New Roman;Times;serif" w:hAnsi="Times New Roman;Times;serif"/>
                  <w:b w:val="false"/>
                  <w:i w:val="false"/>
                  <w:caps w:val="false"/>
                  <w:smallCaps w:val="false"/>
                  <w:sz w:val="20"/>
                </w:rPr>
                <w:t>Months Ended June 27, 2026 and June 28, 2025</w:t>
              </w:r>
            </w:hyperlink>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8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622"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r>
      <w:tr>
        <w:trPr/>
        <w:tc>
          <w:tcPr>
            <w:tcW w:w="88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7622" w:type="dxa"/>
            <w:tcBorders/>
            <w:shd w:fill="CCEEFF" w:val="clear"/>
            <w:vAlign w:val="center"/>
          </w:tcPr>
          <w:p>
            <w:pPr>
              <w:pStyle w:val="TableContents"/>
              <w:bidi w:val="0"/>
              <w:spacing w:before="0" w:after="0"/>
              <w:ind w:left="0" w:right="0" w:hanging="0"/>
              <w:jc w:val="both"/>
              <w:rPr/>
            </w:pPr>
            <w:hyperlink w:anchor="CONSOLIDATEDSTATEMENTSOFSHAREHOLDERSEQUI">
              <w:r>
                <w:rPr>
                  <w:rStyle w:val="InternetLink"/>
                  <w:rFonts w:ascii="Times New Roman;Times;serif" w:hAnsi="Times New Roman;Times;serif"/>
                  <w:b w:val="false"/>
                  <w:i w:val="false"/>
                  <w:caps w:val="false"/>
                  <w:smallCaps w:val="false"/>
                  <w:sz w:val="20"/>
                </w:rPr>
                <w:t>Condensed Consolidated Statements of Shareholders’ Equity for the Three and Six</w:t>
              </w:r>
            </w:hyperlink>
            <w:hyperlink w:anchor="CONSOLIDATEDSTATEMENTSOFSHAREHOLDERSEQUI">
              <w:r>
                <w:rPr>
                  <w:rStyle w:val="InternetLink"/>
                  <w:rFonts w:ascii="Times New Roman;Times;serif" w:hAnsi="Times New Roman;Times;serif"/>
                  <w:caps w:val="false"/>
                  <w:smallCaps w:val="false"/>
                  <w:sz w:val="20"/>
                </w:rPr>
                <w:t xml:space="preserve"> </w:t>
              </w:r>
            </w:hyperlink>
            <w:hyperlink w:anchor="CONSOLIDATEDSTATEMENTSOFSHAREHOLDERSEQUI">
              <w:r>
                <w:rPr>
                  <w:rStyle w:val="InternetLink"/>
                  <w:rFonts w:ascii="Times New Roman;Times;serif" w:hAnsi="Times New Roman;Times;serif"/>
                  <w:b w:val="false"/>
                  <w:i w:val="false"/>
                  <w:caps w:val="false"/>
                  <w:smallCaps w:val="false"/>
                  <w:sz w:val="20"/>
                </w:rPr>
                <w:t>Months Ended June 27, 2026 and June 28, 2025</w:t>
              </w:r>
            </w:hyperlink>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8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622"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r>
      <w:tr>
        <w:trPr/>
        <w:tc>
          <w:tcPr>
            <w:tcW w:w="88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7622" w:type="dxa"/>
            <w:tcBorders/>
            <w:shd w:fill="CCEEFF" w:val="clear"/>
            <w:vAlign w:val="center"/>
          </w:tcPr>
          <w:p>
            <w:pPr>
              <w:pStyle w:val="TableContents"/>
              <w:bidi w:val="0"/>
              <w:spacing w:before="0" w:after="0"/>
              <w:ind w:left="0" w:right="0" w:hanging="0"/>
              <w:jc w:val="both"/>
              <w:rPr/>
            </w:pPr>
            <w:hyperlink w:anchor="CONSOLIDATEDCONDENSEDSTATEMENTSOFCASHFLO">
              <w:r>
                <w:rPr>
                  <w:rStyle w:val="InternetLink"/>
                  <w:rFonts w:ascii="Times New Roman;Times;serif" w:hAnsi="Times New Roman;Times;serif"/>
                  <w:b w:val="false"/>
                  <w:i w:val="false"/>
                  <w:caps w:val="false"/>
                  <w:smallCaps w:val="false"/>
                  <w:sz w:val="20"/>
                </w:rPr>
                <w:t>Condensed Consolidated Statements of Cash Flows for the Six Months Ended June 27, 2026 and June 28, 2025</w:t>
              </w:r>
            </w:hyperlink>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8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622"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r>
      <w:tr>
        <w:trPr/>
        <w:tc>
          <w:tcPr>
            <w:tcW w:w="88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7622" w:type="dxa"/>
            <w:tcBorders/>
            <w:shd w:fill="CCEEFF" w:val="clear"/>
            <w:vAlign w:val="center"/>
          </w:tcPr>
          <w:p>
            <w:pPr>
              <w:pStyle w:val="TableContents"/>
              <w:bidi w:val="0"/>
              <w:spacing w:before="0" w:after="0"/>
              <w:ind w:left="0" w:right="0" w:hanging="0"/>
              <w:jc w:val="both"/>
              <w:rPr/>
            </w:pPr>
            <w:hyperlink w:anchor="NOTESTOUNAUDITED_293189">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8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622"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r>
      <w:tr>
        <w:trPr/>
        <w:tc>
          <w:tcPr>
            <w:tcW w:w="88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both"/>
              <w:rPr/>
            </w:pPr>
            <w:hyperlink w:anchor="MANAGEMENTSDISCUSSIONANDANALYSISOF_70241">
              <w:r>
                <w:rPr>
                  <w:rStyle w:val="InternetLink"/>
                  <w:rFonts w:ascii="Times New Roman;Times;serif" w:hAnsi="Times New Roman;Times;serif"/>
                  <w:b w:val="false"/>
                  <w:i w:val="false"/>
                  <w:caps w:val="false"/>
                  <w:smallCaps w:val="false"/>
                  <w:sz w:val="20"/>
                </w:rPr>
                <w:t>Item 2.</w:t>
              </w:r>
            </w:hyperlink>
          </w:p>
        </w:tc>
        <w:tc>
          <w:tcPr>
            <w:tcW w:w="7622" w:type="dxa"/>
            <w:tcBorders/>
            <w:shd w:fill="CCEEFF" w:val="clear"/>
            <w:vAlign w:val="center"/>
          </w:tcPr>
          <w:p>
            <w:pPr>
              <w:pStyle w:val="TableContents"/>
              <w:bidi w:val="0"/>
              <w:spacing w:before="0" w:after="0"/>
              <w:ind w:left="0" w:right="0" w:hanging="0"/>
              <w:jc w:val="both"/>
              <w:rPr/>
            </w:pPr>
            <w:hyperlink w:anchor="MANAGEMENTSDISCUSSIONANDANALYSISOF_7024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88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622"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r>
      <w:tr>
        <w:trPr/>
        <w:tc>
          <w:tcPr>
            <w:tcW w:w="88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622" w:type="dxa"/>
            <w:tcBorders/>
            <w:shd w:fill="CCEEFF" w:val="clear"/>
            <w:vAlign w:val="center"/>
          </w:tcPr>
          <w:p>
            <w:pPr>
              <w:pStyle w:val="TableContents"/>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8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622"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r>
      <w:tr>
        <w:trPr/>
        <w:tc>
          <w:tcPr>
            <w:tcW w:w="88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both"/>
              <w:rPr/>
            </w:pPr>
            <w:hyperlink w:anchor="Item4ControlsandProcedures_141501">
              <w:r>
                <w:rPr>
                  <w:rStyle w:val="InternetLink"/>
                  <w:rFonts w:ascii="Times New Roman;Times;serif" w:hAnsi="Times New Roman;Times;serif"/>
                  <w:b w:val="false"/>
                  <w:i w:val="false"/>
                  <w:caps w:val="false"/>
                  <w:smallCaps w:val="false"/>
                  <w:sz w:val="20"/>
                </w:rPr>
                <w:t>Item 4.</w:t>
              </w:r>
            </w:hyperlink>
          </w:p>
        </w:tc>
        <w:tc>
          <w:tcPr>
            <w:tcW w:w="7622" w:type="dxa"/>
            <w:tcBorders/>
            <w:shd w:fill="CCEEFF" w:val="clear"/>
            <w:vAlign w:val="center"/>
          </w:tcPr>
          <w:p>
            <w:pPr>
              <w:pStyle w:val="TableContents"/>
              <w:bidi w:val="0"/>
              <w:spacing w:before="0" w:after="0"/>
              <w:ind w:left="0" w:right="0" w:hanging="0"/>
              <w:jc w:val="both"/>
              <w:rPr/>
            </w:pPr>
            <w:hyperlink w:anchor="Item4ControlsandProcedures_141501">
              <w:r>
                <w:rPr>
                  <w:rStyle w:val="InternetLink"/>
                  <w:rFonts w:ascii="Times New Roman;Times;serif" w:hAnsi="Times New Roman;Times;serif"/>
                  <w:b w:val="false"/>
                  <w:i w:val="false"/>
                  <w:caps w:val="false"/>
                  <w:smallCaps w:val="false"/>
                  <w:sz w:val="20"/>
                </w:rPr>
                <w:t>Controls and Procedures</w:t>
              </w:r>
            </w:hyperlink>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8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622"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r>
      <w:tr>
        <w:trPr/>
        <w:tc>
          <w:tcPr>
            <w:tcW w:w="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 II.</w:t>
            </w:r>
          </w:p>
        </w:tc>
        <w:tc>
          <w:tcPr>
            <w:tcW w:w="796" w:type="dxa"/>
            <w:tcBorders/>
            <w:shd w:fill="CCEEFF" w:val="clear"/>
            <w:vAlign w:val="center"/>
          </w:tcPr>
          <w:p>
            <w:pPr>
              <w:pStyle w:val="TableContents"/>
              <w:bidi w:val="0"/>
              <w:spacing w:before="0" w:after="0"/>
              <w:ind w:left="0" w:right="0" w:hanging="0"/>
              <w:jc w:val="left"/>
              <w:rPr/>
            </w:pPr>
            <w:r>
              <w:rPr/>
              <w:t>​</w:t>
            </w:r>
          </w:p>
        </w:tc>
        <w:tc>
          <w:tcPr>
            <w:tcW w:w="762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p>
        </w:tc>
        <w:tc>
          <w:tcPr>
            <w:tcW w:w="901" w:type="dxa"/>
            <w:tcBorders/>
            <w:shd w:fill="CCEEFF" w:val="clear"/>
            <w:vAlign w:val="center"/>
          </w:tcPr>
          <w:p>
            <w:pPr>
              <w:pStyle w:val="TableContents"/>
              <w:bidi w:val="0"/>
              <w:spacing w:before="0" w:after="0"/>
              <w:ind w:left="0" w:right="0" w:hanging="0"/>
              <w:jc w:val="right"/>
              <w:rPr/>
            </w:pPr>
            <w:r>
              <w:rPr/>
              <w:t>​</w:t>
            </w:r>
          </w:p>
        </w:tc>
      </w:tr>
      <w:tr>
        <w:trPr/>
        <w:tc>
          <w:tcPr>
            <w:tcW w:w="88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622"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r>
      <w:tr>
        <w:trPr/>
        <w:tc>
          <w:tcPr>
            <w:tcW w:w="88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Item 1.</w:t>
            </w:r>
          </w:p>
        </w:tc>
        <w:tc>
          <w:tcPr>
            <w:tcW w:w="7622"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Legal Proceedings – NONE</w:t>
            </w:r>
          </w:p>
        </w:tc>
        <w:tc>
          <w:tcPr>
            <w:tcW w:w="901" w:type="dxa"/>
            <w:tcBorders/>
            <w:shd w:fill="CCEEFF" w:val="clear"/>
            <w:vAlign w:val="center"/>
          </w:tcPr>
          <w:p>
            <w:pPr>
              <w:pStyle w:val="TableContents"/>
              <w:bidi w:val="0"/>
              <w:spacing w:before="0" w:after="0"/>
              <w:ind w:left="0" w:right="0" w:hanging="0"/>
              <w:jc w:val="right"/>
              <w:rPr/>
            </w:pPr>
            <w:r>
              <w:rPr/>
              <w:t>​</w:t>
            </w:r>
          </w:p>
        </w:tc>
      </w:tr>
      <w:tr>
        <w:trPr/>
        <w:tc>
          <w:tcPr>
            <w:tcW w:w="88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622"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r>
      <w:tr>
        <w:trPr/>
        <w:tc>
          <w:tcPr>
            <w:tcW w:w="88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both"/>
              <w:rPr/>
            </w:pPr>
            <w:hyperlink w:anchor="Item1ARiskFactors_926338">
              <w:r>
                <w:rPr>
                  <w:rStyle w:val="InternetLink"/>
                  <w:rFonts w:ascii="Times New Roman;Times;serif" w:hAnsi="Times New Roman;Times;serif"/>
                  <w:b w:val="false"/>
                  <w:i w:val="false"/>
                  <w:caps w:val="false"/>
                  <w:smallCaps w:val="false"/>
                  <w:sz w:val="20"/>
                </w:rPr>
                <w:t>Item 1A.</w:t>
              </w:r>
            </w:hyperlink>
          </w:p>
        </w:tc>
        <w:tc>
          <w:tcPr>
            <w:tcW w:w="7622" w:type="dxa"/>
            <w:tcBorders/>
            <w:shd w:fill="CCEEFF" w:val="clear"/>
            <w:vAlign w:val="center"/>
          </w:tcPr>
          <w:p>
            <w:pPr>
              <w:pStyle w:val="TableContents"/>
              <w:bidi w:val="0"/>
              <w:spacing w:before="0" w:after="0"/>
              <w:ind w:left="0" w:right="0" w:hanging="0"/>
              <w:jc w:val="both"/>
              <w:rPr/>
            </w:pPr>
            <w:hyperlink w:anchor="Item1ARiskFactors_926338">
              <w:r>
                <w:rPr>
                  <w:rStyle w:val="InternetLink"/>
                  <w:rFonts w:ascii="Times New Roman;Times;serif" w:hAnsi="Times New Roman;Times;serif"/>
                  <w:b w:val="false"/>
                  <w:i w:val="false"/>
                  <w:caps w:val="false"/>
                  <w:smallCaps w:val="false"/>
                  <w:sz w:val="20"/>
                </w:rPr>
                <w:t xml:space="preserve">Risk Factors </w:t>
              </w:r>
            </w:hyperlink>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8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622"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r>
      <w:tr>
        <w:trPr/>
        <w:tc>
          <w:tcPr>
            <w:tcW w:w="88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622" w:type="dxa"/>
            <w:tcBorders/>
            <w:shd w:fill="CCEEFF" w:val="clear"/>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8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622"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r>
      <w:tr>
        <w:trPr/>
        <w:tc>
          <w:tcPr>
            <w:tcW w:w="88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Item 3.</w:t>
            </w:r>
          </w:p>
        </w:tc>
        <w:tc>
          <w:tcPr>
            <w:tcW w:w="7622"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Defaults upon Senior Securities – NONE</w:t>
            </w:r>
          </w:p>
        </w:tc>
        <w:tc>
          <w:tcPr>
            <w:tcW w:w="901" w:type="dxa"/>
            <w:tcBorders/>
            <w:shd w:fill="CCEEFF" w:val="clear"/>
            <w:vAlign w:val="center"/>
          </w:tcPr>
          <w:p>
            <w:pPr>
              <w:pStyle w:val="TableContents"/>
              <w:bidi w:val="0"/>
              <w:spacing w:before="0" w:after="0"/>
              <w:ind w:left="0" w:right="0" w:hanging="0"/>
              <w:jc w:val="right"/>
              <w:rPr/>
            </w:pPr>
            <w:r>
              <w:rPr/>
              <w:t>​</w:t>
            </w:r>
          </w:p>
        </w:tc>
      </w:tr>
      <w:tr>
        <w:trPr/>
        <w:tc>
          <w:tcPr>
            <w:tcW w:w="88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622"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r>
      <w:tr>
        <w:trPr/>
        <w:tc>
          <w:tcPr>
            <w:tcW w:w="88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Item 4.</w:t>
            </w:r>
          </w:p>
        </w:tc>
        <w:tc>
          <w:tcPr>
            <w:tcW w:w="7622"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Mine Safety Disclosures – NONE</w:t>
            </w:r>
          </w:p>
        </w:tc>
        <w:tc>
          <w:tcPr>
            <w:tcW w:w="901" w:type="dxa"/>
            <w:tcBorders/>
            <w:shd w:fill="CCEEFF" w:val="clear"/>
            <w:vAlign w:val="center"/>
          </w:tcPr>
          <w:p>
            <w:pPr>
              <w:pStyle w:val="TableContents"/>
              <w:bidi w:val="0"/>
              <w:spacing w:before="0" w:after="0"/>
              <w:ind w:left="0" w:right="0" w:hanging="0"/>
              <w:jc w:val="right"/>
              <w:rPr/>
            </w:pPr>
            <w:r>
              <w:rPr/>
              <w:t>​</w:t>
            </w:r>
          </w:p>
        </w:tc>
      </w:tr>
      <w:tr>
        <w:trPr/>
        <w:tc>
          <w:tcPr>
            <w:tcW w:w="88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622"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r>
      <w:tr>
        <w:trPr/>
        <w:tc>
          <w:tcPr>
            <w:tcW w:w="88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both"/>
              <w:rPr/>
            </w:pPr>
            <w:hyperlink w:anchor="Item5OtherInformation_609482">
              <w:r>
                <w:rPr>
                  <w:rStyle w:val="InternetLink"/>
                  <w:rFonts w:ascii="Times New Roman;Times;serif" w:hAnsi="Times New Roman;Times;serif"/>
                  <w:b w:val="false"/>
                  <w:i w:val="false"/>
                  <w:caps w:val="false"/>
                  <w:smallCaps w:val="false"/>
                  <w:sz w:val="20"/>
                </w:rPr>
                <w:t>Item 5.</w:t>
              </w:r>
            </w:hyperlink>
          </w:p>
        </w:tc>
        <w:tc>
          <w:tcPr>
            <w:tcW w:w="7622" w:type="dxa"/>
            <w:tcBorders/>
            <w:shd w:fill="CCEEFF" w:val="clear"/>
            <w:vAlign w:val="center"/>
          </w:tcPr>
          <w:p>
            <w:pPr>
              <w:pStyle w:val="TableContents"/>
              <w:bidi w:val="0"/>
              <w:spacing w:before="0" w:after="0"/>
              <w:ind w:left="0" w:right="0" w:hanging="0"/>
              <w:jc w:val="both"/>
              <w:rPr/>
            </w:pPr>
            <w:hyperlink w:anchor="Item5OtherInformation_609482">
              <w:r>
                <w:rPr>
                  <w:rStyle w:val="InternetLink"/>
                  <w:rFonts w:ascii="Times New Roman;Times;serif" w:hAnsi="Times New Roman;Times;serif"/>
                  <w:b w:val="false"/>
                  <w:i w:val="false"/>
                  <w:caps w:val="false"/>
                  <w:smallCaps w:val="false"/>
                  <w:sz w:val="20"/>
                </w:rPr>
                <w:t>Other Information</w:t>
              </w:r>
            </w:hyperlink>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88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622"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r>
      <w:tr>
        <w:trPr/>
        <w:tc>
          <w:tcPr>
            <w:tcW w:w="88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both"/>
              <w:rPr/>
            </w:pPr>
            <w:hyperlink w:anchor="Item6Exhibits_615396">
              <w:r>
                <w:rPr>
                  <w:rStyle w:val="InternetLink"/>
                  <w:rFonts w:ascii="Times New Roman;Times;serif" w:hAnsi="Times New Roman;Times;serif"/>
                  <w:b w:val="false"/>
                  <w:i w:val="false"/>
                  <w:caps w:val="false"/>
                  <w:smallCaps w:val="false"/>
                  <w:sz w:val="20"/>
                </w:rPr>
                <w:t>Item 6.</w:t>
              </w:r>
            </w:hyperlink>
          </w:p>
        </w:tc>
        <w:tc>
          <w:tcPr>
            <w:tcW w:w="7622" w:type="dxa"/>
            <w:tcBorders/>
            <w:shd w:fill="CCEEFF" w:val="clear"/>
            <w:vAlign w:val="center"/>
          </w:tcPr>
          <w:p>
            <w:pPr>
              <w:pStyle w:val="TableContents"/>
              <w:bidi w:val="0"/>
              <w:spacing w:before="0" w:after="0"/>
              <w:ind w:left="0" w:right="0" w:hanging="0"/>
              <w:jc w:val="both"/>
              <w:rPr/>
            </w:pPr>
            <w:hyperlink w:anchor="Item6Exhibits_615396">
              <w:r>
                <w:rPr>
                  <w:rStyle w:val="InternetLink"/>
                  <w:rFonts w:ascii="Times New Roman;Times;serif" w:hAnsi="Times New Roman;Times;serif"/>
                  <w:b w:val="false"/>
                  <w:i w:val="false"/>
                  <w:caps w:val="false"/>
                  <w:smallCaps w:val="false"/>
                  <w:sz w:val="20"/>
                </w:rPr>
                <w:t>Exhibits</w:t>
              </w:r>
            </w:hyperlink>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0"/>
        <w:ind w:left="0" w:right="0" w:hanging="0"/>
        <w:jc w:val="center"/>
        <w:rPr>
          <w:rFonts w:ascii="Times New Roman;Times;serif" w:hAnsi="Times New Roman;Times;serif"/>
          <w:b/>
          <w:sz w:val="20"/>
        </w:rPr>
      </w:pPr>
      <w:bookmarkStart w:id="45" w:name="CONSOLIDATEDCONDENSEDBALANCESHEETS_27088"/>
      <w:bookmarkStart w:id="46" w:name="_d4738620_3353_43d2_9a93_a49d05a3f40a"/>
      <w:bookmarkEnd w:id="45"/>
      <w:bookmarkEnd w:id="46"/>
      <w:r>
        <w:rPr>
          <w:rFonts w:ascii="Times New Roman;Times;serif" w:hAnsi="Times New Roman;Times;serif"/>
          <w:b/>
          <w:sz w:val="20"/>
        </w:rPr>
        <w:t>CONDENSED CONSOLIDATED BALANCE SHEETS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47" w:name="Tc_RCFihFLyT0OVQo_CZxg54Q_54_8"/>
      <w:bookmarkStart w:id="48" w:name="Tc_rKrKttNJekqzgXgyrT7zlw_54_5"/>
      <w:bookmarkStart w:id="49" w:name="Tc_khHxsyPDWEaoFnQKpoxP0A_54_2"/>
      <w:bookmarkStart w:id="50" w:name="Tc_3u4szU5Ihkubo8-YsuFVVg_54_0"/>
      <w:bookmarkStart w:id="51" w:name="Tc_NfHxn-KMwkKG0zWVdn4-kA_53_0"/>
      <w:bookmarkStart w:id="52" w:name="Tc_q-meYyXn6UmEk_lMupjVOg_52_0"/>
      <w:bookmarkStart w:id="53" w:name="Tc_6Dq6u1rKI0iGhWJ_SYn_Jg_51_0"/>
      <w:bookmarkStart w:id="54" w:name="Tc_H28tIWClIU6oltPDcKvJyQ_50_0"/>
      <w:bookmarkStart w:id="55" w:name="Tc_xhi9fMNuvUeGH7tg0OscXw_49_0"/>
      <w:bookmarkStart w:id="56" w:name="Tc_pluL_i3kw0qs3UEKlsoQjQ_48_0"/>
      <w:bookmarkStart w:id="57" w:name="Tc_-tjzWjN5O0aCfIaXG6Aa6A_47_0"/>
      <w:bookmarkStart w:id="58" w:name="Tc_XESoRg5AVkmUMVLpT6fVyw_46_0"/>
      <w:bookmarkStart w:id="59" w:name="Tc_B1k_M-5TaEuQkJM9-_IyqQ_45_0"/>
      <w:bookmarkStart w:id="60" w:name="Tc_1om8Q9UA00i9pBGob3STOw_44_0"/>
      <w:bookmarkStart w:id="61" w:name="Tc_N5UrI3IWbk6MfLDSn-fQxg_43_0"/>
      <w:bookmarkStart w:id="62" w:name="Tc_e6poNrl_T0CleHJnsyo4WQ_42_0"/>
      <w:bookmarkStart w:id="63" w:name="Tc_JqSK0jkixke-qhOn4fR4sw_41_0"/>
      <w:bookmarkStart w:id="64" w:name="Tc_pmwg33Sv4kOxi3lSGKsvkw_40_0"/>
      <w:bookmarkStart w:id="65" w:name="Tc_Gl4KCalJuUOdz6CsD-P7Ww_39_0"/>
      <w:bookmarkStart w:id="66" w:name="Tc_Oz_6s5vaU0-bFGRcnZgn9A_38_0"/>
      <w:bookmarkStart w:id="67" w:name="Tc_wxBkYXxsyU6mU81fxyA9hw_37_0"/>
      <w:bookmarkStart w:id="68" w:name="Tc_QvBJh73zLEWbDlbM7rkc1w_36_0"/>
      <w:bookmarkStart w:id="69" w:name="Tc_bt1D6gdm6k2mrqWo2s7wMQ_35_0"/>
      <w:bookmarkStart w:id="70" w:name="Tc_1ulre-YEq0SrcdQ2wyAswQ_34_0"/>
      <w:bookmarkStart w:id="71" w:name="Tc_wGq067LFxUmL56Q6PjZaDw_33_0"/>
      <w:bookmarkStart w:id="72" w:name="Tc_svbUP93Cb0em6mXlYmkKGg_32_0"/>
      <w:bookmarkStart w:id="73" w:name="Tc_z9VMlnTXskS8epL1FBP9jg_31_8"/>
      <w:bookmarkStart w:id="74" w:name="Tc_sYtdD-wtlUqmRpnxSaOjeA_31_5"/>
      <w:bookmarkStart w:id="75" w:name="Tc_fuXP_sBL3U6qzQ-UMsseAA_31_2"/>
      <w:bookmarkStart w:id="76" w:name="Tc_kD8Ref0JeEK5CFMg7A1sLg_31_0"/>
      <w:bookmarkStart w:id="77" w:name="Tc_3JY4BFsEekWzF7ZquaViEA_30_0"/>
      <w:bookmarkStart w:id="78" w:name="Tc_7zGLEMi-Pki_Ue2ZxQxAoQ_29_0"/>
      <w:bookmarkStart w:id="79" w:name="Tc_0ZJ4CLdRqEi74pMxlYiMZA_28_8"/>
      <w:bookmarkStart w:id="80" w:name="Tc_QRzoZosmZEaMDKkbOV7Rmg_28_5"/>
      <w:bookmarkStart w:id="81" w:name="Tc_w_cupCd-tkaMoSh1pmE0jA_28_2"/>
      <w:bookmarkStart w:id="82" w:name="Tc_rZ95Q3dna0SAGwmaCyps2w_28_0"/>
      <w:bookmarkStart w:id="83" w:name="Tc_b6dIoOXBnUmjHT9tBiZDCw_27_0"/>
      <w:bookmarkStart w:id="84" w:name="Tc_FRofJU3-qUGKH7fNf9EAuA_26_0"/>
      <w:bookmarkStart w:id="85" w:name="Tc_43hv1c4UYU6dNThnRkInLA_25_0"/>
      <w:bookmarkStart w:id="86" w:name="Tc_NgogHPnIhEK4wAU7mr5fRw_24_0"/>
      <w:bookmarkStart w:id="87" w:name="Tc_teg0pm0M0UyU7i3dgf-ngQ_23_0"/>
      <w:bookmarkStart w:id="88" w:name="Tc_ad_p9zkd-k-ijGBJhpRVWQ_22_0"/>
      <w:bookmarkStart w:id="89" w:name="Tc_RIFb598yr0e9TtR3hwn1PA_21_0"/>
      <w:bookmarkStart w:id="90" w:name="Tc_fuBVldVGDECOtaDbvvohSQ_20_0"/>
      <w:bookmarkStart w:id="91" w:name="Tc_d0Z2LYKZk0KskBlW5cwI4w_19_0"/>
      <w:bookmarkStart w:id="92" w:name="Tc_PYdmqTg9LE6G_E4CETgvFQ_18_0"/>
      <w:bookmarkStart w:id="93" w:name="Tc_xbbyrpUMvEKOd64d46DAeQ_17_0"/>
      <w:bookmarkStart w:id="94" w:name="Tc_iuA9FP20L06VaCWbFNsyiQ_16_0"/>
      <w:bookmarkStart w:id="95" w:name="Tc_56yuWwyHxkmxpU1OPEjxFQ_15_0"/>
      <w:bookmarkStart w:id="96" w:name="Tc_p4RpzvuJ10KuL08aR-vCuQ_14_0"/>
      <w:bookmarkStart w:id="97" w:name="Tc_1Ad2fiADJU-guTsT7yyNAg_13_0"/>
      <w:bookmarkStart w:id="98" w:name="Tc_lK7c2CO0T0WbRDSpS8Q1Mg_12_0"/>
      <w:bookmarkStart w:id="99" w:name="Tc_4Mh3M0QW6U-v85iho9Q5xw_11_0"/>
      <w:bookmarkStart w:id="100" w:name="Tc_vS_hgJykJ0Whq7Ie8MYwAg_10_0"/>
      <w:bookmarkStart w:id="101" w:name="Tc_WYft5uSwrEK1PnTVwk-lOQ_9_0"/>
      <w:bookmarkStart w:id="102" w:name="Tc__8vKYxAcXUG6-b4y9REIUg_8_0"/>
      <w:bookmarkStart w:id="103" w:name="Tc_f5Y6PbzRM0eVtzJvCe3Nqw_7_0"/>
      <w:bookmarkStart w:id="104" w:name="Tc_hVlxhXXhKE65l_-XyLlVpg_6_0"/>
      <w:bookmarkStart w:id="105" w:name="Tc_qGhK5hhEDU--j8pdS2zS-w_5_8"/>
      <w:bookmarkStart w:id="106" w:name="Tc_9wWx3ZaDmEOU5vOmZ1AwVQ_5_5"/>
      <w:bookmarkStart w:id="107" w:name="Tc_7STgvjZwoUOj3J1OcEPR3Q_5_2"/>
      <w:bookmarkStart w:id="108" w:name="Tc_4GKa_fBjlkeZTEfeB9twOw_5_0"/>
      <w:bookmarkStart w:id="109" w:name="Tc_h95cCO3VCUWFVC0mFsszng_4_0"/>
      <w:bookmarkStart w:id="110" w:name="Tc_KvZ1GeO6qkukgQEjBZaEkw_3_0"/>
      <w:bookmarkStart w:id="111" w:name="Tc_7PijT-PIWk6hoWWggcXPXA_2_8"/>
      <w:bookmarkStart w:id="112" w:name="Tc_jOFcnAC4pk-V97wkMmzuhQ_2_5"/>
      <w:bookmarkStart w:id="113" w:name="Tc_fpoqnVqK2k2-xukFIu2WLw_2_2"/>
      <w:bookmarkStart w:id="114" w:name="Tc_KI_3XkhE002ulOzJNGtfNg_1_8"/>
      <w:bookmarkStart w:id="115" w:name="Tc_HNRKHo8er0-H_9ldXyUvSQ_1_5"/>
      <w:bookmarkStart w:id="116" w:name="Tc_KV31Be63UUiKo8trlLuPBg_1_2"/>
      <w:bookmarkStart w:id="117" w:name="Tc_kNlU6RB0ZkCdrMvzHVf9yQ_1_0"/>
      <w:bookmarkStart w:id="118" w:name="_d8f9908e_27a8_461a_9f70_ddf786fb4abe"/>
      <w:bookmarkStart w:id="119" w:name="Tc_RCFihFLyT0OVQo_CZxg54Q_54_8"/>
      <w:bookmarkStart w:id="120" w:name="Tc_rKrKttNJekqzgXgyrT7zlw_54_5"/>
      <w:bookmarkStart w:id="121" w:name="Tc_khHxsyPDWEaoFnQKpoxP0A_54_2"/>
      <w:bookmarkStart w:id="122" w:name="Tc_3u4szU5Ihkubo8-YsuFVVg_54_0"/>
      <w:bookmarkStart w:id="123" w:name="Tc_NfHxn-KMwkKG0zWVdn4-kA_53_0"/>
      <w:bookmarkStart w:id="124" w:name="Tc_q-meYyXn6UmEk_lMupjVOg_52_0"/>
      <w:bookmarkStart w:id="125" w:name="Tc_6Dq6u1rKI0iGhWJ_SYn_Jg_51_0"/>
      <w:bookmarkStart w:id="126" w:name="Tc_H28tIWClIU6oltPDcKvJyQ_50_0"/>
      <w:bookmarkStart w:id="127" w:name="Tc_xhi9fMNuvUeGH7tg0OscXw_49_0"/>
      <w:bookmarkStart w:id="128" w:name="Tc_pluL_i3kw0qs3UEKlsoQjQ_48_0"/>
      <w:bookmarkStart w:id="129" w:name="Tc_-tjzWjN5O0aCfIaXG6Aa6A_47_0"/>
      <w:bookmarkStart w:id="130" w:name="Tc_XESoRg5AVkmUMVLpT6fVyw_46_0"/>
      <w:bookmarkStart w:id="131" w:name="Tc_B1k_M-5TaEuQkJM9-_IyqQ_45_0"/>
      <w:bookmarkStart w:id="132" w:name="Tc_1om8Q9UA00i9pBGob3STOw_44_0"/>
      <w:bookmarkStart w:id="133" w:name="Tc_N5UrI3IWbk6MfLDSn-fQxg_43_0"/>
      <w:bookmarkStart w:id="134" w:name="Tc_e6poNrl_T0CleHJnsyo4WQ_42_0"/>
      <w:bookmarkStart w:id="135" w:name="Tc_JqSK0jkixke-qhOn4fR4sw_41_0"/>
      <w:bookmarkStart w:id="136" w:name="Tc_pmwg33Sv4kOxi3lSGKsvkw_40_0"/>
      <w:bookmarkStart w:id="137" w:name="Tc_Gl4KCalJuUOdz6CsD-P7Ww_39_0"/>
      <w:bookmarkStart w:id="138" w:name="Tc_Oz_6s5vaU0-bFGRcnZgn9A_38_0"/>
      <w:bookmarkStart w:id="139" w:name="Tc_wxBkYXxsyU6mU81fxyA9hw_37_0"/>
      <w:bookmarkStart w:id="140" w:name="Tc_QvBJh73zLEWbDlbM7rkc1w_36_0"/>
      <w:bookmarkStart w:id="141" w:name="Tc_bt1D6gdm6k2mrqWo2s7wMQ_35_0"/>
      <w:bookmarkStart w:id="142" w:name="Tc_1ulre-YEq0SrcdQ2wyAswQ_34_0"/>
      <w:bookmarkStart w:id="143" w:name="Tc_wGq067LFxUmL56Q6PjZaDw_33_0"/>
      <w:bookmarkStart w:id="144" w:name="Tc_svbUP93Cb0em6mXlYmkKGg_32_0"/>
      <w:bookmarkStart w:id="145" w:name="Tc_z9VMlnTXskS8epL1FBP9jg_31_8"/>
      <w:bookmarkStart w:id="146" w:name="Tc_sYtdD-wtlUqmRpnxSaOjeA_31_5"/>
      <w:bookmarkStart w:id="147" w:name="Tc_fuXP_sBL3U6qzQ-UMsseAA_31_2"/>
      <w:bookmarkStart w:id="148" w:name="Tc_kD8Ref0JeEK5CFMg7A1sLg_31_0"/>
      <w:bookmarkStart w:id="149" w:name="Tc_3JY4BFsEekWzF7ZquaViEA_30_0"/>
      <w:bookmarkStart w:id="150" w:name="Tc_7zGLEMi-Pki_Ue2ZxQxAoQ_29_0"/>
      <w:bookmarkStart w:id="151" w:name="Tc_0ZJ4CLdRqEi74pMxlYiMZA_28_8"/>
      <w:bookmarkStart w:id="152" w:name="Tc_QRzoZosmZEaMDKkbOV7Rmg_28_5"/>
      <w:bookmarkStart w:id="153" w:name="Tc_w_cupCd-tkaMoSh1pmE0jA_28_2"/>
      <w:bookmarkStart w:id="154" w:name="Tc_rZ95Q3dna0SAGwmaCyps2w_28_0"/>
      <w:bookmarkStart w:id="155" w:name="Tc_b6dIoOXBnUmjHT9tBiZDCw_27_0"/>
      <w:bookmarkStart w:id="156" w:name="Tc_FRofJU3-qUGKH7fNf9EAuA_26_0"/>
      <w:bookmarkStart w:id="157" w:name="Tc_43hv1c4UYU6dNThnRkInLA_25_0"/>
      <w:bookmarkStart w:id="158" w:name="Tc_NgogHPnIhEK4wAU7mr5fRw_24_0"/>
      <w:bookmarkStart w:id="159" w:name="Tc_teg0pm0M0UyU7i3dgf-ngQ_23_0"/>
      <w:bookmarkStart w:id="160" w:name="Tc_ad_p9zkd-k-ijGBJhpRVWQ_22_0"/>
      <w:bookmarkStart w:id="161" w:name="Tc_RIFb598yr0e9TtR3hwn1PA_21_0"/>
      <w:bookmarkStart w:id="162" w:name="Tc_fuBVldVGDECOtaDbvvohSQ_20_0"/>
      <w:bookmarkStart w:id="163" w:name="Tc_d0Z2LYKZk0KskBlW5cwI4w_19_0"/>
      <w:bookmarkStart w:id="164" w:name="Tc_PYdmqTg9LE6G_E4CETgvFQ_18_0"/>
      <w:bookmarkStart w:id="165" w:name="Tc_xbbyrpUMvEKOd64d46DAeQ_17_0"/>
      <w:bookmarkStart w:id="166" w:name="Tc_iuA9FP20L06VaCWbFNsyiQ_16_0"/>
      <w:bookmarkStart w:id="167" w:name="Tc_56yuWwyHxkmxpU1OPEjxFQ_15_0"/>
      <w:bookmarkStart w:id="168" w:name="Tc_p4RpzvuJ10KuL08aR-vCuQ_14_0"/>
      <w:bookmarkStart w:id="169" w:name="Tc_1Ad2fiADJU-guTsT7yyNAg_13_0"/>
      <w:bookmarkStart w:id="170" w:name="Tc_lK7c2CO0T0WbRDSpS8Q1Mg_12_0"/>
      <w:bookmarkStart w:id="171" w:name="Tc_4Mh3M0QW6U-v85iho9Q5xw_11_0"/>
      <w:bookmarkStart w:id="172" w:name="Tc_vS_hgJykJ0Whq7Ie8MYwAg_10_0"/>
      <w:bookmarkStart w:id="173" w:name="Tc_WYft5uSwrEK1PnTVwk-lOQ_9_0"/>
      <w:bookmarkStart w:id="174" w:name="Tc__8vKYxAcXUG6-b4y9REIUg_8_0"/>
      <w:bookmarkStart w:id="175" w:name="Tc_f5Y6PbzRM0eVtzJvCe3Nqw_7_0"/>
      <w:bookmarkStart w:id="176" w:name="Tc_hVlxhXXhKE65l_-XyLlVpg_6_0"/>
      <w:bookmarkStart w:id="177" w:name="Tc_qGhK5hhEDU--j8pdS2zS-w_5_8"/>
      <w:bookmarkStart w:id="178" w:name="Tc_9wWx3ZaDmEOU5vOmZ1AwVQ_5_5"/>
      <w:bookmarkStart w:id="179" w:name="Tc_7STgvjZwoUOj3J1OcEPR3Q_5_2"/>
      <w:bookmarkStart w:id="180" w:name="Tc_4GKa_fBjlkeZTEfeB9twOw_5_0"/>
      <w:bookmarkStart w:id="181" w:name="Tc_h95cCO3VCUWFVC0mFsszng_4_0"/>
      <w:bookmarkStart w:id="182" w:name="Tc_KvZ1GeO6qkukgQEjBZaEkw_3_0"/>
      <w:bookmarkStart w:id="183" w:name="Tc_7PijT-PIWk6hoWWggcXPXA_2_8"/>
      <w:bookmarkStart w:id="184" w:name="Tc_jOFcnAC4pk-V97wkMmzuhQ_2_5"/>
      <w:bookmarkStart w:id="185" w:name="Tc_fpoqnVqK2k2-xukFIu2WLw_2_2"/>
      <w:bookmarkStart w:id="186" w:name="Tc_KI_3XkhE002ulOzJNGtfNg_1_8"/>
      <w:bookmarkStart w:id="187" w:name="Tc_HNRKHo8er0-H_9ldXyUvSQ_1_5"/>
      <w:bookmarkStart w:id="188" w:name="Tc_KV31Be63UUiKo8trlLuPBg_1_2"/>
      <w:bookmarkStart w:id="189" w:name="Tc_kNlU6RB0ZkCdrMvzHVf9yQ_1_0"/>
      <w:bookmarkStart w:id="190" w:name="_d8f9908e_27a8_461a_9f70_ddf786fb4abe"/>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tbl>
      <w:tblPr>
        <w:tblW w:w="10205" w:type="dxa"/>
        <w:jc w:val="left"/>
        <w:tblInd w:w="0" w:type="dxa"/>
        <w:tblLayout w:type="fixed"/>
        <w:tblCellMar>
          <w:top w:w="0" w:type="dxa"/>
          <w:left w:w="0" w:type="dxa"/>
          <w:bottom w:w="0" w:type="dxa"/>
          <w:right w:w="0" w:type="dxa"/>
        </w:tblCellMar>
      </w:tblPr>
      <w:tblGrid>
        <w:gridCol w:w="5893"/>
        <w:gridCol w:w="346"/>
        <w:gridCol w:w="196"/>
        <w:gridCol w:w="826"/>
        <w:gridCol w:w="346"/>
        <w:gridCol w:w="205"/>
        <w:gridCol w:w="870"/>
        <w:gridCol w:w="346"/>
        <w:gridCol w:w="196"/>
        <w:gridCol w:w="826"/>
        <w:gridCol w:w="155"/>
      </w:tblGrid>
      <w:tr>
        <w:trPr/>
        <w:tc>
          <w:tcPr>
            <w:tcW w:w="5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3742055" cy="175260"/>
                      <wp:effectExtent l="0" t="0" r="0" b="0"/>
                      <wp:wrapNone/>
                      <wp:docPr id="14" name="Frame14"/>
                      <a:graphic xmlns:a="http://schemas.openxmlformats.org/drawingml/2006/main">
                        <a:graphicData uri="http://schemas.microsoft.com/office/word/2010/wordprocessingShape">
                          <wps:wsp>
                            <wps:cNvSpPr txBox="1"/>
                            <wps:spPr>
                              <a:xfrm>
                                <a:off x="0" y="0"/>
                                <a:ext cx="3742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4460" cy="175260"/>
                      <wp:effectExtent l="0" t="0" r="0" b="0"/>
                      <wp:wrapNone/>
                      <wp:docPr id="16" name="Frame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24510" cy="175260"/>
                      <wp:effectExtent l="0" t="0" r="0" b="0"/>
                      <wp:wrapNone/>
                      <wp:docPr id="17" name="Frame1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0175" cy="175260"/>
                      <wp:effectExtent l="0" t="0" r="0" b="0"/>
                      <wp:wrapNone/>
                      <wp:docPr id="19" name="Frame19"/>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52450" cy="175260"/>
                      <wp:effectExtent l="0" t="0" r="0" b="0"/>
                      <wp:wrapNone/>
                      <wp:docPr id="20" name="Frame20"/>
                      <a:graphic xmlns:a="http://schemas.openxmlformats.org/drawingml/2006/main">
                        <a:graphicData uri="http://schemas.microsoft.com/office/word/2010/wordprocessingShape">
                          <wps:wsp>
                            <wps:cNvSpPr txBox="1"/>
                            <wps:spPr>
                              <a:xfrm>
                                <a:off x="0" y="0"/>
                                <a:ext cx="552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24460" cy="175260"/>
                      <wp:effectExtent l="0" t="0" r="0" b="0"/>
                      <wp:wrapNone/>
                      <wp:docPr id="22" name="Frame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24510" cy="175260"/>
                      <wp:effectExtent l="0" t="0" r="0" b="0"/>
                      <wp:wrapNone/>
                      <wp:docPr id="23" name="Frame2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98425" cy="175260"/>
                      <wp:effectExtent l="0" t="0" r="0" b="0"/>
                      <wp:wrapNone/>
                      <wp:docPr id="24" name="Frame24"/>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9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of United States dollars, except share data)</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46" w:type="dxa"/>
            <w:tcBorders/>
            <w:vAlign w:val="center"/>
          </w:tcPr>
          <w:p>
            <w:pPr>
              <w:pStyle w:val="TableContents"/>
              <w:bidi w:val="0"/>
              <w:spacing w:before="0" w:after="1"/>
              <w:ind w:left="0" w:right="0" w:hanging="0"/>
              <w:jc w:val="left"/>
              <w:rPr/>
            </w:pPr>
            <w:r>
              <w:rPr/>
              <w:t>​</w:t>
            </w:r>
          </w:p>
        </w:tc>
        <w:tc>
          <w:tcPr>
            <w:tcW w:w="10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155" w:type="dxa"/>
            <w:tcBorders/>
            <w:vAlign w:val="center"/>
          </w:tcPr>
          <w:p>
            <w:pPr>
              <w:pStyle w:val="TableContents"/>
              <w:bidi w:val="0"/>
              <w:spacing w:before="0" w:after="1"/>
              <w:ind w:left="0" w:right="0" w:hanging="0"/>
              <w:jc w:val="center"/>
              <w:rPr/>
            </w:pPr>
            <w:r>
              <w:rPr/>
              <w:t>​</w:t>
            </w:r>
          </w:p>
        </w:tc>
      </w:tr>
      <w:tr>
        <w:trPr/>
        <w:tc>
          <w:tcPr>
            <w:tcW w:w="589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75"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5" w:type="dxa"/>
            <w:tcBorders/>
            <w:vAlign w:val="center"/>
          </w:tcPr>
          <w:p>
            <w:pPr>
              <w:pStyle w:val="TableContents"/>
              <w:bidi w:val="0"/>
              <w:spacing w:before="0" w:after="1"/>
              <w:ind w:left="0" w:right="0" w:hanging="0"/>
              <w:jc w:val="center"/>
              <w:rPr/>
            </w:pPr>
            <w:r>
              <w:rPr/>
              <w:t>​</w:t>
            </w:r>
          </w:p>
        </w:tc>
      </w:tr>
      <w:tr>
        <w:trPr/>
        <w:tc>
          <w:tcPr>
            <w:tcW w:w="589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05" w:type="dxa"/>
            <w:tcBorders/>
            <w:shd w:fill="CCEEFF" w:val="clear"/>
            <w:vAlign w:val="center"/>
          </w:tcPr>
          <w:p>
            <w:pPr>
              <w:pStyle w:val="TableContents"/>
              <w:bidi w:val="0"/>
              <w:spacing w:before="0" w:after="1"/>
              <w:ind w:left="0" w:right="0" w:hanging="0"/>
              <w:jc w:val="left"/>
              <w:rPr/>
            </w:pPr>
            <w:r>
              <w:rPr/>
              <w:t>​</w:t>
            </w:r>
          </w:p>
        </w:tc>
        <w:tc>
          <w:tcPr>
            <w:tcW w:w="87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89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05"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55" w:type="dxa"/>
            <w:tcBorders/>
            <w:vAlign w:val="center"/>
          </w:tcPr>
          <w:p>
            <w:pPr>
              <w:pStyle w:val="TableContents"/>
              <w:bidi w:val="0"/>
              <w:spacing w:before="0" w:after="1"/>
              <w:ind w:left="0" w:right="0" w:hanging="0"/>
              <w:jc w:val="left"/>
              <w:rPr/>
            </w:pPr>
            <w:r>
              <w:rPr/>
              <w:t>​</w:t>
            </w:r>
          </w:p>
        </w:tc>
      </w:tr>
      <w:tr>
        <w:trPr/>
        <w:tc>
          <w:tcPr>
            <w:tcW w:w="58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597,263</w:t>
            </w:r>
          </w:p>
        </w:tc>
        <w:tc>
          <w:tcPr>
            <w:tcW w:w="346" w:type="dxa"/>
            <w:tcBorders/>
            <w:shd w:fill="CCEEFF" w:val="clear"/>
            <w:vAlign w:val="center"/>
          </w:tcPr>
          <w:p>
            <w:pPr>
              <w:pStyle w:val="TableContents"/>
              <w:bidi w:val="0"/>
              <w:spacing w:before="0" w:after="1"/>
              <w:ind w:left="0" w:right="0" w:hanging="0"/>
              <w:jc w:val="left"/>
              <w:rPr/>
            </w:pPr>
            <w:r>
              <w:rPr/>
              <w:t>  ​ ​ ​</w:t>
            </w:r>
          </w:p>
        </w:tc>
        <w:tc>
          <w:tcPr>
            <w:tcW w:w="2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914,199</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841,930</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8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1,604</w:t>
            </w:r>
          </w:p>
        </w:tc>
        <w:tc>
          <w:tcPr>
            <w:tcW w:w="34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 </w:t>
            </w:r>
          </w:p>
        </w:tc>
        <w:tc>
          <w:tcPr>
            <w:tcW w:w="8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10,872</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1,061</w:t>
            </w:r>
          </w:p>
        </w:tc>
        <w:tc>
          <w:tcPr>
            <w:tcW w:w="155" w:type="dxa"/>
            <w:tcBorders/>
            <w:vAlign w:val="center"/>
          </w:tcPr>
          <w:p>
            <w:pPr>
              <w:pStyle w:val="TableContents"/>
              <w:bidi w:val="0"/>
              <w:spacing w:before="0" w:after="1"/>
              <w:ind w:left="0" w:right="0" w:hanging="0"/>
              <w:jc w:val="left"/>
              <w:rPr/>
            </w:pPr>
            <w:r>
              <w:rPr/>
              <w:t>​</w:t>
            </w:r>
          </w:p>
        </w:tc>
      </w:tr>
      <w:tr>
        <w:trPr/>
        <w:tc>
          <w:tcPr>
            <w:tcW w:w="58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46,330</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 </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34,374</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32,021</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8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731,092</w:t>
            </w:r>
          </w:p>
        </w:tc>
        <w:tc>
          <w:tcPr>
            <w:tcW w:w="34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 </w:t>
            </w:r>
          </w:p>
        </w:tc>
        <w:tc>
          <w:tcPr>
            <w:tcW w:w="8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475,959</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687,332</w:t>
            </w:r>
          </w:p>
        </w:tc>
        <w:tc>
          <w:tcPr>
            <w:tcW w:w="155" w:type="dxa"/>
            <w:tcBorders/>
            <w:vAlign w:val="center"/>
          </w:tcPr>
          <w:p>
            <w:pPr>
              <w:pStyle w:val="TableContents"/>
              <w:bidi w:val="0"/>
              <w:spacing w:before="0" w:after="1"/>
              <w:ind w:left="0" w:right="0" w:hanging="0"/>
              <w:jc w:val="left"/>
              <w:rPr/>
            </w:pPr>
            <w:r>
              <w:rPr/>
              <w:t>​</w:t>
            </w:r>
          </w:p>
        </w:tc>
      </w:tr>
      <w:tr>
        <w:trPr/>
        <w:tc>
          <w:tcPr>
            <w:tcW w:w="58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05" w:type="dxa"/>
            <w:tcBorders/>
            <w:shd w:fill="CCEEFF" w:val="clear"/>
            <w:vAlign w:val="center"/>
          </w:tcPr>
          <w:p>
            <w:pPr>
              <w:pStyle w:val="TableContents"/>
              <w:bidi w:val="0"/>
              <w:spacing w:before="0" w:after="1"/>
              <w:ind w:left="0" w:right="0" w:hanging="0"/>
              <w:jc w:val="left"/>
              <w:rPr/>
            </w:pPr>
            <w:r>
              <w:rPr/>
              <w:t>​</w:t>
            </w:r>
          </w:p>
        </w:tc>
        <w:tc>
          <w:tcPr>
            <w:tcW w:w="87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8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Raw materials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397,510</w:t>
            </w:r>
          </w:p>
        </w:tc>
        <w:tc>
          <w:tcPr>
            <w:tcW w:w="34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 </w:t>
            </w:r>
          </w:p>
        </w:tc>
        <w:tc>
          <w:tcPr>
            <w:tcW w:w="8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380,206</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386,859</w:t>
            </w:r>
          </w:p>
        </w:tc>
        <w:tc>
          <w:tcPr>
            <w:tcW w:w="155" w:type="dxa"/>
            <w:tcBorders/>
            <w:vAlign w:val="center"/>
          </w:tcPr>
          <w:p>
            <w:pPr>
              <w:pStyle w:val="TableContents"/>
              <w:bidi w:val="0"/>
              <w:spacing w:before="0" w:after="1"/>
              <w:ind w:left="0" w:right="0" w:hanging="0"/>
              <w:jc w:val="left"/>
              <w:rPr/>
            </w:pPr>
            <w:r>
              <w:rPr/>
              <w:t>​</w:t>
            </w:r>
          </w:p>
        </w:tc>
      </w:tr>
      <w:tr>
        <w:trPr/>
        <w:tc>
          <w:tcPr>
            <w:tcW w:w="58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Finished goods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350,994</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0"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341,814</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335,373</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8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inventories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748,504</w:t>
            </w:r>
          </w:p>
        </w:tc>
        <w:tc>
          <w:tcPr>
            <w:tcW w:w="34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 </w:t>
            </w:r>
          </w:p>
        </w:tc>
        <w:tc>
          <w:tcPr>
            <w:tcW w:w="8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722,020</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722,232</w:t>
            </w:r>
          </w:p>
        </w:tc>
        <w:tc>
          <w:tcPr>
            <w:tcW w:w="155" w:type="dxa"/>
            <w:tcBorders/>
            <w:vAlign w:val="center"/>
          </w:tcPr>
          <w:p>
            <w:pPr>
              <w:pStyle w:val="TableContents"/>
              <w:bidi w:val="0"/>
              <w:spacing w:before="0" w:after="1"/>
              <w:ind w:left="0" w:right="0" w:hanging="0"/>
              <w:jc w:val="left"/>
              <w:rPr/>
            </w:pPr>
            <w:r>
              <w:rPr/>
              <w:t>​</w:t>
            </w:r>
          </w:p>
        </w:tc>
      </w:tr>
      <w:tr>
        <w:trPr/>
        <w:tc>
          <w:tcPr>
            <w:tcW w:w="58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taxes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7,748</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 </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38,373</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21,876</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8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Assets held for sale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2,558</w:t>
            </w:r>
          </w:p>
        </w:tc>
        <w:tc>
          <w:tcPr>
            <w:tcW w:w="34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 </w:t>
            </w:r>
          </w:p>
        </w:tc>
        <w:tc>
          <w:tcPr>
            <w:tcW w:w="8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6,340</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8,641</w:t>
            </w:r>
          </w:p>
        </w:tc>
        <w:tc>
          <w:tcPr>
            <w:tcW w:w="155" w:type="dxa"/>
            <w:tcBorders/>
            <w:vAlign w:val="center"/>
          </w:tcPr>
          <w:p>
            <w:pPr>
              <w:pStyle w:val="TableContents"/>
              <w:bidi w:val="0"/>
              <w:spacing w:before="0" w:after="1"/>
              <w:ind w:left="0" w:right="0" w:hanging="0"/>
              <w:jc w:val="left"/>
              <w:rPr/>
            </w:pPr>
            <w:r>
              <w:rPr/>
              <w:t>​</w:t>
            </w:r>
          </w:p>
        </w:tc>
      </w:tr>
      <w:tr>
        <w:trPr/>
        <w:tc>
          <w:tcPr>
            <w:tcW w:w="58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84,043</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0"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66,515</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52,412</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89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2,219,142</w:t>
            </w:r>
          </w:p>
        </w:tc>
        <w:tc>
          <w:tcPr>
            <w:tcW w:w="34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 </w:t>
            </w:r>
          </w:p>
        </w:tc>
        <w:tc>
          <w:tcPr>
            <w:tcW w:w="8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2,268,652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2,367,505</w:t>
            </w:r>
          </w:p>
        </w:tc>
        <w:tc>
          <w:tcPr>
            <w:tcW w:w="155" w:type="dxa"/>
            <w:tcBorders/>
            <w:vAlign w:val="center"/>
          </w:tcPr>
          <w:p>
            <w:pPr>
              <w:pStyle w:val="TableContents"/>
              <w:bidi w:val="0"/>
              <w:spacing w:before="0" w:after="1"/>
              <w:ind w:left="0" w:right="0" w:hanging="0"/>
              <w:jc w:val="left"/>
              <w:rPr/>
            </w:pPr>
            <w:r>
              <w:rPr/>
              <w:t>​</w:t>
            </w:r>
          </w:p>
        </w:tc>
      </w:tr>
      <w:tr>
        <w:trPr/>
        <w:tc>
          <w:tcPr>
            <w:tcW w:w="589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Deferred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10,361</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 </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8,025</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5,125</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89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Restricted investments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50,991</w:t>
            </w:r>
          </w:p>
        </w:tc>
        <w:tc>
          <w:tcPr>
            <w:tcW w:w="34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 </w:t>
            </w:r>
          </w:p>
        </w:tc>
        <w:tc>
          <w:tcPr>
            <w:tcW w:w="8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50,540</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44,321</w:t>
            </w:r>
          </w:p>
        </w:tc>
        <w:tc>
          <w:tcPr>
            <w:tcW w:w="155" w:type="dxa"/>
            <w:tcBorders/>
            <w:vAlign w:val="center"/>
          </w:tcPr>
          <w:p>
            <w:pPr>
              <w:pStyle w:val="TableContents"/>
              <w:bidi w:val="0"/>
              <w:spacing w:before="0" w:after="1"/>
              <w:ind w:left="0" w:right="0" w:hanging="0"/>
              <w:jc w:val="left"/>
              <w:rPr/>
            </w:pPr>
            <w:r>
              <w:rPr/>
              <w:t>​</w:t>
            </w:r>
          </w:p>
        </w:tc>
      </w:tr>
      <w:tr>
        <w:trPr/>
        <w:tc>
          <w:tcPr>
            <w:tcW w:w="589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Right of 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163,894</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115,790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130,819</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89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Other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98,136</w:t>
            </w:r>
          </w:p>
        </w:tc>
        <w:tc>
          <w:tcPr>
            <w:tcW w:w="34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 </w:t>
            </w:r>
          </w:p>
        </w:tc>
        <w:tc>
          <w:tcPr>
            <w:tcW w:w="8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102,433</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109,082</w:t>
            </w:r>
          </w:p>
        </w:tc>
        <w:tc>
          <w:tcPr>
            <w:tcW w:w="155" w:type="dxa"/>
            <w:tcBorders/>
            <w:vAlign w:val="center"/>
          </w:tcPr>
          <w:p>
            <w:pPr>
              <w:pStyle w:val="TableContents"/>
              <w:bidi w:val="0"/>
              <w:spacing w:before="0" w:after="1"/>
              <w:ind w:left="0" w:right="0" w:hanging="0"/>
              <w:jc w:val="left"/>
              <w:rPr/>
            </w:pPr>
            <w:r>
              <w:rPr/>
              <w:t>​</w:t>
            </w:r>
          </w:p>
        </w:tc>
      </w:tr>
      <w:tr>
        <w:trPr/>
        <w:tc>
          <w:tcPr>
            <w:tcW w:w="589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Goodwill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345,393</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 </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343,921</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341,579</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89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Indefinite-lived intangible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7,351</w:t>
            </w:r>
          </w:p>
        </w:tc>
        <w:tc>
          <w:tcPr>
            <w:tcW w:w="34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 </w:t>
            </w:r>
          </w:p>
        </w:tc>
        <w:tc>
          <w:tcPr>
            <w:tcW w:w="8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7,336</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7,324</w:t>
            </w:r>
          </w:p>
        </w:tc>
        <w:tc>
          <w:tcPr>
            <w:tcW w:w="155" w:type="dxa"/>
            <w:tcBorders/>
            <w:vAlign w:val="center"/>
          </w:tcPr>
          <w:p>
            <w:pPr>
              <w:pStyle w:val="TableContents"/>
              <w:bidi w:val="0"/>
              <w:spacing w:before="0" w:after="1"/>
              <w:ind w:left="0" w:right="0" w:hanging="0"/>
              <w:jc w:val="left"/>
              <w:rPr/>
            </w:pPr>
            <w:r>
              <w:rPr/>
              <w:t>​</w:t>
            </w:r>
          </w:p>
        </w:tc>
      </w:tr>
      <w:tr>
        <w:trPr/>
        <w:tc>
          <w:tcPr>
            <w:tcW w:w="589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Other intangible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128,819</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 </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133,616</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145,592</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89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Property, plant and equipment: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05"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55" w:type="dxa"/>
            <w:tcBorders/>
            <w:vAlign w:val="center"/>
          </w:tcPr>
          <w:p>
            <w:pPr>
              <w:pStyle w:val="TableContents"/>
              <w:bidi w:val="0"/>
              <w:spacing w:before="0" w:after="1"/>
              <w:ind w:left="0" w:right="0" w:hanging="0"/>
              <w:jc w:val="left"/>
              <w:rPr/>
            </w:pPr>
            <w:r>
              <w:rPr/>
              <w:t>​</w:t>
            </w:r>
          </w:p>
        </w:tc>
      </w:tr>
      <w:tr>
        <w:trPr/>
        <w:tc>
          <w:tcPr>
            <w:tcW w:w="58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Property, plant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2,075,346</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1,936,470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1,850,171</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8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Less accumulated depreciation and amortization</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(994,569)</w:t>
            </w:r>
          </w:p>
        </w:tc>
        <w:tc>
          <w:tcPr>
            <w:tcW w:w="346" w:type="dxa"/>
            <w:tcBorders/>
            <w:vAlign w:val="center"/>
          </w:tcPr>
          <w:p>
            <w:pPr>
              <w:pStyle w:val="TableContents"/>
              <w:bidi w:val="0"/>
              <w:spacing w:before="0" w:after="1"/>
              <w:ind w:left="0" w:right="0" w:hanging="0"/>
              <w:jc w:val="left"/>
              <w:rPr/>
            </w:pPr>
            <w:r>
              <w:rPr/>
              <w:t>​</w:t>
            </w:r>
          </w:p>
        </w:tc>
        <w:tc>
          <w:tcPr>
            <w:tcW w:w="205"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70"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(943,890)</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(904,130)</w:t>
            </w:r>
          </w:p>
        </w:tc>
        <w:tc>
          <w:tcPr>
            <w:tcW w:w="155" w:type="dxa"/>
            <w:tcBorders/>
            <w:vAlign w:val="center"/>
          </w:tcPr>
          <w:p>
            <w:pPr>
              <w:pStyle w:val="TableContents"/>
              <w:bidi w:val="0"/>
              <w:spacing w:before="0" w:after="1"/>
              <w:ind w:left="0" w:right="0" w:hanging="0"/>
              <w:jc w:val="left"/>
              <w:rPr/>
            </w:pPr>
            <w:r>
              <w:rPr/>
              <w:t>​</w:t>
            </w:r>
          </w:p>
        </w:tc>
      </w:tr>
      <w:tr>
        <w:trPr/>
        <w:tc>
          <w:tcPr>
            <w:tcW w:w="589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Property, plant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1,080,777</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0"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992,580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946,041</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89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4,104,864</w:t>
            </w:r>
          </w:p>
        </w:tc>
        <w:tc>
          <w:tcPr>
            <w:tcW w:w="346" w:type="dxa"/>
            <w:tcBorders/>
            <w:vAlign w:val="center"/>
          </w:tcPr>
          <w:p>
            <w:pPr>
              <w:pStyle w:val="TableContents"/>
              <w:bidi w:val="0"/>
              <w:spacing w:before="0" w:after="1"/>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4,022,893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4,097,388</w:t>
            </w:r>
          </w:p>
        </w:tc>
        <w:tc>
          <w:tcPr>
            <w:tcW w:w="155" w:type="dxa"/>
            <w:tcBorders/>
            <w:vAlign w:val="center"/>
          </w:tcPr>
          <w:p>
            <w:pPr>
              <w:pStyle w:val="TableContents"/>
              <w:bidi w:val="0"/>
              <w:spacing w:before="0" w:after="1"/>
              <w:ind w:left="0" w:right="0" w:hanging="0"/>
              <w:jc w:val="left"/>
              <w:rPr/>
            </w:pPr>
            <w:r>
              <w:rPr/>
              <w:t>​</w:t>
            </w:r>
          </w:p>
        </w:tc>
      </w:tr>
      <w:tr>
        <w:trPr/>
        <w:tc>
          <w:tcPr>
            <w:tcW w:w="589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 temporary equity and shareholders’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87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89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05"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55" w:type="dxa"/>
            <w:tcBorders/>
            <w:vAlign w:val="center"/>
          </w:tcPr>
          <w:p>
            <w:pPr>
              <w:pStyle w:val="TableContents"/>
              <w:bidi w:val="0"/>
              <w:spacing w:before="0" w:after="1"/>
              <w:ind w:left="0" w:right="0" w:hanging="0"/>
              <w:jc w:val="left"/>
              <w:rPr/>
            </w:pPr>
            <w:r>
              <w:rPr/>
              <w:t>​</w:t>
            </w:r>
          </w:p>
        </w:tc>
      </w:tr>
      <w:tr>
        <w:trPr/>
        <w:tc>
          <w:tcPr>
            <w:tcW w:w="58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292,979</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205,932</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258,784</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8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compensation and benefits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143,902</w:t>
            </w:r>
          </w:p>
        </w:tc>
        <w:tc>
          <w:tcPr>
            <w:tcW w:w="34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 </w:t>
            </w:r>
          </w:p>
        </w:tc>
        <w:tc>
          <w:tcPr>
            <w:tcW w:w="8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188,354</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143,689</w:t>
            </w:r>
          </w:p>
        </w:tc>
        <w:tc>
          <w:tcPr>
            <w:tcW w:w="155" w:type="dxa"/>
            <w:tcBorders/>
            <w:vAlign w:val="center"/>
          </w:tcPr>
          <w:p>
            <w:pPr>
              <w:pStyle w:val="TableContents"/>
              <w:bidi w:val="0"/>
              <w:spacing w:before="0" w:after="1"/>
              <w:ind w:left="0" w:right="0" w:hanging="0"/>
              <w:jc w:val="left"/>
              <w:rPr/>
            </w:pPr>
            <w:r>
              <w:rPr/>
              <w:t>​</w:t>
            </w:r>
          </w:p>
        </w:tc>
      </w:tr>
      <w:tr>
        <w:trPr/>
        <w:tc>
          <w:tcPr>
            <w:tcW w:w="58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accrued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87,144</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 </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71,039</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85,338</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8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lease liability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27,958</w:t>
            </w:r>
          </w:p>
        </w:tc>
        <w:tc>
          <w:tcPr>
            <w:tcW w:w="34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27,997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28,185</w:t>
            </w:r>
          </w:p>
        </w:tc>
        <w:tc>
          <w:tcPr>
            <w:tcW w:w="155" w:type="dxa"/>
            <w:tcBorders/>
            <w:vAlign w:val="center"/>
          </w:tcPr>
          <w:p>
            <w:pPr>
              <w:pStyle w:val="TableContents"/>
              <w:bidi w:val="0"/>
              <w:spacing w:before="0" w:after="1"/>
              <w:ind w:left="0" w:right="0" w:hanging="0"/>
              <w:jc w:val="left"/>
              <w:rPr/>
            </w:pPr>
            <w:r>
              <w:rPr/>
              <w:t>​</w:t>
            </w:r>
          </w:p>
        </w:tc>
      </w:tr>
      <w:tr>
        <w:trPr/>
        <w:tc>
          <w:tcPr>
            <w:tcW w:w="58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5,493</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0"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899</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5,122</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89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557,476</w:t>
            </w:r>
          </w:p>
        </w:tc>
        <w:tc>
          <w:tcPr>
            <w:tcW w:w="34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 </w:t>
            </w:r>
          </w:p>
        </w:tc>
        <w:tc>
          <w:tcPr>
            <w:tcW w:w="8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494,221</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521,118</w:t>
            </w:r>
          </w:p>
        </w:tc>
        <w:tc>
          <w:tcPr>
            <w:tcW w:w="155" w:type="dxa"/>
            <w:tcBorders/>
            <w:vAlign w:val="center"/>
          </w:tcPr>
          <w:p>
            <w:pPr>
              <w:pStyle w:val="TableContents"/>
              <w:bidi w:val="0"/>
              <w:spacing w:before="0" w:after="1"/>
              <w:ind w:left="0" w:right="0" w:hanging="0"/>
              <w:jc w:val="left"/>
              <w:rPr/>
            </w:pPr>
            <w:r>
              <w:rPr/>
              <w:t>​</w:t>
            </w:r>
          </w:p>
        </w:tc>
      </w:tr>
      <w:tr>
        <w:trPr/>
        <w:tc>
          <w:tcPr>
            <w:tcW w:w="589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Long-term debt and finance lease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228,758</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 </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228,859</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229,181</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89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Lease liability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146,187</w:t>
            </w:r>
          </w:p>
        </w:tc>
        <w:tc>
          <w:tcPr>
            <w:tcW w:w="34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99,085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112,857</w:t>
            </w:r>
          </w:p>
        </w:tc>
        <w:tc>
          <w:tcPr>
            <w:tcW w:w="155" w:type="dxa"/>
            <w:tcBorders/>
            <w:vAlign w:val="center"/>
          </w:tcPr>
          <w:p>
            <w:pPr>
              <w:pStyle w:val="TableContents"/>
              <w:bidi w:val="0"/>
              <w:spacing w:before="0" w:after="1"/>
              <w:ind w:left="0" w:right="0" w:hanging="0"/>
              <w:jc w:val="left"/>
              <w:rPr/>
            </w:pPr>
            <w:r>
              <w:rPr/>
              <w:t>​</w:t>
            </w:r>
          </w:p>
        </w:tc>
      </w:tr>
      <w:tr>
        <w:trPr/>
        <w:tc>
          <w:tcPr>
            <w:tcW w:w="589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Deferred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83,166</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 </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83,205</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30,425</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89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Other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29,349</w:t>
            </w:r>
          </w:p>
        </w:tc>
        <w:tc>
          <w:tcPr>
            <w:tcW w:w="346" w:type="dxa"/>
            <w:tcBorders/>
            <w:vAlign w:val="center"/>
          </w:tcPr>
          <w:p>
            <w:pPr>
              <w:pStyle w:val="TableContents"/>
              <w:bidi w:val="0"/>
              <w:spacing w:before="0" w:after="1"/>
              <w:ind w:left="0" w:right="0" w:hanging="0"/>
              <w:jc w:val="left"/>
              <w:rPr/>
            </w:pPr>
            <w:r>
              <w:rPr/>
              <w:t>​</w:t>
            </w:r>
          </w:p>
        </w:tc>
        <w:tc>
          <w:tcPr>
            <w:tcW w:w="205"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70"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28,816</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30,091</w:t>
            </w:r>
          </w:p>
        </w:tc>
        <w:tc>
          <w:tcPr>
            <w:tcW w:w="155" w:type="dxa"/>
            <w:tcBorders/>
            <w:vAlign w:val="center"/>
          </w:tcPr>
          <w:p>
            <w:pPr>
              <w:pStyle w:val="TableContents"/>
              <w:bidi w:val="0"/>
              <w:spacing w:before="0" w:after="1"/>
              <w:ind w:left="0" w:right="0" w:hanging="0"/>
              <w:jc w:val="left"/>
              <w:rPr/>
            </w:pPr>
            <w:r>
              <w:rPr/>
              <w:t>​</w:t>
            </w:r>
          </w:p>
        </w:tc>
      </w:tr>
      <w:tr>
        <w:trPr/>
        <w:tc>
          <w:tcPr>
            <w:tcW w:w="589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1,044,936</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 </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934,186</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923,672</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89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Temporary Equity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55" w:type="dxa"/>
            <w:tcBorders/>
            <w:vAlign w:val="center"/>
          </w:tcPr>
          <w:p>
            <w:pPr>
              <w:pStyle w:val="TableContents"/>
              <w:bidi w:val="0"/>
              <w:spacing w:before="0" w:after="1"/>
              <w:ind w:left="0" w:right="0" w:hanging="0"/>
              <w:jc w:val="left"/>
              <w:rPr/>
            </w:pPr>
            <w:r>
              <w:rPr/>
              <w:t>​</w:t>
            </w:r>
          </w:p>
        </w:tc>
      </w:tr>
      <w:tr>
        <w:trPr/>
        <w:tc>
          <w:tcPr>
            <w:tcW w:w="58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Redeemable noncontrolling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485</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4,463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5,253</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89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Shareholders’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05"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55" w:type="dxa"/>
            <w:tcBorders/>
            <w:vAlign w:val="center"/>
          </w:tcPr>
          <w:p>
            <w:pPr>
              <w:pStyle w:val="TableContents"/>
              <w:bidi w:val="0"/>
              <w:spacing w:before="0" w:after="1"/>
              <w:ind w:left="0" w:right="0" w:hanging="0"/>
              <w:jc w:val="left"/>
              <w:rPr/>
            </w:pPr>
            <w:r>
              <w:rPr/>
              <w:t>​</w:t>
            </w:r>
          </w:p>
        </w:tc>
      </w:tr>
      <w:tr>
        <w:trPr/>
        <w:tc>
          <w:tcPr>
            <w:tcW w:w="58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Controlling interest shareholders’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05" w:type="dxa"/>
            <w:tcBorders/>
            <w:shd w:fill="CCEEFF" w:val="clear"/>
            <w:vAlign w:val="center"/>
          </w:tcPr>
          <w:p>
            <w:pPr>
              <w:pStyle w:val="TableContents"/>
              <w:bidi w:val="0"/>
              <w:spacing w:before="0" w:after="1"/>
              <w:ind w:left="0" w:right="0" w:hanging="0"/>
              <w:jc w:val="left"/>
              <w:rPr/>
            </w:pPr>
            <w:r>
              <w:rPr/>
              <w:t>​</w:t>
            </w:r>
          </w:p>
        </w:tc>
        <w:tc>
          <w:tcPr>
            <w:tcW w:w="87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8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Preferred stock, no par value; shares authorized 1,000,000; issued and outstanding, none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155" w:type="dxa"/>
            <w:tcBorders/>
            <w:vAlign w:val="center"/>
          </w:tcPr>
          <w:p>
            <w:pPr>
              <w:pStyle w:val="TableContents"/>
              <w:bidi w:val="0"/>
              <w:spacing w:before="0" w:after="1"/>
              <w:ind w:left="0" w:right="0" w:hanging="0"/>
              <w:jc w:val="left"/>
              <w:rPr/>
            </w:pPr>
            <w:r>
              <w:rPr/>
              <w:t>​</w:t>
            </w:r>
          </w:p>
        </w:tc>
      </w:tr>
      <w:tr>
        <w:trPr/>
        <w:tc>
          <w:tcPr>
            <w:tcW w:w="58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6"/>
              </w:rPr>
              <w:t>Common stock, $1</w:t>
            </w:r>
            <w:r>
              <w:rPr>
                <w:rFonts w:ascii="Times New Roman;Times;serif" w:hAnsi="Times New Roman;Times;serif"/>
                <w:sz w:val="20"/>
              </w:rPr>
              <w:t xml:space="preserve"> </w:t>
            </w:r>
            <w:r>
              <w:rPr>
                <w:rFonts w:ascii="Times New Roman;Times;serif" w:hAnsi="Times New Roman;Times;serif"/>
                <w:sz w:val="16"/>
              </w:rPr>
              <w:t>par value; shares authorized</w:t>
            </w:r>
            <w:r>
              <w:rPr>
                <w:rFonts w:ascii="Times New Roman;Times;serif" w:hAnsi="Times New Roman;Times;serif"/>
                <w:color w:val="FF0000"/>
                <w:sz w:val="20"/>
              </w:rPr>
              <w:t xml:space="preserve"> </w:t>
            </w:r>
            <w:r>
              <w:rPr>
                <w:rFonts w:ascii="Times New Roman;Times;serif" w:hAnsi="Times New Roman;Times;serif"/>
                <w:sz w:val="16"/>
              </w:rPr>
              <w:t xml:space="preserve">240,000,000; issued and </w:t>
            </w:r>
            <w:r>
              <w:rPr>
                <w:rFonts w:ascii="Times New Roman;Times;serif" w:hAnsi="Times New Roman;Times;serif"/>
                <w:b w:val="false"/>
                <w:i w:val="false"/>
                <w:caps w:val="false"/>
                <w:smallCaps w:val="false"/>
                <w:sz w:val="16"/>
              </w:rPr>
              <w:t>outstanding</w:t>
            </w:r>
            <w:r>
              <w:rPr>
                <w:rFonts w:ascii="Times New Roman;Times;serif" w:hAnsi="Times New Roman;Times;serif"/>
                <w:sz w:val="16"/>
              </w:rPr>
              <w:t>, 55,161,491, 56,591,900</w:t>
            </w:r>
            <w:r>
              <w:rPr>
                <w:rFonts w:ascii="Times New Roman;Times;serif" w:hAnsi="Times New Roman;Times;serif"/>
                <w:sz w:val="20"/>
              </w:rPr>
              <w:t xml:space="preserve"> </w:t>
            </w:r>
            <w:r>
              <w:rPr>
                <w:rFonts w:ascii="Times New Roman;Times;serif" w:hAnsi="Times New Roman;Times;serif"/>
                <w:sz w:val="16"/>
              </w:rPr>
              <w:t>and 58,566,148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55,161</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 </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56,592</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58,566</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8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468,534</w:t>
            </w:r>
          </w:p>
        </w:tc>
        <w:tc>
          <w:tcPr>
            <w:tcW w:w="34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 </w:t>
            </w:r>
          </w:p>
        </w:tc>
        <w:tc>
          <w:tcPr>
            <w:tcW w:w="8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444,828</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425,398</w:t>
            </w:r>
          </w:p>
        </w:tc>
        <w:tc>
          <w:tcPr>
            <w:tcW w:w="155" w:type="dxa"/>
            <w:tcBorders/>
            <w:vAlign w:val="center"/>
          </w:tcPr>
          <w:p>
            <w:pPr>
              <w:pStyle w:val="TableContents"/>
              <w:bidi w:val="0"/>
              <w:spacing w:before="0" w:after="1"/>
              <w:ind w:left="0" w:right="0" w:hanging="0"/>
              <w:jc w:val="left"/>
              <w:rPr/>
            </w:pPr>
            <w:r>
              <w:rPr/>
              <w:t>​</w:t>
            </w:r>
          </w:p>
        </w:tc>
      </w:tr>
      <w:tr>
        <w:trPr/>
        <w:tc>
          <w:tcPr>
            <w:tcW w:w="58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Retained earnings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2,513,870</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 </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2,559,375</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2,663,394</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8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(loss) income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w:t>
            </w:r>
          </w:p>
        </w:tc>
        <w:tc>
          <w:tcPr>
            <w:tcW w:w="346" w:type="dxa"/>
            <w:tcBorders/>
            <w:vAlign w:val="center"/>
          </w:tcPr>
          <w:p>
            <w:pPr>
              <w:pStyle w:val="TableContents"/>
              <w:bidi w:val="0"/>
              <w:spacing w:before="0" w:after="1"/>
              <w:ind w:left="0" w:right="0" w:hanging="0"/>
              <w:jc w:val="left"/>
              <w:rPr/>
            </w:pPr>
            <w:r>
              <w:rPr/>
              <w:t>​</w:t>
            </w:r>
          </w:p>
        </w:tc>
        <w:tc>
          <w:tcPr>
            <w:tcW w:w="205"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70"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1,564</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(1,976)</w:t>
            </w:r>
          </w:p>
        </w:tc>
        <w:tc>
          <w:tcPr>
            <w:tcW w:w="155" w:type="dxa"/>
            <w:tcBorders/>
            <w:vAlign w:val="center"/>
          </w:tcPr>
          <w:p>
            <w:pPr>
              <w:pStyle w:val="TableContents"/>
              <w:bidi w:val="0"/>
              <w:spacing w:before="0" w:after="1"/>
              <w:ind w:left="0" w:right="0" w:hanging="0"/>
              <w:jc w:val="left"/>
              <w:rPr/>
            </w:pPr>
            <w:r>
              <w:rPr/>
              <w:t>​</w:t>
            </w:r>
          </w:p>
        </w:tc>
      </w:tr>
      <w:tr>
        <w:trPr/>
        <w:tc>
          <w:tcPr>
            <w:tcW w:w="58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controlling interest shareholders’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3,037,516</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 </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3,062,359</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3,145,382</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8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Noncontrolling interest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21,927</w:t>
            </w:r>
          </w:p>
        </w:tc>
        <w:tc>
          <w:tcPr>
            <w:tcW w:w="346" w:type="dxa"/>
            <w:tcBorders/>
            <w:vAlign w:val="center"/>
          </w:tcPr>
          <w:p>
            <w:pPr>
              <w:pStyle w:val="TableContents"/>
              <w:bidi w:val="0"/>
              <w:spacing w:before="0" w:after="1"/>
              <w:ind w:left="0" w:right="0" w:hanging="0"/>
              <w:jc w:val="left"/>
              <w:rPr/>
            </w:pPr>
            <w:r>
              <w:rPr/>
              <w:t>​</w:t>
            </w:r>
          </w:p>
        </w:tc>
        <w:tc>
          <w:tcPr>
            <w:tcW w:w="205"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70"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21,885</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23,081</w:t>
            </w:r>
          </w:p>
        </w:tc>
        <w:tc>
          <w:tcPr>
            <w:tcW w:w="155" w:type="dxa"/>
            <w:tcBorders/>
            <w:vAlign w:val="center"/>
          </w:tcPr>
          <w:p>
            <w:pPr>
              <w:pStyle w:val="TableContents"/>
              <w:bidi w:val="0"/>
              <w:spacing w:before="0" w:after="1"/>
              <w:ind w:left="0" w:right="0" w:hanging="0"/>
              <w:jc w:val="left"/>
              <w:rPr/>
            </w:pPr>
            <w:r>
              <w:rPr/>
              <w:t>​</w:t>
            </w:r>
          </w:p>
        </w:tc>
      </w:tr>
      <w:tr>
        <w:trPr/>
        <w:tc>
          <w:tcPr>
            <w:tcW w:w="589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shareholders’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3,059,443</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0"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3,084,244</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3,168,463</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89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 temporary equity and shareholders’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4,104,864</w:t>
            </w:r>
          </w:p>
        </w:tc>
        <w:tc>
          <w:tcPr>
            <w:tcW w:w="346" w:type="dxa"/>
            <w:tcBorders/>
            <w:vAlign w:val="center"/>
          </w:tcPr>
          <w:p>
            <w:pPr>
              <w:pStyle w:val="TableContents"/>
              <w:bidi w:val="0"/>
              <w:spacing w:before="0" w:after="1"/>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4,022,893</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4,097,388</w:t>
            </w:r>
          </w:p>
        </w:tc>
        <w:tc>
          <w:tcPr>
            <w:tcW w:w="155" w:type="dxa"/>
            <w:tcBorders/>
            <w:vAlign w:val="center"/>
          </w:tcPr>
          <w:p>
            <w:pPr>
              <w:pStyle w:val="TableContents"/>
              <w:bidi w:val="0"/>
              <w:spacing w:before="0" w:after="1"/>
              <w:ind w:left="0" w:right="0" w:hanging="0"/>
              <w:jc w:val="left"/>
              <w:rPr/>
            </w:pPr>
            <w:r>
              <w:rPr/>
              <w:t>​</w:t>
            </w:r>
          </w:p>
        </w:tc>
      </w:tr>
    </w:tbl>
    <w:p>
      <w:pPr>
        <w:pStyle w:val="TextBody"/>
        <w:bidi w:val="0"/>
        <w:spacing w:before="120" w:after="0"/>
        <w:ind w:left="0" w:right="0" w:firstLine="720"/>
        <w:jc w:val="left"/>
        <w:rPr>
          <w:rFonts w:ascii="Times New Roman;Times;serif" w:hAnsi="Times New Roman;Times;serif"/>
          <w:sz w:val="18"/>
        </w:rPr>
      </w:pPr>
      <w:r>
        <w:rPr>
          <w:rFonts w:ascii="Times New Roman;Times;serif" w:hAnsi="Times New Roman;Times;serif"/>
          <w:sz w:val="18"/>
        </w:rPr>
        <w:t>See notes to unaudited interim condensed consolidated financial statements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0"/>
        <w:ind w:left="0" w:right="0" w:hanging="0"/>
        <w:jc w:val="center"/>
        <w:rPr>
          <w:rFonts w:ascii="Times New Roman;Times;serif" w:hAnsi="Times New Roman;Times;serif"/>
          <w:b/>
          <w:sz w:val="20"/>
        </w:rPr>
      </w:pPr>
      <w:bookmarkStart w:id="191" w:name="CONSOLIDATEDCONDENSEDSTATEMENTSOFEARNING"/>
      <w:bookmarkStart w:id="192" w:name="_f02f582c_4a5a_4b49_94ca_f2114f318944"/>
      <w:bookmarkEnd w:id="191"/>
      <w:bookmarkEnd w:id="192"/>
      <w:r>
        <w:rPr>
          <w:rFonts w:ascii="Times New Roman;Times;serif" w:hAnsi="Times New Roman;Times;serif"/>
          <w:b/>
          <w:sz w:val="20"/>
        </w:rPr>
        <w:t>CONDENSED CONSOLIDATED STATEMENTS OF EARNINGS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AND COMPREHENSIVE INCOME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93" w:name="Tc_E5OJYRs3gECNsZYp4gdbsA_36_11"/>
      <w:bookmarkStart w:id="194" w:name="Tc_2QyFWIh9UE2S7KJtCIEYaw_36_8"/>
      <w:bookmarkStart w:id="195" w:name="Tc_mgoLeRs9Kkyjn1iVhB7Mow_36_5"/>
      <w:bookmarkStart w:id="196" w:name="Tc_iMxpmuDn-UOugeSxNEVRAA_36_2"/>
      <w:bookmarkStart w:id="197" w:name="Tc_X15s8ZTFzESmHp39A1lqpw_36_0"/>
      <w:bookmarkStart w:id="198" w:name="Tc_g1IwoTtgWUSnUeD9rk648Q_35_0"/>
      <w:bookmarkStart w:id="199" w:name="Tc_nOlKL8RCVk6USxyZKG7Fnw_34_0"/>
      <w:bookmarkStart w:id="200" w:name="Tc_dGG_WahjjUOHD5ZQOdIxlA_33_0"/>
      <w:bookmarkStart w:id="201" w:name="Tc_lpyKPcACg0S_QZqknALDVw_32_11"/>
      <w:bookmarkStart w:id="202" w:name="Tc_o4Bd5_Y6AEO5hTmo8DrlMg_32_8"/>
      <w:bookmarkStart w:id="203" w:name="Tc_eQkyIlFiPUC-xMHxjyHTrQ_32_0"/>
      <w:bookmarkStart w:id="204" w:name="Tc_DImtdmSbb0ej5NbTt3dDvA_31_0"/>
      <w:bookmarkStart w:id="205" w:name="Tc_y4Wko8psaEGQ96wB6If77w_29_11"/>
      <w:bookmarkStart w:id="206" w:name="Tc_6D_SWfvCdk6z6D8APbJUyg_29_8"/>
      <w:bookmarkStart w:id="207" w:name="Tc_RhYfgz8P-UyKNhn0-U-2WQ_29_5"/>
      <w:bookmarkStart w:id="208" w:name="Tc_cx7bz9ZUa0edcSWHt9aBHQ_29_2"/>
      <w:bookmarkStart w:id="209" w:name="Tc_LNEx00VbQ0SCkEO0tpzlRQ_29_0"/>
      <w:bookmarkStart w:id="210" w:name="Tc_X8rxSZ74QkeO7G4W_EmXew_28_11"/>
      <w:bookmarkStart w:id="211" w:name="Tc_JWP4mAemNkW35bLtABpvYA_28_8"/>
      <w:bookmarkStart w:id="212" w:name="Tc_KkFWz_9570CYDVRsqsssaw_28_5"/>
      <w:bookmarkStart w:id="213" w:name="Tc_FggYVQGaK0yXmHijJA9AqA_28_2"/>
      <w:bookmarkStart w:id="214" w:name="Tc_7BOv-ApgHkqbpKHkSLIrhQ_28_0"/>
      <w:bookmarkStart w:id="215" w:name="Tc_LQjhENB3TkaPRdSNRppofA_26_11"/>
      <w:bookmarkStart w:id="216" w:name="Tc_iqtdBSBvTE61Y74LBcg9TQ_26_8"/>
      <w:bookmarkStart w:id="217" w:name="Tc_Jz2FVMGrg0qqq0WRrvMkbw_26_5"/>
      <w:bookmarkStart w:id="218" w:name="Tc_Q2IYJPQb90q4lAlRaOOsgw_26_2"/>
      <w:bookmarkStart w:id="219" w:name="Tc_2TiOBp_gtkuJa3v8YP-8YQ_26_0"/>
      <w:bookmarkStart w:id="220" w:name="Tc_ulBDlw0m30qHSuwLrkR2Yw_25_0"/>
      <w:bookmarkStart w:id="221" w:name="Tc_IMdxSoVIfk6P7O3fVM9oNg_24_0"/>
      <w:bookmarkStart w:id="222" w:name="Tc_H0OIMHCVjUmDm8-EebQBDQ_23_0"/>
      <w:bookmarkStart w:id="223" w:name="Tc_j295QIuHiUiZ--dAn8Ob9Q_22_0"/>
      <w:bookmarkStart w:id="224" w:name="Tc_oHxDr7cdD0uI7mmBPJBJbQ_20_0"/>
      <w:bookmarkStart w:id="225" w:name="Tc_uSsrT_rAgEW9l-z4MVGVTA_19_0"/>
      <w:bookmarkStart w:id="226" w:name="Tc_u0yucQVb60aAzC1Z3cEJIg_18_0"/>
      <w:bookmarkStart w:id="227" w:name="Tc_y-Wb8Jvt-0Km7Um4cN44bQ_17_0"/>
      <w:bookmarkStart w:id="228" w:name="Tc_x8ZXiINOi0SvsIlExp6wqg_16_0"/>
      <w:bookmarkStart w:id="229" w:name="Tc_DoVKPKn6rkaMw0ztHKU9SA_14_0"/>
      <w:bookmarkStart w:id="230" w:name="Tc_lo8egcFizkaRqyppzMDlXg_12_0"/>
      <w:bookmarkStart w:id="231" w:name="Tc_2ejKjZ7pxkyZSkqA32uy_w_11_0"/>
      <w:bookmarkStart w:id="232" w:name="Tc_lmNhcTegL0Wc2DaQ6MEItg_10_0"/>
      <w:bookmarkStart w:id="233" w:name="Tc_WpMuAfHng0aBYXt8bI0oug_9_0"/>
      <w:bookmarkStart w:id="234" w:name="Tc_qdxvw3tmSUCgnWA_QAE3gg_8_0"/>
      <w:bookmarkStart w:id="235" w:name="Tc_8KXjs9deskS6bmrf57c-FQ_6_0"/>
      <w:bookmarkStart w:id="236" w:name="Tc_xxXgY45pdEWRIYYqJTrH5g_5_0"/>
      <w:bookmarkStart w:id="237" w:name="Tc_f69pItydME2MpA0JKWsAMQ_4_11"/>
      <w:bookmarkStart w:id="238" w:name="Tc_uD8uNpIkvUOBZ3dqPjjOLA_4_8"/>
      <w:bookmarkStart w:id="239" w:name="Tc_KDhSZ-K7PUqnBETsRVIDvw_4_5"/>
      <w:bookmarkStart w:id="240" w:name="Tc_eNN4riUKUUWQd8ksVrsh8g_4_2"/>
      <w:bookmarkStart w:id="241" w:name="Tc_5uKNWyUwyEOA5K-cTox4zw_4_0"/>
      <w:bookmarkStart w:id="242" w:name="Tc_vzmaAtIx502v4bVoNxA0ww_3_11"/>
      <w:bookmarkStart w:id="243" w:name="Tc_3KMNQ30tj0GvtW39_2p7fw_3_8"/>
      <w:bookmarkStart w:id="244" w:name="Tc_GZ8-bb90pkWpBo3ZcSLqcA_3_5"/>
      <w:bookmarkStart w:id="245" w:name="Tc_uqxekU-gJESPMxBUzx7BoQ_3_2"/>
      <w:bookmarkStart w:id="246" w:name="Tc_bPqz7zK2q0WtAqoxEiADZg_2_11"/>
      <w:bookmarkStart w:id="247" w:name="Tc_qRKC8g9ivE-tcUVPAtGffw_2_8"/>
      <w:bookmarkStart w:id="248" w:name="Tc_i2-w3cD8xE-f9V_ecNL8WA_2_5"/>
      <w:bookmarkStart w:id="249" w:name="Tc_NzC2hT3U3Ui2Qrh6o--QqQ_2_2"/>
      <w:bookmarkStart w:id="250" w:name="Tc_gfe11TF6H0aHHcqKzucDIA_1_8"/>
      <w:bookmarkStart w:id="251" w:name="Tc_DCbsdX87KU62XqDVARXZ1A_1_2"/>
      <w:bookmarkStart w:id="252" w:name="Tc_qY7dPKy1RkeBdJ0WS3IwAg_1_0"/>
      <w:bookmarkStart w:id="253" w:name="_51954258_55a1_4759_b835_59b343c3395b"/>
      <w:bookmarkStart w:id="254" w:name="Tc_E5OJYRs3gECNsZYp4gdbsA_36_11"/>
      <w:bookmarkStart w:id="255" w:name="Tc_2QyFWIh9UE2S7KJtCIEYaw_36_8"/>
      <w:bookmarkStart w:id="256" w:name="Tc_mgoLeRs9Kkyjn1iVhB7Mow_36_5"/>
      <w:bookmarkStart w:id="257" w:name="Tc_iMxpmuDn-UOugeSxNEVRAA_36_2"/>
      <w:bookmarkStart w:id="258" w:name="Tc_X15s8ZTFzESmHp39A1lqpw_36_0"/>
      <w:bookmarkStart w:id="259" w:name="Tc_g1IwoTtgWUSnUeD9rk648Q_35_0"/>
      <w:bookmarkStart w:id="260" w:name="Tc_nOlKL8RCVk6USxyZKG7Fnw_34_0"/>
      <w:bookmarkStart w:id="261" w:name="Tc_dGG_WahjjUOHD5ZQOdIxlA_33_0"/>
      <w:bookmarkStart w:id="262" w:name="Tc_lpyKPcACg0S_QZqknALDVw_32_11"/>
      <w:bookmarkStart w:id="263" w:name="Tc_o4Bd5_Y6AEO5hTmo8DrlMg_32_8"/>
      <w:bookmarkStart w:id="264" w:name="Tc_eQkyIlFiPUC-xMHxjyHTrQ_32_0"/>
      <w:bookmarkStart w:id="265" w:name="Tc_DImtdmSbb0ej5NbTt3dDvA_31_0"/>
      <w:bookmarkStart w:id="266" w:name="Tc_y4Wko8psaEGQ96wB6If77w_29_11"/>
      <w:bookmarkStart w:id="267" w:name="Tc_6D_SWfvCdk6z6D8APbJUyg_29_8"/>
      <w:bookmarkStart w:id="268" w:name="Tc_RhYfgz8P-UyKNhn0-U-2WQ_29_5"/>
      <w:bookmarkStart w:id="269" w:name="Tc_cx7bz9ZUa0edcSWHt9aBHQ_29_2"/>
      <w:bookmarkStart w:id="270" w:name="Tc_LNEx00VbQ0SCkEO0tpzlRQ_29_0"/>
      <w:bookmarkStart w:id="271" w:name="Tc_X8rxSZ74QkeO7G4W_EmXew_28_11"/>
      <w:bookmarkStart w:id="272" w:name="Tc_JWP4mAemNkW35bLtABpvYA_28_8"/>
      <w:bookmarkStart w:id="273" w:name="Tc_KkFWz_9570CYDVRsqsssaw_28_5"/>
      <w:bookmarkStart w:id="274" w:name="Tc_FggYVQGaK0yXmHijJA9AqA_28_2"/>
      <w:bookmarkStart w:id="275" w:name="Tc_7BOv-ApgHkqbpKHkSLIrhQ_28_0"/>
      <w:bookmarkStart w:id="276" w:name="Tc_LQjhENB3TkaPRdSNRppofA_26_11"/>
      <w:bookmarkStart w:id="277" w:name="Tc_iqtdBSBvTE61Y74LBcg9TQ_26_8"/>
      <w:bookmarkStart w:id="278" w:name="Tc_Jz2FVMGrg0qqq0WRrvMkbw_26_5"/>
      <w:bookmarkStart w:id="279" w:name="Tc_Q2IYJPQb90q4lAlRaOOsgw_26_2"/>
      <w:bookmarkStart w:id="280" w:name="Tc_2TiOBp_gtkuJa3v8YP-8YQ_26_0"/>
      <w:bookmarkStart w:id="281" w:name="Tc_ulBDlw0m30qHSuwLrkR2Yw_25_0"/>
      <w:bookmarkStart w:id="282" w:name="Tc_IMdxSoVIfk6P7O3fVM9oNg_24_0"/>
      <w:bookmarkStart w:id="283" w:name="Tc_H0OIMHCVjUmDm8-EebQBDQ_23_0"/>
      <w:bookmarkStart w:id="284" w:name="Tc_j295QIuHiUiZ--dAn8Ob9Q_22_0"/>
      <w:bookmarkStart w:id="285" w:name="Tc_oHxDr7cdD0uI7mmBPJBJbQ_20_0"/>
      <w:bookmarkStart w:id="286" w:name="Tc_uSsrT_rAgEW9l-z4MVGVTA_19_0"/>
      <w:bookmarkStart w:id="287" w:name="Tc_u0yucQVb60aAzC1Z3cEJIg_18_0"/>
      <w:bookmarkStart w:id="288" w:name="Tc_y-Wb8Jvt-0Km7Um4cN44bQ_17_0"/>
      <w:bookmarkStart w:id="289" w:name="Tc_x8ZXiINOi0SvsIlExp6wqg_16_0"/>
      <w:bookmarkStart w:id="290" w:name="Tc_DoVKPKn6rkaMw0ztHKU9SA_14_0"/>
      <w:bookmarkStart w:id="291" w:name="Tc_lo8egcFizkaRqyppzMDlXg_12_0"/>
      <w:bookmarkStart w:id="292" w:name="Tc_2ejKjZ7pxkyZSkqA32uy_w_11_0"/>
      <w:bookmarkStart w:id="293" w:name="Tc_lmNhcTegL0Wc2DaQ6MEItg_10_0"/>
      <w:bookmarkStart w:id="294" w:name="Tc_WpMuAfHng0aBYXt8bI0oug_9_0"/>
      <w:bookmarkStart w:id="295" w:name="Tc_qdxvw3tmSUCgnWA_QAE3gg_8_0"/>
      <w:bookmarkStart w:id="296" w:name="Tc_8KXjs9deskS6bmrf57c-FQ_6_0"/>
      <w:bookmarkStart w:id="297" w:name="Tc_xxXgY45pdEWRIYYqJTrH5g_5_0"/>
      <w:bookmarkStart w:id="298" w:name="Tc_f69pItydME2MpA0JKWsAMQ_4_11"/>
      <w:bookmarkStart w:id="299" w:name="Tc_uD8uNpIkvUOBZ3dqPjjOLA_4_8"/>
      <w:bookmarkStart w:id="300" w:name="Tc_KDhSZ-K7PUqnBETsRVIDvw_4_5"/>
      <w:bookmarkStart w:id="301" w:name="Tc_eNN4riUKUUWQd8ksVrsh8g_4_2"/>
      <w:bookmarkStart w:id="302" w:name="Tc_5uKNWyUwyEOA5K-cTox4zw_4_0"/>
      <w:bookmarkStart w:id="303" w:name="Tc_vzmaAtIx502v4bVoNxA0ww_3_11"/>
      <w:bookmarkStart w:id="304" w:name="Tc_3KMNQ30tj0GvtW39_2p7fw_3_8"/>
      <w:bookmarkStart w:id="305" w:name="Tc_GZ8-bb90pkWpBo3ZcSLqcA_3_5"/>
      <w:bookmarkStart w:id="306" w:name="Tc_uqxekU-gJESPMxBUzx7BoQ_3_2"/>
      <w:bookmarkStart w:id="307" w:name="Tc_bPqz7zK2q0WtAqoxEiADZg_2_11"/>
      <w:bookmarkStart w:id="308" w:name="Tc_qRKC8g9ivE-tcUVPAtGffw_2_8"/>
      <w:bookmarkStart w:id="309" w:name="Tc_i2-w3cD8xE-f9V_ecNL8WA_2_5"/>
      <w:bookmarkStart w:id="310" w:name="Tc_NzC2hT3U3Ui2Qrh6o--QqQ_2_2"/>
      <w:bookmarkStart w:id="311" w:name="Tc_gfe11TF6H0aHHcqKzucDIA_1_8"/>
      <w:bookmarkStart w:id="312" w:name="Tc_DCbsdX87KU62XqDVARXZ1A_1_2"/>
      <w:bookmarkStart w:id="313" w:name="Tc_qY7dPKy1RkeBdJ0WS3IwAg_1_0"/>
      <w:bookmarkStart w:id="314" w:name="_51954258_55a1_4759_b835_59b343c3395b"/>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tbl>
      <w:tblPr>
        <w:tblW w:w="10171" w:type="dxa"/>
        <w:jc w:val="left"/>
        <w:tblInd w:w="0" w:type="dxa"/>
        <w:tblLayout w:type="fixed"/>
        <w:tblCellMar>
          <w:top w:w="0" w:type="dxa"/>
          <w:left w:w="0" w:type="dxa"/>
          <w:bottom w:w="0" w:type="dxa"/>
          <w:right w:w="0" w:type="dxa"/>
        </w:tblCellMar>
      </w:tblPr>
      <w:tblGrid>
        <w:gridCol w:w="4891"/>
        <w:gridCol w:w="346"/>
        <w:gridCol w:w="196"/>
        <w:gridCol w:w="826"/>
        <w:gridCol w:w="346"/>
        <w:gridCol w:w="196"/>
        <w:gridCol w:w="826"/>
        <w:gridCol w:w="109"/>
        <w:gridCol w:w="196"/>
        <w:gridCol w:w="826"/>
        <w:gridCol w:w="346"/>
        <w:gridCol w:w="196"/>
        <w:gridCol w:w="871"/>
      </w:tblGrid>
      <w:tr>
        <w:trPr/>
        <w:tc>
          <w:tcPr>
            <w:tcW w:w="4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105785" cy="175260"/>
                      <wp:effectExtent l="0" t="0" r="0" b="0"/>
                      <wp:wrapNone/>
                      <wp:docPr id="25" name="Frame25"/>
                      <a:graphic xmlns:a="http://schemas.openxmlformats.org/drawingml/2006/main">
                        <a:graphicData uri="http://schemas.microsoft.com/office/word/2010/wordprocessingShape">
                          <wps:wsp>
                            <wps:cNvSpPr txBox="1"/>
                            <wps:spPr>
                              <a:xfrm>
                                <a:off x="0" y="0"/>
                                <a:ext cx="310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4460" cy="175260"/>
                      <wp:effectExtent l="0" t="0" r="0" b="0"/>
                      <wp:wrapNone/>
                      <wp:docPr id="27" name="Frame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24510" cy="175260"/>
                      <wp:effectExtent l="0" t="0" r="0" b="0"/>
                      <wp:wrapNone/>
                      <wp:docPr id="28" name="Frame2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4460" cy="175260"/>
                      <wp:effectExtent l="0" t="0" r="0" b="0"/>
                      <wp:wrapNone/>
                      <wp:docPr id="30" name="Frame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24510" cy="175260"/>
                      <wp:effectExtent l="0" t="0" r="0" b="0"/>
                      <wp:wrapNone/>
                      <wp:docPr id="31" name="Frame3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9215" cy="175260"/>
                      <wp:effectExtent l="0" t="0" r="0" b="0"/>
                      <wp:wrapNone/>
                      <wp:docPr id="32" name="Frame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24460" cy="175260"/>
                      <wp:effectExtent l="0" t="0" r="0" b="0"/>
                      <wp:wrapNone/>
                      <wp:docPr id="33" name="Frame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24510" cy="175260"/>
                      <wp:effectExtent l="0" t="0" r="0" b="0"/>
                      <wp:wrapNone/>
                      <wp:docPr id="34" name="Frame3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24460" cy="175260"/>
                      <wp:effectExtent l="0" t="0" r="0" b="0"/>
                      <wp:wrapNone/>
                      <wp:docPr id="36" name="Frame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53085" cy="175260"/>
                      <wp:effectExtent l="0" t="0" r="0" b="0"/>
                      <wp:wrapNone/>
                      <wp:docPr id="37" name="Frame3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United States dollars, except per share data)</w:t>
            </w:r>
          </w:p>
        </w:tc>
        <w:tc>
          <w:tcPr>
            <w:tcW w:w="346" w:type="dxa"/>
            <w:tcBorders/>
            <w:vAlign w:val="center"/>
          </w:tcPr>
          <w:p>
            <w:pPr>
              <w:pStyle w:val="TableContents"/>
              <w:bidi w:val="0"/>
              <w:spacing w:before="0" w:after="0"/>
              <w:ind w:left="0" w:right="0" w:hanging="0"/>
              <w:jc w:val="left"/>
              <w:rPr/>
            </w:pPr>
            <w:r>
              <w:rPr/>
              <w:t>​</w:t>
            </w:r>
          </w:p>
        </w:tc>
        <w:tc>
          <w:tcPr>
            <w:tcW w:w="239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09" w:type="dxa"/>
            <w:tcBorders/>
            <w:vAlign w:val="center"/>
          </w:tcPr>
          <w:p>
            <w:pPr>
              <w:pStyle w:val="TableContents"/>
              <w:bidi w:val="0"/>
              <w:spacing w:before="0" w:after="0"/>
              <w:ind w:left="0" w:right="0" w:hanging="0"/>
              <w:jc w:val="left"/>
              <w:rPr/>
            </w:pPr>
            <w:r>
              <w:rPr/>
              <w:t>​</w:t>
            </w:r>
          </w:p>
        </w:tc>
        <w:tc>
          <w:tcPr>
            <w:tcW w:w="243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46" w:type="dxa"/>
            <w:tcBorders/>
            <w:vAlign w:val="center"/>
          </w:tcPr>
          <w:p>
            <w:pPr>
              <w:pStyle w:val="TableContents"/>
              <w:bidi w:val="0"/>
              <w:spacing w:before="0" w:after="0"/>
              <w:ind w:left="0" w:right="0" w:hanging="0"/>
              <w:jc w:val="center"/>
              <w:rPr/>
            </w:pPr>
            <w:r>
              <w:rPr/>
              <w:t>​</w:t>
            </w:r>
          </w:p>
        </w:tc>
        <w:tc>
          <w:tcPr>
            <w:tcW w:w="106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6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1,882,937</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1,835,374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3,344,204</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3,430,893</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Cost of sales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1,592,702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1,522,640</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2,818,080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2,849,963</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290,235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312,734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526,124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580,930</w: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185,720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184,995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358,603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361,249</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(gain) on disposition and impairments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3,754</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losses, net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584</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186,819</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189,643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358,627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365,587</w: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Earnings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103,416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123,091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167,497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215,343</w: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Interest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4,631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5,385</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and investment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(10,528)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(10,757)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(15,961)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(21,874)</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 in earnings of investee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(794)</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interest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(8,854)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(12,309)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(17,283)</w: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Earnings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112,862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131,945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179,806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232,626</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29,691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31,074</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45,538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52,332</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83,171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100,871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134,268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180,294</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Less net earnings attributable to noncontrolling interest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(807)</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earnings attributable to controlling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82,872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100,734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133,646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179,487</w: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Earnings per share - basic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Earnings per share - diluted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w:t>
            </w:r>
          </w:p>
        </w:tc>
      </w:tr>
      <w:tr>
        <w:trPr/>
        <w:tc>
          <w:tcPr>
            <w:tcW w:w="48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83,171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100,871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134,268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180,294</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comprehensive (loss) income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11,738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14,919</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Comprehensive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82,922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112,609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133,116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195,213</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Less comprehensive income attributable to noncontrolling interest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(1,754)</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(2,391)</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Comprehensive income attributable to controlling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82,097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110,855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132,033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192,822</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notes to unaudited interim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0"/>
        <w:ind w:left="0" w:right="0" w:hanging="0"/>
        <w:jc w:val="center"/>
        <w:rPr>
          <w:rFonts w:ascii="Times New Roman;Times;serif" w:hAnsi="Times New Roman;Times;serif"/>
          <w:b/>
          <w:sz w:val="20"/>
        </w:rPr>
      </w:pPr>
      <w:bookmarkStart w:id="315" w:name="CONSOLIDATEDSTATEMENTSOFSHAREHOLDERSEQUI"/>
      <w:bookmarkStart w:id="316" w:name="_9df40949_31f4_4e48_89e2_7b4d674053e2"/>
      <w:bookmarkEnd w:id="315"/>
      <w:bookmarkEnd w:id="316"/>
      <w:r>
        <w:rPr>
          <w:rFonts w:ascii="Times New Roman;Times;serif" w:hAnsi="Times New Roman;Times;serif"/>
          <w:b/>
          <w:sz w:val="20"/>
        </w:rPr>
        <w:t>CONDENSED CONSOLIDATED STATEMENTS OF SHAREHOLDERS’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17" w:name="Tc_Se3aizwkoECxfIljHRSxhQ_31_20"/>
      <w:bookmarkStart w:id="318" w:name="Tc_fOlJqb-8iEiEmov6ejjr-A_31_17"/>
      <w:bookmarkStart w:id="319" w:name="Tc_D8nYFGx8wkeH_NHpqiJAig_31_14"/>
      <w:bookmarkStart w:id="320" w:name="Tc_1Tpba6aGmECCi2DNH6Kgcg_31_11"/>
      <w:bookmarkStart w:id="321" w:name="Tc_-QzrwPF0oUiHA3NS4aki2A_31_8"/>
      <w:bookmarkStart w:id="322" w:name="Tc_m2nyAhKJYEKaf6UYm0FEPw_31_5"/>
      <w:bookmarkStart w:id="323" w:name="Tc_yUm8a8NxikW7xvBxxGIy-Q_31_2"/>
      <w:bookmarkStart w:id="324" w:name="Tc__mBpqgwl1EaOsurvB_lhmA_31_0"/>
      <w:bookmarkStart w:id="325" w:name="Tc_tNmEIx98b0mtDkjMqqG9Xw_30_0"/>
      <w:bookmarkStart w:id="326" w:name="Tc_5ZRdQJmeTUi1tAxD_04uyg_29_0"/>
      <w:bookmarkStart w:id="327" w:name="Tc_1i_WQreb8kCdsm30WiMzrA_28_0"/>
      <w:bookmarkStart w:id="328" w:name="Tc_HRDOSkbGHkub2oLNRXL7Mw_27_18"/>
      <w:bookmarkStart w:id="329" w:name="Tc_1mV_dIm5q0aON5rBPY-OXA_27_0"/>
      <w:bookmarkStart w:id="330" w:name="Tc_qnh5fUzRp02huSFUzC0AtA_26_0"/>
      <w:bookmarkStart w:id="331" w:name="Tc_CaqPebMLt0WNjmEuPBXl3Q_25_0"/>
      <w:bookmarkStart w:id="332" w:name="Tc_OOyaPFxYmk6iGDjxc5Rx0g_24_0"/>
      <w:bookmarkStart w:id="333" w:name="Tc_DSOaWXdrpECD8o8LYUsTLA_23_0"/>
      <w:bookmarkStart w:id="334" w:name="Tc_9hi8aolfrEeC3dDXrC6gcw_22_0"/>
      <w:bookmarkStart w:id="335" w:name="Tc_DV0BPtPf1kSnMokCsUBnKQ_21_0"/>
      <w:bookmarkStart w:id="336" w:name="Tc_HLQ2XZ3jfkijwn9cyzFHDQ_20_0"/>
      <w:bookmarkStart w:id="337" w:name="Tc_6dxk8zIY1kq9vFbbV2D7bA_19_20"/>
      <w:bookmarkStart w:id="338" w:name="Tc_Yi0aGA-oKku8nwN0WsuFkw_19_17"/>
      <w:bookmarkStart w:id="339" w:name="Tc_VUVO7IPd-USpcoMIeDF0-Q_19_14"/>
      <w:bookmarkStart w:id="340" w:name="Tc_r5XEv-Z8dEqPrp8SbZ9xNA_19_11"/>
      <w:bookmarkStart w:id="341" w:name="Tc_-yqAzhaByEy9IRyc3ZZhng_19_8"/>
      <w:bookmarkStart w:id="342" w:name="Tc_ej1I04SSvUOSdLVC-hAMFA_19_5"/>
      <w:bookmarkStart w:id="343" w:name="Tc_vdhpGj6c_02tZNyO7xSFDQ_19_2"/>
      <w:bookmarkStart w:id="344" w:name="Tc_GLZdWCcpMUOyR2EJHVCZBg_19_0"/>
      <w:bookmarkStart w:id="345" w:name="Tc_IqHSQIoFjEqNZOKEcxU08Q_18_0"/>
      <w:bookmarkStart w:id="346" w:name="Tc__p30TJzfEUiMg-FGFdysVQ_17_0"/>
      <w:bookmarkStart w:id="347" w:name="Tc_AgVh1JyE8Uyf_iIbT_4i-Q_16_0"/>
      <w:bookmarkStart w:id="348" w:name="Tc_CYjXIE24K0yzb7NNpvM2AA_15_18"/>
      <w:bookmarkStart w:id="349" w:name="Tc_j2h7X_0RBkGzazIA82sNBQ_15_0"/>
      <w:bookmarkStart w:id="350" w:name="Tc_YwOchTWpg0uKlJvNgdxxrw_14_0"/>
      <w:bookmarkStart w:id="351" w:name="Tc_iJFCyzli9UaMzpA2zB8nbw_13_0"/>
      <w:bookmarkStart w:id="352" w:name="Tc_Hpjo3SSZAU-VZcYPwppXFw_12_0"/>
      <w:bookmarkStart w:id="353" w:name="Tc_ENwXvKigrEK7UMXKCZlAvA_11_0"/>
      <w:bookmarkStart w:id="354" w:name="Tc_9mz3FnaA9kyeRagiG0rwUA_10_18"/>
      <w:bookmarkStart w:id="355" w:name="Tc_ofIJSRKnEky5CM5DISJA9A_10_0"/>
      <w:bookmarkStart w:id="356" w:name="Tc_cGDbAp5ocEC-qoHmftS8IA_9_0"/>
      <w:bookmarkStart w:id="357" w:name="Tc_pmM094e_pkqeNW0aZQ_F4Q_8_0"/>
      <w:bookmarkStart w:id="358" w:name="Tc_1Qi1JP-0wUKXy2b9bf2ysQ_7_0"/>
      <w:bookmarkStart w:id="359" w:name="Tc_lwEGTmY9J0i3q1UP-XxUMg_6_0"/>
      <w:bookmarkStart w:id="360" w:name="Tc_FFY9Vfuk8UWKDoQ11RKGoQ_5_20"/>
      <w:bookmarkStart w:id="361" w:name="Tc_5mZ6KJfW2UKVzeHnkA5ZsQ_5_17"/>
      <w:bookmarkStart w:id="362" w:name="Tc_0SxQSADxR0O8Zojh6ZQ9sw_5_14"/>
      <w:bookmarkStart w:id="363" w:name="Tc_QVt0QJPMaEe0hWzglhR6lQ_5_11"/>
      <w:bookmarkStart w:id="364" w:name="Tc__EINcabk8U6sJuXiFgfC7g_5_8"/>
      <w:bookmarkStart w:id="365" w:name="Tc_kH7PdF30oU-DfQAoM399hw_5_5"/>
      <w:bookmarkStart w:id="366" w:name="Tc__jyBKpod9EKw2jGFPr3pKw_5_2"/>
      <w:bookmarkStart w:id="367" w:name="Tc_QRMHZ0FwYECX58P6h-y8rg_5_0"/>
      <w:bookmarkStart w:id="368" w:name="Tc_2deELF2ltUunQzO4vx5J5g_4_20"/>
      <w:bookmarkStart w:id="369" w:name="Tc_2kHMjf-BukKQ8o3Spy3C9A_4_17"/>
      <w:bookmarkStart w:id="370" w:name="Tc_KSukWfo-aE2IqPD1c2OCWg_4_14"/>
      <w:bookmarkStart w:id="371" w:name="Tc_1lp8-R2cskWUmhCndl-SYQ_4_11"/>
      <w:bookmarkStart w:id="372" w:name="Tc_xoO6Px61s0KfRfcZTw34yQ_4_8"/>
      <w:bookmarkStart w:id="373" w:name="Tc_590kkQIRgkuDTMr6ZEZ8QQ_4_5"/>
      <w:bookmarkStart w:id="374" w:name="Tc_DGrLte7gPU-ZVsmq_j8tEg_4_2"/>
      <w:bookmarkStart w:id="375" w:name="Tc_z8px6eFjnUqbE6a32bpcyw_3_20"/>
      <w:bookmarkStart w:id="376" w:name="Tc_LwY4oncgX0Ou3oZ13MC8cA_3_14"/>
      <w:bookmarkStart w:id="377" w:name="Tc_qxusEOCfnkuF37w6bndLpg_3_11"/>
      <w:bookmarkStart w:id="378" w:name="Tc_Wq8EvWNcmUKsauN8an3p2g_3_8"/>
      <w:bookmarkStart w:id="379" w:name="Tc_Xq77J7lajEWsKkXwbUtNUQ_3_5"/>
      <w:bookmarkStart w:id="380" w:name="Tc_8hrWWLuLm02B-WRYgiogVw_3_2"/>
      <w:bookmarkStart w:id="381" w:name="Tc_F1HrGcfMgkW5lrwck7ynOw_2_11"/>
      <w:bookmarkStart w:id="382" w:name="Tc_Q8oAENBuX0iq6RJv7oIjQQ_2_5"/>
      <w:bookmarkStart w:id="383" w:name="Tc_taPyX8pBBUiQ-njV4ShKVA_2_0"/>
      <w:bookmarkStart w:id="384" w:name="Tc_Y3lz8NfMoUK2E6dWs24MnQ_1_2"/>
      <w:bookmarkStart w:id="385" w:name="Tc_k5TeS6ZoWUK4uJ6u5VvbMA_1_0"/>
      <w:bookmarkStart w:id="386" w:name="_bf96fcba_2750_4ac9_a6d1_996eb4f96ea3"/>
      <w:bookmarkStart w:id="387" w:name="Tc_Se3aizwkoECxfIljHRSxhQ_31_20"/>
      <w:bookmarkStart w:id="388" w:name="Tc_fOlJqb-8iEiEmov6ejjr-A_31_17"/>
      <w:bookmarkStart w:id="389" w:name="Tc_D8nYFGx8wkeH_NHpqiJAig_31_14"/>
      <w:bookmarkStart w:id="390" w:name="Tc_1Tpba6aGmECCi2DNH6Kgcg_31_11"/>
      <w:bookmarkStart w:id="391" w:name="Tc_-QzrwPF0oUiHA3NS4aki2A_31_8"/>
      <w:bookmarkStart w:id="392" w:name="Tc_m2nyAhKJYEKaf6UYm0FEPw_31_5"/>
      <w:bookmarkStart w:id="393" w:name="Tc_yUm8a8NxikW7xvBxxGIy-Q_31_2"/>
      <w:bookmarkStart w:id="394" w:name="Tc__mBpqgwl1EaOsurvB_lhmA_31_0"/>
      <w:bookmarkStart w:id="395" w:name="Tc_tNmEIx98b0mtDkjMqqG9Xw_30_0"/>
      <w:bookmarkStart w:id="396" w:name="Tc_5ZRdQJmeTUi1tAxD_04uyg_29_0"/>
      <w:bookmarkStart w:id="397" w:name="Tc_1i_WQreb8kCdsm30WiMzrA_28_0"/>
      <w:bookmarkStart w:id="398" w:name="Tc_HRDOSkbGHkub2oLNRXL7Mw_27_18"/>
      <w:bookmarkStart w:id="399" w:name="Tc_1mV_dIm5q0aON5rBPY-OXA_27_0"/>
      <w:bookmarkStart w:id="400" w:name="Tc_qnh5fUzRp02huSFUzC0AtA_26_0"/>
      <w:bookmarkStart w:id="401" w:name="Tc_CaqPebMLt0WNjmEuPBXl3Q_25_0"/>
      <w:bookmarkStart w:id="402" w:name="Tc_OOyaPFxYmk6iGDjxc5Rx0g_24_0"/>
      <w:bookmarkStart w:id="403" w:name="Tc_DSOaWXdrpECD8o8LYUsTLA_23_0"/>
      <w:bookmarkStart w:id="404" w:name="Tc_9hi8aolfrEeC3dDXrC6gcw_22_0"/>
      <w:bookmarkStart w:id="405" w:name="Tc_DV0BPtPf1kSnMokCsUBnKQ_21_0"/>
      <w:bookmarkStart w:id="406" w:name="Tc_HLQ2XZ3jfkijwn9cyzFHDQ_20_0"/>
      <w:bookmarkStart w:id="407" w:name="Tc_6dxk8zIY1kq9vFbbV2D7bA_19_20"/>
      <w:bookmarkStart w:id="408" w:name="Tc_Yi0aGA-oKku8nwN0WsuFkw_19_17"/>
      <w:bookmarkStart w:id="409" w:name="Tc_VUVO7IPd-USpcoMIeDF0-Q_19_14"/>
      <w:bookmarkStart w:id="410" w:name="Tc_r5XEv-Z8dEqPrp8SbZ9xNA_19_11"/>
      <w:bookmarkStart w:id="411" w:name="Tc_-yqAzhaByEy9IRyc3ZZhng_19_8"/>
      <w:bookmarkStart w:id="412" w:name="Tc_ej1I04SSvUOSdLVC-hAMFA_19_5"/>
      <w:bookmarkStart w:id="413" w:name="Tc_vdhpGj6c_02tZNyO7xSFDQ_19_2"/>
      <w:bookmarkStart w:id="414" w:name="Tc_GLZdWCcpMUOyR2EJHVCZBg_19_0"/>
      <w:bookmarkStart w:id="415" w:name="Tc_IqHSQIoFjEqNZOKEcxU08Q_18_0"/>
      <w:bookmarkStart w:id="416" w:name="Tc__p30TJzfEUiMg-FGFdysVQ_17_0"/>
      <w:bookmarkStart w:id="417" w:name="Tc_AgVh1JyE8Uyf_iIbT_4i-Q_16_0"/>
      <w:bookmarkStart w:id="418" w:name="Tc_CYjXIE24K0yzb7NNpvM2AA_15_18"/>
      <w:bookmarkStart w:id="419" w:name="Tc_j2h7X_0RBkGzazIA82sNBQ_15_0"/>
      <w:bookmarkStart w:id="420" w:name="Tc_YwOchTWpg0uKlJvNgdxxrw_14_0"/>
      <w:bookmarkStart w:id="421" w:name="Tc_iJFCyzli9UaMzpA2zB8nbw_13_0"/>
      <w:bookmarkStart w:id="422" w:name="Tc_Hpjo3SSZAU-VZcYPwppXFw_12_0"/>
      <w:bookmarkStart w:id="423" w:name="Tc_ENwXvKigrEK7UMXKCZlAvA_11_0"/>
      <w:bookmarkStart w:id="424" w:name="Tc_9mz3FnaA9kyeRagiG0rwUA_10_18"/>
      <w:bookmarkStart w:id="425" w:name="Tc_ofIJSRKnEky5CM5DISJA9A_10_0"/>
      <w:bookmarkStart w:id="426" w:name="Tc_cGDbAp5ocEC-qoHmftS8IA_9_0"/>
      <w:bookmarkStart w:id="427" w:name="Tc_pmM094e_pkqeNW0aZQ_F4Q_8_0"/>
      <w:bookmarkStart w:id="428" w:name="Tc_1Qi1JP-0wUKXy2b9bf2ysQ_7_0"/>
      <w:bookmarkStart w:id="429" w:name="Tc_lwEGTmY9J0i3q1UP-XxUMg_6_0"/>
      <w:bookmarkStart w:id="430" w:name="Tc_FFY9Vfuk8UWKDoQ11RKGoQ_5_20"/>
      <w:bookmarkStart w:id="431" w:name="Tc_5mZ6KJfW2UKVzeHnkA5ZsQ_5_17"/>
      <w:bookmarkStart w:id="432" w:name="Tc_0SxQSADxR0O8Zojh6ZQ9sw_5_14"/>
      <w:bookmarkStart w:id="433" w:name="Tc_QVt0QJPMaEe0hWzglhR6lQ_5_11"/>
      <w:bookmarkStart w:id="434" w:name="Tc__EINcabk8U6sJuXiFgfC7g_5_8"/>
      <w:bookmarkStart w:id="435" w:name="Tc_kH7PdF30oU-DfQAoM399hw_5_5"/>
      <w:bookmarkStart w:id="436" w:name="Tc__jyBKpod9EKw2jGFPr3pKw_5_2"/>
      <w:bookmarkStart w:id="437" w:name="Tc_QRMHZ0FwYECX58P6h-y8rg_5_0"/>
      <w:bookmarkStart w:id="438" w:name="Tc_2deELF2ltUunQzO4vx5J5g_4_20"/>
      <w:bookmarkStart w:id="439" w:name="Tc_2kHMjf-BukKQ8o3Spy3C9A_4_17"/>
      <w:bookmarkStart w:id="440" w:name="Tc_KSukWfo-aE2IqPD1c2OCWg_4_14"/>
      <w:bookmarkStart w:id="441" w:name="Tc_1lp8-R2cskWUmhCndl-SYQ_4_11"/>
      <w:bookmarkStart w:id="442" w:name="Tc_xoO6Px61s0KfRfcZTw34yQ_4_8"/>
      <w:bookmarkStart w:id="443" w:name="Tc_590kkQIRgkuDTMr6ZEZ8QQ_4_5"/>
      <w:bookmarkStart w:id="444" w:name="Tc_DGrLte7gPU-ZVsmq_j8tEg_4_2"/>
      <w:bookmarkStart w:id="445" w:name="Tc_z8px6eFjnUqbE6a32bpcyw_3_20"/>
      <w:bookmarkStart w:id="446" w:name="Tc_LwY4oncgX0Ou3oZ13MC8cA_3_14"/>
      <w:bookmarkStart w:id="447" w:name="Tc_qxusEOCfnkuF37w6bndLpg_3_11"/>
      <w:bookmarkStart w:id="448" w:name="Tc_Wq8EvWNcmUKsauN8an3p2g_3_8"/>
      <w:bookmarkStart w:id="449" w:name="Tc_Xq77J7lajEWsKkXwbUtNUQ_3_5"/>
      <w:bookmarkStart w:id="450" w:name="Tc_8hrWWLuLm02B-WRYgiogVw_3_2"/>
      <w:bookmarkStart w:id="451" w:name="Tc_F1HrGcfMgkW5lrwck7ynOw_2_11"/>
      <w:bookmarkStart w:id="452" w:name="Tc_Q8oAENBuX0iq6RJv7oIjQQ_2_5"/>
      <w:bookmarkStart w:id="453" w:name="Tc_taPyX8pBBUiQ-njV4ShKVA_2_0"/>
      <w:bookmarkStart w:id="454" w:name="Tc_Y3lz8NfMoUK2E6dWs24MnQ_1_2"/>
      <w:bookmarkStart w:id="455" w:name="Tc_k5TeS6ZoWUK4uJ6u5VvbMA_1_0"/>
      <w:bookmarkStart w:id="456" w:name="_bf96fcba_2750_4ac9_a6d1_996eb4f96ea3"/>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tbl>
      <w:tblPr>
        <w:tblW w:w="10205" w:type="dxa"/>
        <w:jc w:val="left"/>
        <w:tblInd w:w="0" w:type="dxa"/>
        <w:tblLayout w:type="fixed"/>
        <w:tblCellMar>
          <w:top w:w="0" w:type="dxa"/>
          <w:left w:w="0" w:type="dxa"/>
          <w:bottom w:w="0" w:type="dxa"/>
          <w:right w:w="0" w:type="dxa"/>
        </w:tblCellMar>
      </w:tblPr>
      <w:tblGrid>
        <w:gridCol w:w="1594"/>
        <w:gridCol w:w="154"/>
        <w:gridCol w:w="196"/>
        <w:gridCol w:w="605"/>
        <w:gridCol w:w="226"/>
        <w:gridCol w:w="196"/>
        <w:gridCol w:w="691"/>
        <w:gridCol w:w="226"/>
        <w:gridCol w:w="196"/>
        <w:gridCol w:w="826"/>
        <w:gridCol w:w="226"/>
        <w:gridCol w:w="390"/>
        <w:gridCol w:w="871"/>
        <w:gridCol w:w="226"/>
        <w:gridCol w:w="295"/>
        <w:gridCol w:w="906"/>
        <w:gridCol w:w="226"/>
        <w:gridCol w:w="196"/>
        <w:gridCol w:w="826"/>
        <w:gridCol w:w="154"/>
        <w:gridCol w:w="261"/>
        <w:gridCol w:w="718"/>
      </w:tblGrid>
      <w:tr>
        <w:trPr/>
        <w:tc>
          <w:tcPr>
            <w:tcW w:w="15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012190" cy="175260"/>
                      <wp:effectExtent l="0" t="0" r="0" b="0"/>
                      <wp:wrapNone/>
                      <wp:docPr id="38" name="Frame38"/>
                      <a:graphic xmlns:a="http://schemas.openxmlformats.org/drawingml/2006/main">
                        <a:graphicData uri="http://schemas.microsoft.com/office/word/2010/wordprocessingShape">
                          <wps:wsp>
                            <wps:cNvSpPr txBox="1"/>
                            <wps:spPr>
                              <a:xfrm>
                                <a:off x="0" y="0"/>
                                <a:ext cx="1012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97790" cy="175260"/>
                      <wp:effectExtent l="0" t="0" r="0" b="0"/>
                      <wp:wrapNone/>
                      <wp:docPr id="39" name="Frame3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4460" cy="175260"/>
                      <wp:effectExtent l="0" t="0" r="0" b="0"/>
                      <wp:wrapNone/>
                      <wp:docPr id="40" name="Frame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84175" cy="175260"/>
                      <wp:effectExtent l="0" t="0" r="0" b="0"/>
                      <wp:wrapNone/>
                      <wp:docPr id="41" name="Frame41"/>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43510" cy="175260"/>
                      <wp:effectExtent l="0" t="0" r="0" b="0"/>
                      <wp:wrapNone/>
                      <wp:docPr id="42" name="Frame4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4460" cy="175260"/>
                      <wp:effectExtent l="0" t="0" r="0" b="0"/>
                      <wp:wrapNone/>
                      <wp:docPr id="43" name="Frame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38785" cy="175260"/>
                      <wp:effectExtent l="0" t="0" r="0" b="0"/>
                      <wp:wrapNone/>
                      <wp:docPr id="44" name="Frame4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43510" cy="175260"/>
                      <wp:effectExtent l="0" t="0" r="0" b="0"/>
                      <wp:wrapNone/>
                      <wp:docPr id="45" name="Frame4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24460" cy="175260"/>
                      <wp:effectExtent l="0" t="0" r="0" b="0"/>
                      <wp:wrapNone/>
                      <wp:docPr id="46" name="Frame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24510" cy="175260"/>
                      <wp:effectExtent l="0" t="0" r="0" b="0"/>
                      <wp:wrapNone/>
                      <wp:docPr id="47" name="Frame4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43510" cy="175260"/>
                      <wp:effectExtent l="0" t="0" r="0" b="0"/>
                      <wp:wrapNone/>
                      <wp:docPr id="48" name="Frame4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47650" cy="175260"/>
                      <wp:effectExtent l="0" t="0" r="0" b="0"/>
                      <wp:wrapNone/>
                      <wp:docPr id="49" name="Frame49"/>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53085" cy="175260"/>
                      <wp:effectExtent l="0" t="0" r="0" b="0"/>
                      <wp:wrapNone/>
                      <wp:docPr id="50" name="Frame5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43510" cy="175260"/>
                      <wp:effectExtent l="0" t="0" r="0" b="0"/>
                      <wp:wrapNone/>
                      <wp:docPr id="51" name="Frame5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87325" cy="175260"/>
                      <wp:effectExtent l="0" t="0" r="0" b="0"/>
                      <wp:wrapNone/>
                      <wp:docPr id="52" name="Frame52"/>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75310" cy="175260"/>
                      <wp:effectExtent l="0" t="0" r="0" b="0"/>
                      <wp:wrapNone/>
                      <wp:docPr id="53" name="Frame53"/>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43510" cy="175260"/>
                      <wp:effectExtent l="0" t="0" r="0" b="0"/>
                      <wp:wrapNone/>
                      <wp:docPr id="54" name="Frame5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24460" cy="175260"/>
                      <wp:effectExtent l="0" t="0" r="0" b="0"/>
                      <wp:wrapNone/>
                      <wp:docPr id="55" name="Frame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24510" cy="175260"/>
                      <wp:effectExtent l="0" t="0" r="0" b="0"/>
                      <wp:wrapNone/>
                      <wp:docPr id="56" name="Frame5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97790" cy="175260"/>
                      <wp:effectExtent l="0" t="0" r="0" b="0"/>
                      <wp:wrapNone/>
                      <wp:docPr id="57" name="Frame5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65735" cy="175260"/>
                      <wp:effectExtent l="0" t="0" r="0" b="0"/>
                      <wp:wrapNone/>
                      <wp:docPr id="58" name="Frame58"/>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55930" cy="175260"/>
                      <wp:effectExtent l="0" t="0" r="0" b="0"/>
                      <wp:wrapNone/>
                      <wp:docPr id="59" name="Frame59"/>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9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(in thousands of United States dollars, </w:t>
            </w:r>
          </w:p>
        </w:tc>
        <w:tc>
          <w:tcPr>
            <w:tcW w:w="154" w:type="dxa"/>
            <w:tcBorders/>
            <w:vAlign w:val="center"/>
          </w:tcPr>
          <w:p>
            <w:pPr>
              <w:pStyle w:val="TableContents"/>
              <w:bidi w:val="0"/>
              <w:spacing w:before="0" w:after="0"/>
              <w:ind w:left="0" w:right="0" w:hanging="0"/>
              <w:jc w:val="left"/>
              <w:rPr/>
            </w:pPr>
            <w:r>
              <w:rPr/>
              <w:t>​</w:t>
            </w:r>
          </w:p>
        </w:tc>
        <w:tc>
          <w:tcPr>
            <w:tcW w:w="7324" w:type="dxa"/>
            <w:gridSpan w:val="17"/>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 Interest Shareholders’ Equity</w:t>
            </w:r>
          </w:p>
        </w:tc>
        <w:tc>
          <w:tcPr>
            <w:tcW w:w="154" w:type="dxa"/>
            <w:tcBorders/>
            <w:vAlign w:val="center"/>
          </w:tcPr>
          <w:p>
            <w:pPr>
              <w:pStyle w:val="TableContents"/>
              <w:bidi w:val="0"/>
              <w:spacing w:before="0" w:after="0"/>
              <w:ind w:left="0" w:right="0" w:hanging="0"/>
              <w:jc w:val="center"/>
              <w:rPr/>
            </w:pPr>
            <w:r>
              <w:rPr/>
              <w:t>​</w:t>
            </w:r>
          </w:p>
        </w:tc>
        <w:tc>
          <w:tcPr>
            <w:tcW w:w="261" w:type="dxa"/>
            <w:tcBorders/>
            <w:vAlign w:val="center"/>
          </w:tcPr>
          <w:p>
            <w:pPr>
              <w:pStyle w:val="TableContents"/>
              <w:bidi w:val="0"/>
              <w:spacing w:before="0" w:after="0"/>
              <w:ind w:left="0" w:right="0" w:hanging="0"/>
              <w:jc w:val="center"/>
              <w:rPr/>
            </w:pPr>
            <w:r>
              <w:rPr/>
              <w:t>​</w:t>
            </w:r>
          </w:p>
        </w:tc>
        <w:tc>
          <w:tcPr>
            <w:tcW w:w="718" w:type="dxa"/>
            <w:tcBorders/>
            <w:vAlign w:val="center"/>
          </w:tcPr>
          <w:p>
            <w:pPr>
              <w:pStyle w:val="TableContents"/>
              <w:bidi w:val="0"/>
              <w:spacing w:before="0" w:after="0"/>
              <w:ind w:left="0" w:right="0" w:hanging="0"/>
              <w:jc w:val="center"/>
              <w:rPr/>
            </w:pPr>
            <w:r>
              <w:rPr/>
              <w:t>​</w:t>
            </w:r>
          </w:p>
        </w:tc>
      </w:tr>
      <w:tr>
        <w:trPr/>
        <w:tc>
          <w:tcPr>
            <w:tcW w:w="159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except share and per share data)</w:t>
            </w:r>
          </w:p>
        </w:tc>
        <w:tc>
          <w:tcPr>
            <w:tcW w:w="154"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2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center"/>
              <w:rPr/>
            </w:pPr>
            <w:r>
              <w:rPr/>
              <w:t>​</w:t>
            </w:r>
          </w:p>
        </w:tc>
      </w:tr>
      <w:tr>
        <w:trPr/>
        <w:tc>
          <w:tcPr>
            <w:tcW w:w="159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c>
          <w:tcPr>
            <w:tcW w:w="8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2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2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Temporary</w:t>
            </w:r>
          </w:p>
        </w:tc>
      </w:tr>
      <w:tr>
        <w:trPr/>
        <w:tc>
          <w:tcPr>
            <w:tcW w:w="159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 xml:space="preserve">  </w:t>
            </w:r>
          </w:p>
        </w:tc>
        <w:tc>
          <w:tcPr>
            <w:tcW w:w="80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226" w:type="dxa"/>
            <w:tcBorders/>
            <w:vAlign w:val="center"/>
          </w:tcPr>
          <w:p>
            <w:pPr>
              <w:pStyle w:val="TableContents"/>
              <w:bidi w:val="0"/>
              <w:spacing w:before="0" w:after="0"/>
              <w:ind w:left="0" w:right="0" w:hanging="0"/>
              <w:jc w:val="left"/>
              <w:rPr/>
            </w:pPr>
            <w:r>
              <w:rPr/>
              <w:t>  ​</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26" w:type="dxa"/>
            <w:tcBorders/>
            <w:vAlign w:val="center"/>
          </w:tcPr>
          <w:p>
            <w:pPr>
              <w:pStyle w:val="TableContents"/>
              <w:bidi w:val="0"/>
              <w:spacing w:before="0" w:after="0"/>
              <w:ind w:left="0" w:right="0" w:hanging="0"/>
              <w:jc w:val="left"/>
              <w:rPr/>
            </w:pPr>
            <w:r>
              <w:rPr/>
              <w:t>  ​</w:t>
            </w:r>
          </w:p>
        </w:tc>
        <w:tc>
          <w:tcPr>
            <w:tcW w:w="102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26" w:type="dxa"/>
            <w:tcBorders/>
            <w:vAlign w:val="center"/>
          </w:tcPr>
          <w:p>
            <w:pPr>
              <w:pStyle w:val="TableContents"/>
              <w:bidi w:val="0"/>
              <w:spacing w:before="0" w:after="0"/>
              <w:ind w:left="0" w:right="0" w:hanging="0"/>
              <w:jc w:val="left"/>
              <w:rPr/>
            </w:pPr>
            <w:r>
              <w:rPr/>
              <w:t>  ​</w:t>
            </w:r>
          </w:p>
        </w:tc>
        <w:tc>
          <w:tcPr>
            <w:tcW w:w="126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26" w:type="dxa"/>
            <w:tcBorders/>
            <w:vAlign w:val="center"/>
          </w:tcPr>
          <w:p>
            <w:pPr>
              <w:pStyle w:val="TableContents"/>
              <w:bidi w:val="0"/>
              <w:spacing w:before="0" w:after="0"/>
              <w:ind w:left="0" w:right="0" w:hanging="0"/>
              <w:jc w:val="left"/>
              <w:rPr/>
            </w:pPr>
            <w:r>
              <w:rPr/>
              <w:t>  ​</w:t>
            </w:r>
          </w:p>
        </w:tc>
        <w:tc>
          <w:tcPr>
            <w:tcW w:w="120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(NCI)</w:t>
            </w:r>
          </w:p>
        </w:tc>
        <w:tc>
          <w:tcPr>
            <w:tcW w:w="226" w:type="dxa"/>
            <w:tcBorders/>
            <w:vAlign w:val="center"/>
          </w:tcPr>
          <w:p>
            <w:pPr>
              <w:pStyle w:val="TableContents"/>
              <w:bidi w:val="0"/>
              <w:spacing w:before="0" w:after="0"/>
              <w:ind w:left="0" w:right="0" w:hanging="0"/>
              <w:jc w:val="left"/>
              <w:rPr/>
            </w:pPr>
            <w:r>
              <w:rPr/>
              <w:t>  ​</w:t>
            </w:r>
          </w:p>
        </w:tc>
        <w:tc>
          <w:tcPr>
            <w:tcW w:w="102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54" w:type="dxa"/>
            <w:tcBorders/>
            <w:vAlign w:val="center"/>
          </w:tcPr>
          <w:p>
            <w:pPr>
              <w:pStyle w:val="TableContents"/>
              <w:bidi w:val="0"/>
              <w:spacing w:before="0" w:after="0"/>
              <w:ind w:left="0" w:right="0" w:hanging="0"/>
              <w:jc w:val="left"/>
              <w:rPr/>
            </w:pPr>
            <w:r>
              <w:rPr/>
              <w:t xml:space="preserve">  </w:t>
            </w:r>
          </w:p>
        </w:tc>
        <w:tc>
          <w:tcPr>
            <w:tcW w:w="97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59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on December 27, 2025</w:t>
            </w:r>
          </w:p>
        </w:tc>
        <w:tc>
          <w:tcPr>
            <w:tcW w:w="154"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56,592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444,828</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2,559,375</w:t>
            </w:r>
          </w:p>
        </w:tc>
        <w:tc>
          <w:tcPr>
            <w:tcW w:w="226"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1,564</w:t>
            </w:r>
          </w:p>
        </w:tc>
        <w:tc>
          <w:tcPr>
            <w:tcW w:w="2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21,885</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3,084,244</w:t>
            </w:r>
          </w:p>
        </w:tc>
        <w:tc>
          <w:tcPr>
            <w:tcW w:w="15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4,463</w:t>
            </w:r>
          </w:p>
        </w:tc>
      </w:tr>
      <w:tr>
        <w:trPr/>
        <w:tc>
          <w:tcPr>
            <w:tcW w:w="15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earnings</w:t>
            </w:r>
          </w:p>
        </w:tc>
        <w:tc>
          <w:tcPr>
            <w:tcW w:w="154"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50,774</w:t>
            </w:r>
          </w:p>
        </w:tc>
        <w:tc>
          <w:tcPr>
            <w:tcW w:w="226" w:type="dxa"/>
            <w:tcBorders/>
            <w:vAlign w:val="center"/>
          </w:tcPr>
          <w:p>
            <w:pPr>
              <w:pStyle w:val="TableContents"/>
              <w:bidi w:val="0"/>
              <w:spacing w:before="0" w:after="0"/>
              <w:ind w:left="0" w:right="0" w:hanging="0"/>
              <w:jc w:val="left"/>
              <w:rPr/>
            </w:pPr>
            <w:r>
              <w:rPr/>
              <w:t>​</w:t>
            </w:r>
          </w:p>
        </w:tc>
        <w:tc>
          <w:tcPr>
            <w:tcW w:w="390"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51,079</w:t>
            </w:r>
          </w:p>
        </w:tc>
        <w:tc>
          <w:tcPr>
            <w:tcW w:w="15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r>
      <w:tr>
        <w:trPr/>
        <w:tc>
          <w:tcPr>
            <w:tcW w:w="15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154"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(1,220)</w:t>
            </w:r>
          </w:p>
        </w:tc>
        <w:tc>
          <w:tcPr>
            <w:tcW w:w="2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(1,226)</w:t>
            </w:r>
          </w:p>
        </w:tc>
        <w:tc>
          <w:tcPr>
            <w:tcW w:w="15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w:t>
            </w:r>
          </w:p>
        </w:tc>
      </w:tr>
      <w:tr>
        <w:trPr/>
        <w:tc>
          <w:tcPr>
            <w:tcW w:w="15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on debt securities</w:t>
            </w:r>
          </w:p>
        </w:tc>
        <w:tc>
          <w:tcPr>
            <w:tcW w:w="154"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90"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w:t>
            </w:r>
          </w:p>
        </w:tc>
        <w:tc>
          <w:tcPr>
            <w:tcW w:w="2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w:t>
            </w:r>
          </w:p>
        </w:tc>
        <w:tc>
          <w:tcPr>
            <w:tcW w:w="15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r>
      <w:tr>
        <w:trPr/>
        <w:tc>
          <w:tcPr>
            <w:tcW w:w="15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Distributions to NCI</w:t>
            </w:r>
          </w:p>
        </w:tc>
        <w:tc>
          <w:tcPr>
            <w:tcW w:w="154"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(1,082)</w:t>
            </w:r>
          </w:p>
        </w:tc>
        <w:tc>
          <w:tcPr>
            <w:tcW w:w="15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0"/>
              <w:ind w:left="0" w:right="0" w:hanging="0"/>
              <w:jc w:val="right"/>
              <w:rPr/>
            </w:pPr>
            <w:r>
              <w:rPr/>
              <w:t>​</w:t>
            </w:r>
          </w:p>
        </w:tc>
      </w:tr>
      <w:tr>
        <w:trPr/>
        <w:tc>
          <w:tcPr>
            <w:tcW w:w="15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remaining NCI of subsidiary</w:t>
            </w:r>
          </w:p>
        </w:tc>
        <w:tc>
          <w:tcPr>
            <w:tcW w:w="154"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90"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(3,937)</w:t>
            </w:r>
          </w:p>
        </w:tc>
      </w:tr>
      <w:tr>
        <w:trPr/>
        <w:tc>
          <w:tcPr>
            <w:tcW w:w="15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154"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w:t>
            </w:r>
          </w:p>
        </w:tc>
        <w:tc>
          <w:tcPr>
            <w:tcW w:w="15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right"/>
              <w:rPr/>
            </w:pPr>
            <w:r>
              <w:rPr/>
              <w:t>​</w:t>
            </w:r>
          </w:p>
        </w:tc>
      </w:tr>
      <w:tr>
        <w:trPr/>
        <w:tc>
          <w:tcPr>
            <w:tcW w:w="15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dividends - $0.36 per share - quarterly</w:t>
            </w:r>
          </w:p>
        </w:tc>
        <w:tc>
          <w:tcPr>
            <w:tcW w:w="154"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(20,456)</w:t>
            </w:r>
          </w:p>
        </w:tc>
        <w:tc>
          <w:tcPr>
            <w:tcW w:w="226" w:type="dxa"/>
            <w:tcBorders/>
            <w:vAlign w:val="center"/>
          </w:tcPr>
          <w:p>
            <w:pPr>
              <w:pStyle w:val="TableContents"/>
              <w:bidi w:val="0"/>
              <w:spacing w:before="0" w:after="0"/>
              <w:ind w:left="0" w:right="0" w:hanging="0"/>
              <w:jc w:val="left"/>
              <w:rPr/>
            </w:pPr>
            <w:r>
              <w:rPr/>
              <w:t>​</w:t>
            </w:r>
          </w:p>
        </w:tc>
        <w:tc>
          <w:tcPr>
            <w:tcW w:w="390"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(20,456)</w:t>
            </w:r>
          </w:p>
        </w:tc>
        <w:tc>
          <w:tcPr>
            <w:tcW w:w="15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r>
      <w:tr>
        <w:trPr/>
        <w:tc>
          <w:tcPr>
            <w:tcW w:w="15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7,575 shares under employee stock purchase plan</w:t>
            </w:r>
          </w:p>
        </w:tc>
        <w:tc>
          <w:tcPr>
            <w:tcW w:w="154"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578</w:t>
            </w:r>
          </w:p>
        </w:tc>
        <w:tc>
          <w:tcPr>
            <w:tcW w:w="15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0"/>
              <w:ind w:left="0" w:right="0" w:hanging="0"/>
              <w:jc w:val="right"/>
              <w:rPr/>
            </w:pPr>
            <w:r>
              <w:rPr/>
              <w:t>​</w:t>
            </w:r>
          </w:p>
        </w:tc>
      </w:tr>
      <w:tr>
        <w:trPr/>
        <w:tc>
          <w:tcPr>
            <w:tcW w:w="15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144,425 shares under stock grant programs</w:t>
            </w:r>
          </w:p>
        </w:tc>
        <w:tc>
          <w:tcPr>
            <w:tcW w:w="154"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1,896</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w:t>
            </w:r>
          </w:p>
        </w:tc>
        <w:tc>
          <w:tcPr>
            <w:tcW w:w="226" w:type="dxa"/>
            <w:tcBorders/>
            <w:vAlign w:val="center"/>
          </w:tcPr>
          <w:p>
            <w:pPr>
              <w:pStyle w:val="TableContents"/>
              <w:bidi w:val="0"/>
              <w:spacing w:before="0" w:after="0"/>
              <w:ind w:left="0" w:right="0" w:hanging="0"/>
              <w:jc w:val="left"/>
              <w:rPr/>
            </w:pPr>
            <w:r>
              <w:rPr/>
              <w:t>​</w:t>
            </w:r>
          </w:p>
        </w:tc>
        <w:tc>
          <w:tcPr>
            <w:tcW w:w="390"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2,078</w:t>
            </w:r>
          </w:p>
        </w:tc>
        <w:tc>
          <w:tcPr>
            <w:tcW w:w="15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r>
      <w:tr>
        <w:trPr/>
        <w:tc>
          <w:tcPr>
            <w:tcW w:w="15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70,871 shares under deferred compensation plans</w:t>
            </w:r>
          </w:p>
        </w:tc>
        <w:tc>
          <w:tcPr>
            <w:tcW w:w="154"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0"/>
              <w:ind w:left="0" w:right="0" w:hanging="0"/>
              <w:jc w:val="right"/>
              <w:rPr/>
            </w:pPr>
            <w:r>
              <w:rPr/>
              <w:t>​</w:t>
            </w:r>
          </w:p>
        </w:tc>
      </w:tr>
      <w:tr>
        <w:trPr/>
        <w:tc>
          <w:tcPr>
            <w:tcW w:w="15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334,541 shares</w:t>
            </w:r>
          </w:p>
        </w:tc>
        <w:tc>
          <w:tcPr>
            <w:tcW w:w="154"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(1,193)</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(28,501)</w:t>
            </w:r>
          </w:p>
        </w:tc>
        <w:tc>
          <w:tcPr>
            <w:tcW w:w="226" w:type="dxa"/>
            <w:tcBorders/>
            <w:vAlign w:val="center"/>
          </w:tcPr>
          <w:p>
            <w:pPr>
              <w:pStyle w:val="TableContents"/>
              <w:bidi w:val="0"/>
              <w:spacing w:before="0" w:after="0"/>
              <w:ind w:left="0" w:right="0" w:hanging="0"/>
              <w:jc w:val="left"/>
              <w:rPr/>
            </w:pPr>
            <w:r>
              <w:rPr/>
              <w:t>​</w:t>
            </w:r>
          </w:p>
        </w:tc>
        <w:tc>
          <w:tcPr>
            <w:tcW w:w="390"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(30,029)</w:t>
            </w:r>
          </w:p>
        </w:tc>
        <w:tc>
          <w:tcPr>
            <w:tcW w:w="15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r>
      <w:tr>
        <w:trPr/>
        <w:tc>
          <w:tcPr>
            <w:tcW w:w="15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Expense associated with share-based compensation arrangements</w:t>
            </w:r>
          </w:p>
        </w:tc>
        <w:tc>
          <w:tcPr>
            <w:tcW w:w="154"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8,409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8,409</w:t>
            </w:r>
          </w:p>
        </w:tc>
        <w:tc>
          <w:tcPr>
            <w:tcW w:w="15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0"/>
              <w:ind w:left="0" w:right="0" w:hanging="0"/>
              <w:jc w:val="right"/>
              <w:rPr/>
            </w:pPr>
            <w:r>
              <w:rPr/>
              <w:t>​</w:t>
            </w:r>
          </w:p>
        </w:tc>
      </w:tr>
      <w:tr>
        <w:trPr/>
        <w:tc>
          <w:tcPr>
            <w:tcW w:w="15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 under deferred compensation plans</w:t>
            </w:r>
          </w:p>
        </w:tc>
        <w:tc>
          <w:tcPr>
            <w:tcW w:w="154"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605"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6,881</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90"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95"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6,881</w:t>
            </w:r>
          </w:p>
        </w:tc>
        <w:tc>
          <w:tcPr>
            <w:tcW w:w="154" w:type="dxa"/>
            <w:tcBorders/>
            <w:vAlign w:val="center"/>
          </w:tcPr>
          <w:p>
            <w:pPr>
              <w:pStyle w:val="TableContents"/>
              <w:bidi w:val="0"/>
              <w:spacing w:before="0" w:after="0"/>
              <w:ind w:left="0" w:right="0" w:hanging="0"/>
              <w:jc w:val="left"/>
              <w:rPr/>
            </w:pPr>
            <w:r>
              <w:rPr/>
              <w:t>​</w:t>
            </w:r>
          </w:p>
        </w:tc>
        <w:tc>
          <w:tcPr>
            <w:tcW w:w="26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718"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r>
      <w:tr>
        <w:trPr/>
        <w:tc>
          <w:tcPr>
            <w:tcW w:w="159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on March 28, 2026</w:t>
            </w:r>
          </w:p>
        </w:tc>
        <w:tc>
          <w:tcPr>
            <w:tcW w:w="154"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56,480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461,153</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2,561,230</w:t>
            </w:r>
          </w:p>
        </w:tc>
        <w:tc>
          <w:tcPr>
            <w:tcW w:w="226"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726</w:t>
            </w:r>
          </w:p>
        </w:tc>
        <w:tc>
          <w:tcPr>
            <w:tcW w:w="2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21,102</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3,100,691</w:t>
            </w:r>
          </w:p>
        </w:tc>
        <w:tc>
          <w:tcPr>
            <w:tcW w:w="15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485</w:t>
            </w:r>
          </w:p>
        </w:tc>
      </w:tr>
      <w:tr>
        <w:trPr/>
        <w:tc>
          <w:tcPr>
            <w:tcW w:w="15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earnings</w:t>
            </w:r>
          </w:p>
        </w:tc>
        <w:tc>
          <w:tcPr>
            <w:tcW w:w="154"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82,872</w:t>
            </w:r>
          </w:p>
        </w:tc>
        <w:tc>
          <w:tcPr>
            <w:tcW w:w="226" w:type="dxa"/>
            <w:tcBorders/>
            <w:vAlign w:val="center"/>
          </w:tcPr>
          <w:p>
            <w:pPr>
              <w:pStyle w:val="TableContents"/>
              <w:bidi w:val="0"/>
              <w:spacing w:before="0" w:after="0"/>
              <w:ind w:left="0" w:right="0" w:hanging="0"/>
              <w:jc w:val="left"/>
              <w:rPr/>
            </w:pPr>
            <w:r>
              <w:rPr/>
              <w:t>​</w:t>
            </w:r>
          </w:p>
        </w:tc>
        <w:tc>
          <w:tcPr>
            <w:tcW w:w="390"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83,171</w:t>
            </w:r>
          </w:p>
        </w:tc>
        <w:tc>
          <w:tcPr>
            <w:tcW w:w="15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r>
      <w:tr>
        <w:trPr/>
        <w:tc>
          <w:tcPr>
            <w:tcW w:w="15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154"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w:t>
            </w:r>
          </w:p>
        </w:tc>
        <w:tc>
          <w:tcPr>
            <w:tcW w:w="2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364</w:t>
            </w:r>
          </w:p>
        </w:tc>
        <w:tc>
          <w:tcPr>
            <w:tcW w:w="15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0"/>
              <w:ind w:left="0" w:right="0" w:hanging="0"/>
              <w:jc w:val="right"/>
              <w:rPr/>
            </w:pPr>
            <w:r>
              <w:rPr/>
              <w:t>​</w:t>
            </w:r>
          </w:p>
        </w:tc>
      </w:tr>
      <w:tr>
        <w:trPr/>
        <w:tc>
          <w:tcPr>
            <w:tcW w:w="15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loss on debt securities</w:t>
            </w:r>
          </w:p>
        </w:tc>
        <w:tc>
          <w:tcPr>
            <w:tcW w:w="154"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90"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(613)</w:t>
            </w:r>
          </w:p>
        </w:tc>
        <w:tc>
          <w:tcPr>
            <w:tcW w:w="2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(613)</w:t>
            </w:r>
          </w:p>
        </w:tc>
        <w:tc>
          <w:tcPr>
            <w:tcW w:w="15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r>
      <w:tr>
        <w:trPr/>
        <w:tc>
          <w:tcPr>
            <w:tcW w:w="15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154"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(1,169)</w:t>
            </w:r>
          </w:p>
        </w:tc>
        <w:tc>
          <w:tcPr>
            <w:tcW w:w="15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right"/>
              <w:rPr/>
            </w:pPr>
            <w:r>
              <w:rPr/>
              <w:t>​</w:t>
            </w:r>
          </w:p>
        </w:tc>
      </w:tr>
      <w:tr>
        <w:trPr/>
        <w:tc>
          <w:tcPr>
            <w:tcW w:w="15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dividends - $0.36 per share - quarterly</w:t>
            </w:r>
          </w:p>
        </w:tc>
        <w:tc>
          <w:tcPr>
            <w:tcW w:w="154"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(19,934)</w:t>
            </w:r>
          </w:p>
        </w:tc>
        <w:tc>
          <w:tcPr>
            <w:tcW w:w="226" w:type="dxa"/>
            <w:tcBorders/>
            <w:vAlign w:val="center"/>
          </w:tcPr>
          <w:p>
            <w:pPr>
              <w:pStyle w:val="TableContents"/>
              <w:bidi w:val="0"/>
              <w:spacing w:before="0" w:after="0"/>
              <w:ind w:left="0" w:right="0" w:hanging="0"/>
              <w:jc w:val="left"/>
              <w:rPr/>
            </w:pPr>
            <w:r>
              <w:rPr/>
              <w:t>​</w:t>
            </w:r>
          </w:p>
        </w:tc>
        <w:tc>
          <w:tcPr>
            <w:tcW w:w="390"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(19,934)</w:t>
            </w:r>
          </w:p>
        </w:tc>
        <w:tc>
          <w:tcPr>
            <w:tcW w:w="15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r>
      <w:tr>
        <w:trPr/>
        <w:tc>
          <w:tcPr>
            <w:tcW w:w="15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8,452 shares under employee stock purchase plan</w:t>
            </w:r>
          </w:p>
        </w:tc>
        <w:tc>
          <w:tcPr>
            <w:tcW w:w="154"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663</w:t>
            </w:r>
          </w:p>
        </w:tc>
        <w:tc>
          <w:tcPr>
            <w:tcW w:w="15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0"/>
              <w:ind w:left="0" w:right="0" w:hanging="0"/>
              <w:jc w:val="right"/>
              <w:rPr/>
            </w:pPr>
            <w:r>
              <w:rPr/>
              <w:t>​</w:t>
            </w:r>
          </w:p>
        </w:tc>
      </w:tr>
      <w:tr>
        <w:trPr/>
        <w:tc>
          <w:tcPr>
            <w:tcW w:w="15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forfeitures of 2,267 shares under stock grant programs</w:t>
            </w:r>
          </w:p>
        </w:tc>
        <w:tc>
          <w:tcPr>
            <w:tcW w:w="154"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226" w:type="dxa"/>
            <w:tcBorders/>
            <w:vAlign w:val="center"/>
          </w:tcPr>
          <w:p>
            <w:pPr>
              <w:pStyle w:val="TableContents"/>
              <w:bidi w:val="0"/>
              <w:spacing w:before="0" w:after="0"/>
              <w:ind w:left="0" w:right="0" w:hanging="0"/>
              <w:jc w:val="left"/>
              <w:rPr/>
            </w:pPr>
            <w:r>
              <w:rPr/>
              <w:t>​</w:t>
            </w:r>
          </w:p>
        </w:tc>
        <w:tc>
          <w:tcPr>
            <w:tcW w:w="390"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15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r>
      <w:tr>
        <w:trPr/>
        <w:tc>
          <w:tcPr>
            <w:tcW w:w="15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10,305 shares under deferred compensation plans</w:t>
            </w:r>
          </w:p>
        </w:tc>
        <w:tc>
          <w:tcPr>
            <w:tcW w:w="154"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0"/>
              <w:ind w:left="0" w:right="0" w:hanging="0"/>
              <w:jc w:val="right"/>
              <w:rPr/>
            </w:pPr>
            <w:r>
              <w:rPr/>
              <w:t>​</w:t>
            </w:r>
          </w:p>
        </w:tc>
      </w:tr>
      <w:tr>
        <w:trPr/>
        <w:tc>
          <w:tcPr>
            <w:tcW w:w="15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1,335,229 shares</w:t>
            </w:r>
          </w:p>
        </w:tc>
        <w:tc>
          <w:tcPr>
            <w:tcW w:w="154"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(110,300)</w:t>
            </w:r>
          </w:p>
        </w:tc>
        <w:tc>
          <w:tcPr>
            <w:tcW w:w="226" w:type="dxa"/>
            <w:tcBorders/>
            <w:vAlign w:val="center"/>
          </w:tcPr>
          <w:p>
            <w:pPr>
              <w:pStyle w:val="TableContents"/>
              <w:bidi w:val="0"/>
              <w:spacing w:before="0" w:after="0"/>
              <w:ind w:left="0" w:right="0" w:hanging="0"/>
              <w:jc w:val="left"/>
              <w:rPr/>
            </w:pPr>
            <w:r>
              <w:rPr/>
              <w:t>​</w:t>
            </w:r>
          </w:p>
        </w:tc>
        <w:tc>
          <w:tcPr>
            <w:tcW w:w="390"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(111,819)</w:t>
            </w:r>
          </w:p>
        </w:tc>
        <w:tc>
          <w:tcPr>
            <w:tcW w:w="15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right"/>
              <w:rPr/>
            </w:pPr>
            <w:r>
              <w:rPr/>
              <w:t>​</w:t>
            </w:r>
          </w:p>
        </w:tc>
      </w:tr>
      <w:tr>
        <w:trPr/>
        <w:tc>
          <w:tcPr>
            <w:tcW w:w="15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Expense associated with share-based compensation arrangements</w:t>
            </w:r>
          </w:p>
        </w:tc>
        <w:tc>
          <w:tcPr>
            <w:tcW w:w="154"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6,948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6,948</w:t>
            </w:r>
          </w:p>
        </w:tc>
        <w:tc>
          <w:tcPr>
            <w:tcW w:w="15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0"/>
              <w:ind w:left="0" w:right="0" w:hanging="0"/>
              <w:jc w:val="right"/>
              <w:rPr/>
            </w:pPr>
            <w:r>
              <w:rPr/>
              <w:t>​</w:t>
            </w:r>
          </w:p>
        </w:tc>
      </w:tr>
      <w:tr>
        <w:trPr/>
        <w:tc>
          <w:tcPr>
            <w:tcW w:w="15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 under deferred compensation plans</w:t>
            </w:r>
          </w:p>
        </w:tc>
        <w:tc>
          <w:tcPr>
            <w:tcW w:w="154"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605"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1,094</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90"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95"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1,094</w:t>
            </w:r>
          </w:p>
        </w:tc>
        <w:tc>
          <w:tcPr>
            <w:tcW w:w="154" w:type="dxa"/>
            <w:tcBorders/>
            <w:vAlign w:val="center"/>
          </w:tcPr>
          <w:p>
            <w:pPr>
              <w:pStyle w:val="TableContents"/>
              <w:bidi w:val="0"/>
              <w:spacing w:before="0" w:after="0"/>
              <w:ind w:left="0" w:right="0" w:hanging="0"/>
              <w:jc w:val="left"/>
              <w:rPr/>
            </w:pPr>
            <w:r>
              <w:rPr/>
              <w:t>​</w:t>
            </w:r>
          </w:p>
        </w:tc>
        <w:tc>
          <w:tcPr>
            <w:tcW w:w="26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718"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r>
      <w:tr>
        <w:trPr/>
        <w:tc>
          <w:tcPr>
            <w:tcW w:w="159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on June 27, 2026</w:t>
            </w:r>
          </w:p>
        </w:tc>
        <w:tc>
          <w:tcPr>
            <w:tcW w:w="154"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55,161</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468,534</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2,513,870</w:t>
            </w:r>
          </w:p>
        </w:tc>
        <w:tc>
          <w:tcPr>
            <w:tcW w:w="226" w:type="dxa"/>
            <w:tcBorders/>
            <w:shd w:fill="CCEEFF" w:val="clear"/>
            <w:vAlign w:val="center"/>
          </w:tcPr>
          <w:p>
            <w:pPr>
              <w:pStyle w:val="TableContents"/>
              <w:bidi w:val="0"/>
              <w:spacing w:before="0" w:after="0"/>
              <w:ind w:left="0" w:right="0" w:hanging="0"/>
              <w:jc w:val="left"/>
              <w:rPr/>
            </w:pPr>
            <w:r>
              <w:rPr/>
              <w:t>​</w:t>
            </w:r>
          </w:p>
        </w:tc>
        <w:tc>
          <w:tcPr>
            <w:tcW w:w="3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w:t>
            </w:r>
          </w:p>
        </w:tc>
        <w:tc>
          <w:tcPr>
            <w:tcW w:w="226" w:type="dxa"/>
            <w:tcBorders/>
            <w:shd w:fill="CCEEFF" w:val="clear"/>
            <w:vAlign w:val="center"/>
          </w:tcPr>
          <w:p>
            <w:pPr>
              <w:pStyle w:val="TableContents"/>
              <w:bidi w:val="0"/>
              <w:spacing w:before="0" w:after="0"/>
              <w:ind w:left="0" w:right="0" w:hanging="0"/>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21,927</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3,059,443</w:t>
            </w:r>
          </w:p>
        </w:tc>
        <w:tc>
          <w:tcPr>
            <w:tcW w:w="154"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18"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Times New Roman;Times;serif" w:hAnsi="Times New Roman;Times;serif"/>
                <w:b/>
                <w:sz w:val="16"/>
              </w:rPr>
            </w:pPr>
            <w:r>
              <w:rPr>
                <w:rFonts w:ascii="Times New Roman;Times;serif" w:hAnsi="Times New Roman;Times;serif"/>
                <w:b/>
                <w:sz w:val="16"/>
              </w:rPr>
              <w:t>485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SHAREHOLDERS’ EQUITY,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57" w:name="Tc_LDA7JCXFC0OB2G-jJpeWKA_30_20"/>
      <w:bookmarkStart w:id="458" w:name="Tc_vpBhyjpD10acN2B4rWdfTQ_30_17"/>
      <w:bookmarkStart w:id="459" w:name="Tc_-vI66oTfBkaJqd2YcKt_JQ_30_14"/>
      <w:bookmarkStart w:id="460" w:name="Tc_onySnqrJ6UmduaYLr3L3QA_30_11"/>
      <w:bookmarkStart w:id="461" w:name="Tc_VOTEUrrvb0ufXXJh0d8mKQ_30_8"/>
      <w:bookmarkStart w:id="462" w:name="Tc_Kt9-Se2HkUCWPwERJGzVUg_30_5"/>
      <w:bookmarkStart w:id="463" w:name="Tc_dAcxegiYpEmpFba41h9zWQ_30_2"/>
      <w:bookmarkStart w:id="464" w:name="Tc_VrLasdC5RkSIB_GaypqTCw_30_0"/>
      <w:bookmarkStart w:id="465" w:name="Tc_VF8hosEAKESZEAsTbKjd-w_29_0"/>
      <w:bookmarkStart w:id="466" w:name="Tc_cGcCa3Pk9EeC1J6IHiLGmg_28_0"/>
      <w:bookmarkStart w:id="467" w:name="Tc_AK_brSOnx0-lM6WZsPlR8A_27_0"/>
      <w:bookmarkStart w:id="468" w:name="Tc_hOePnlR2i0y6P7Ow0UpxEw_26_18"/>
      <w:bookmarkStart w:id="469" w:name="Tc_dZ_lYt0crkOMlOdHIzhijg_26_0"/>
      <w:bookmarkStart w:id="470" w:name="Tc_XE1JYuIn30aMwJ-3uE8Uyg_25_0"/>
      <w:bookmarkStart w:id="471" w:name="Tc_JK4ueLT5cU-RumCQd3RZBw_24_0"/>
      <w:bookmarkStart w:id="472" w:name="Tc_4O6fYYV4BU-xu7t7qYF1Fg_23_0"/>
      <w:bookmarkStart w:id="473" w:name="Tc_f7988S9oeUuU5V5Dhg9VGA_22_0"/>
      <w:bookmarkStart w:id="474" w:name="Tc_rHcvtghmiU6Qp5mh0c9Muw_21_0"/>
      <w:bookmarkStart w:id="475" w:name="Tc_zF4t3FCb20uZetY8E1vwrA_20_0"/>
      <w:bookmarkStart w:id="476" w:name="Tc_yK3CQYZPUEWVO7Z04JQ2cw_19_0"/>
      <w:bookmarkStart w:id="477" w:name="Tc_y4TNnCwJY0KBwg9d9F7MlA_18_0"/>
      <w:bookmarkStart w:id="478" w:name="Tc_e-Q1-XEGaEWM_tudiBuM0A_17_20"/>
      <w:bookmarkStart w:id="479" w:name="Tc_8wQbmNd-b0y6Q2nYkL3Smg_17_17"/>
      <w:bookmarkStart w:id="480" w:name="Tc_h6mjbKbeqEWThrj_03F9eg_17_14"/>
      <w:bookmarkStart w:id="481" w:name="Tc_9ChetumyckizwQpdckjUgQ_17_11"/>
      <w:bookmarkStart w:id="482" w:name="Tc_Koa9F2M5lEezrfM1-gjudg_17_8"/>
      <w:bookmarkStart w:id="483" w:name="Tc_3ZtdttOdVUWTruUaKQrmig_17_5"/>
      <w:bookmarkStart w:id="484" w:name="Tc_4iRzWnehNUqTM9ctk0xoHA_17_2"/>
      <w:bookmarkStart w:id="485" w:name="Tc_vBB0QxH2MkWaHIIPK2a0Pw_17_0"/>
      <w:bookmarkStart w:id="486" w:name="Tc_BLg_QPVvyUa-ungnLXGN8g_16_0"/>
      <w:bookmarkStart w:id="487" w:name="Tc_AkQ79ukx9ECl2NuhPA9gNw_15_0"/>
      <w:bookmarkStart w:id="488" w:name="Tc_kTvyypMaKEC1pRqRlUExmA_14_0"/>
      <w:bookmarkStart w:id="489" w:name="Tc_DU-Ye7cz2kad1-x9Yz_uyQ_13_18"/>
      <w:bookmarkStart w:id="490" w:name="Tc_51mUzj3qIkG0znpYy8zfag_13_0"/>
      <w:bookmarkStart w:id="491" w:name="Tc_0e6zUT0uHkCYTGK7jCn9pg_12_0"/>
      <w:bookmarkStart w:id="492" w:name="Tc__JNpv4tPOkS4vpAvjch3kQ_11_0"/>
      <w:bookmarkStart w:id="493" w:name="Tc_JOxr1AMDU0Od_be9HSYBRg_10_0"/>
      <w:bookmarkStart w:id="494" w:name="Tc_MOuyPAnn0Ey1wdnukDE25Q_9_0"/>
      <w:bookmarkStart w:id="495" w:name="Tc_zwaPJ4OkOU6wrEomc64ghA_8_0"/>
      <w:bookmarkStart w:id="496" w:name="Tc_F09A386nAE2_ZT9_mHbn2w_7_0"/>
      <w:bookmarkStart w:id="497" w:name="Tc_zSDuRjvfLUy6OeuvrCRDnA_6_0"/>
      <w:bookmarkStart w:id="498" w:name="Tc_wr-0sKbnE0ON_7cXMDvllg_5_20"/>
      <w:bookmarkStart w:id="499" w:name="Tc_qbNTAzd7D0CSiKy-ih3z8Q_5_17"/>
      <w:bookmarkStart w:id="500" w:name="Tc_7tiJ_4Rq8ku61XCb7r_QsQ_5_14"/>
      <w:bookmarkStart w:id="501" w:name="Tc_VeiUDmXQjEuDSFyD0zWGlQ_5_11"/>
      <w:bookmarkStart w:id="502" w:name="Tc_L_vHq2FAq0STaZTi6KZohg_5_8"/>
      <w:bookmarkStart w:id="503" w:name="Tc_a5E0XlZqHkCvVrEbB_rMfA_5_5"/>
      <w:bookmarkStart w:id="504" w:name="Tc_L6huhdB3lEysbzMsYLYs8Q_5_2"/>
      <w:bookmarkStart w:id="505" w:name="Tc_R2InldebhU-aJ5nq22UH0g_5_0"/>
      <w:bookmarkStart w:id="506" w:name="Tc_QA_GZoQZKkKdzc6yT7bBYg_4_20"/>
      <w:bookmarkStart w:id="507" w:name="Tc_4lW74Ow6pkS39H52ibtt4w_4_17"/>
      <w:bookmarkStart w:id="508" w:name="Tc_Yk1H88FCpkKjQjqtzvtEwQ_4_14"/>
      <w:bookmarkStart w:id="509" w:name="Tc_u_qrOkx850KdCaWNnTsX8A_4_11"/>
      <w:bookmarkStart w:id="510" w:name="Tc_umaicz4r9kuhK2f0H28Ekw_4_8"/>
      <w:bookmarkStart w:id="511" w:name="Tc_fxRgvc1QSkukVFyOmXupCg_4_5"/>
      <w:bookmarkStart w:id="512" w:name="Tc_BDQrJ9rWl0u_dGnetpHHkA_4_2"/>
      <w:bookmarkStart w:id="513" w:name="Tc_4podPZDfhUO6JLMGfRs69g_3_20"/>
      <w:bookmarkStart w:id="514" w:name="Tc_7BVSK39eMEyh_zghjXJyIQ_3_14"/>
      <w:bookmarkStart w:id="515" w:name="Tc_pRjA6bhCoUOcxlHr6w0g7Q_3_11"/>
      <w:bookmarkStart w:id="516" w:name="Tc_fsSeIKmoHESQoO-ym9sumg_3_8"/>
      <w:bookmarkStart w:id="517" w:name="Tc_dtzFYtnzEEaEfgnr9rw0sg_3_5"/>
      <w:bookmarkStart w:id="518" w:name="Tc_CYueXJ4WK0W98FUQaoH8dw_3_2"/>
      <w:bookmarkStart w:id="519" w:name="Tc_XGpXoKT-F0OsIZSMTBfbmQ_2_11"/>
      <w:bookmarkStart w:id="520" w:name="Tc_scjKO0tHZkKdMsNmSBI6_Q_2_5"/>
      <w:bookmarkStart w:id="521" w:name="Tc_XTxKAZrLrkaDPdv3dw90WQ_2_0"/>
      <w:bookmarkStart w:id="522" w:name="Tc_1T6UoEyQDUOkbT4S7IzCcA_1_2"/>
      <w:bookmarkStart w:id="523" w:name="Tc_HlZTNKoeKkWatrfcvuTaPA_1_0"/>
      <w:bookmarkStart w:id="524" w:name="_5b178aa6_8646_41d9_b53c_84d5e0404705"/>
      <w:bookmarkStart w:id="525" w:name="Tc_LDA7JCXFC0OB2G-jJpeWKA_30_20"/>
      <w:bookmarkStart w:id="526" w:name="Tc_vpBhyjpD10acN2B4rWdfTQ_30_17"/>
      <w:bookmarkStart w:id="527" w:name="Tc_-vI66oTfBkaJqd2YcKt_JQ_30_14"/>
      <w:bookmarkStart w:id="528" w:name="Tc_onySnqrJ6UmduaYLr3L3QA_30_11"/>
      <w:bookmarkStart w:id="529" w:name="Tc_VOTEUrrvb0ufXXJh0d8mKQ_30_8"/>
      <w:bookmarkStart w:id="530" w:name="Tc_Kt9-Se2HkUCWPwERJGzVUg_30_5"/>
      <w:bookmarkStart w:id="531" w:name="Tc_dAcxegiYpEmpFba41h9zWQ_30_2"/>
      <w:bookmarkStart w:id="532" w:name="Tc_VrLasdC5RkSIB_GaypqTCw_30_0"/>
      <w:bookmarkStart w:id="533" w:name="Tc_VF8hosEAKESZEAsTbKjd-w_29_0"/>
      <w:bookmarkStart w:id="534" w:name="Tc_cGcCa3Pk9EeC1J6IHiLGmg_28_0"/>
      <w:bookmarkStart w:id="535" w:name="Tc_AK_brSOnx0-lM6WZsPlR8A_27_0"/>
      <w:bookmarkStart w:id="536" w:name="Tc_hOePnlR2i0y6P7Ow0UpxEw_26_18"/>
      <w:bookmarkStart w:id="537" w:name="Tc_dZ_lYt0crkOMlOdHIzhijg_26_0"/>
      <w:bookmarkStart w:id="538" w:name="Tc_XE1JYuIn30aMwJ-3uE8Uyg_25_0"/>
      <w:bookmarkStart w:id="539" w:name="Tc_JK4ueLT5cU-RumCQd3RZBw_24_0"/>
      <w:bookmarkStart w:id="540" w:name="Tc_4O6fYYV4BU-xu7t7qYF1Fg_23_0"/>
      <w:bookmarkStart w:id="541" w:name="Tc_f7988S9oeUuU5V5Dhg9VGA_22_0"/>
      <w:bookmarkStart w:id="542" w:name="Tc_rHcvtghmiU6Qp5mh0c9Muw_21_0"/>
      <w:bookmarkStart w:id="543" w:name="Tc_zF4t3FCb20uZetY8E1vwrA_20_0"/>
      <w:bookmarkStart w:id="544" w:name="Tc_yK3CQYZPUEWVO7Z04JQ2cw_19_0"/>
      <w:bookmarkStart w:id="545" w:name="Tc_y4TNnCwJY0KBwg9d9F7MlA_18_0"/>
      <w:bookmarkStart w:id="546" w:name="Tc_e-Q1-XEGaEWM_tudiBuM0A_17_20"/>
      <w:bookmarkStart w:id="547" w:name="Tc_8wQbmNd-b0y6Q2nYkL3Smg_17_17"/>
      <w:bookmarkStart w:id="548" w:name="Tc_h6mjbKbeqEWThrj_03F9eg_17_14"/>
      <w:bookmarkStart w:id="549" w:name="Tc_9ChetumyckizwQpdckjUgQ_17_11"/>
      <w:bookmarkStart w:id="550" w:name="Tc_Koa9F2M5lEezrfM1-gjudg_17_8"/>
      <w:bookmarkStart w:id="551" w:name="Tc_3ZtdttOdVUWTruUaKQrmig_17_5"/>
      <w:bookmarkStart w:id="552" w:name="Tc_4iRzWnehNUqTM9ctk0xoHA_17_2"/>
      <w:bookmarkStart w:id="553" w:name="Tc_vBB0QxH2MkWaHIIPK2a0Pw_17_0"/>
      <w:bookmarkStart w:id="554" w:name="Tc_BLg_QPVvyUa-ungnLXGN8g_16_0"/>
      <w:bookmarkStart w:id="555" w:name="Tc_AkQ79ukx9ECl2NuhPA9gNw_15_0"/>
      <w:bookmarkStart w:id="556" w:name="Tc_kTvyypMaKEC1pRqRlUExmA_14_0"/>
      <w:bookmarkStart w:id="557" w:name="Tc_DU-Ye7cz2kad1-x9Yz_uyQ_13_18"/>
      <w:bookmarkStart w:id="558" w:name="Tc_51mUzj3qIkG0znpYy8zfag_13_0"/>
      <w:bookmarkStart w:id="559" w:name="Tc_0e6zUT0uHkCYTGK7jCn9pg_12_0"/>
      <w:bookmarkStart w:id="560" w:name="Tc__JNpv4tPOkS4vpAvjch3kQ_11_0"/>
      <w:bookmarkStart w:id="561" w:name="Tc_JOxr1AMDU0Od_be9HSYBRg_10_0"/>
      <w:bookmarkStart w:id="562" w:name="Tc_MOuyPAnn0Ey1wdnukDE25Q_9_0"/>
      <w:bookmarkStart w:id="563" w:name="Tc_zwaPJ4OkOU6wrEomc64ghA_8_0"/>
      <w:bookmarkStart w:id="564" w:name="Tc_F09A386nAE2_ZT9_mHbn2w_7_0"/>
      <w:bookmarkStart w:id="565" w:name="Tc_zSDuRjvfLUy6OeuvrCRDnA_6_0"/>
      <w:bookmarkStart w:id="566" w:name="Tc_wr-0sKbnE0ON_7cXMDvllg_5_20"/>
      <w:bookmarkStart w:id="567" w:name="Tc_qbNTAzd7D0CSiKy-ih3z8Q_5_17"/>
      <w:bookmarkStart w:id="568" w:name="Tc_7tiJ_4Rq8ku61XCb7r_QsQ_5_14"/>
      <w:bookmarkStart w:id="569" w:name="Tc_VeiUDmXQjEuDSFyD0zWGlQ_5_11"/>
      <w:bookmarkStart w:id="570" w:name="Tc_L_vHq2FAq0STaZTi6KZohg_5_8"/>
      <w:bookmarkStart w:id="571" w:name="Tc_a5E0XlZqHkCvVrEbB_rMfA_5_5"/>
      <w:bookmarkStart w:id="572" w:name="Tc_L6huhdB3lEysbzMsYLYs8Q_5_2"/>
      <w:bookmarkStart w:id="573" w:name="Tc_R2InldebhU-aJ5nq22UH0g_5_0"/>
      <w:bookmarkStart w:id="574" w:name="Tc_QA_GZoQZKkKdzc6yT7bBYg_4_20"/>
      <w:bookmarkStart w:id="575" w:name="Tc_4lW74Ow6pkS39H52ibtt4w_4_17"/>
      <w:bookmarkStart w:id="576" w:name="Tc_Yk1H88FCpkKjQjqtzvtEwQ_4_14"/>
      <w:bookmarkStart w:id="577" w:name="Tc_u_qrOkx850KdCaWNnTsX8A_4_11"/>
      <w:bookmarkStart w:id="578" w:name="Tc_umaicz4r9kuhK2f0H28Ekw_4_8"/>
      <w:bookmarkStart w:id="579" w:name="Tc_fxRgvc1QSkukVFyOmXupCg_4_5"/>
      <w:bookmarkStart w:id="580" w:name="Tc_BDQrJ9rWl0u_dGnetpHHkA_4_2"/>
      <w:bookmarkStart w:id="581" w:name="Tc_4podPZDfhUO6JLMGfRs69g_3_20"/>
      <w:bookmarkStart w:id="582" w:name="Tc_7BVSK39eMEyh_zghjXJyIQ_3_14"/>
      <w:bookmarkStart w:id="583" w:name="Tc_pRjA6bhCoUOcxlHr6w0g7Q_3_11"/>
      <w:bookmarkStart w:id="584" w:name="Tc_fsSeIKmoHESQoO-ym9sumg_3_8"/>
      <w:bookmarkStart w:id="585" w:name="Tc_dtzFYtnzEEaEfgnr9rw0sg_3_5"/>
      <w:bookmarkStart w:id="586" w:name="Tc_CYueXJ4WK0W98FUQaoH8dw_3_2"/>
      <w:bookmarkStart w:id="587" w:name="Tc_XGpXoKT-F0OsIZSMTBfbmQ_2_11"/>
      <w:bookmarkStart w:id="588" w:name="Tc_scjKO0tHZkKdMsNmSBI6_Q_2_5"/>
      <w:bookmarkStart w:id="589" w:name="Tc_XTxKAZrLrkaDPdv3dw90WQ_2_0"/>
      <w:bookmarkStart w:id="590" w:name="Tc_1T6UoEyQDUOkbT4S7IzCcA_1_2"/>
      <w:bookmarkStart w:id="591" w:name="Tc_HlZTNKoeKkWatrfcvuTaPA_1_0"/>
      <w:bookmarkStart w:id="592" w:name="_5b178aa6_8646_41d9_b53c_84d5e0404705"/>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tbl>
      <w:tblPr>
        <w:tblW w:w="10205" w:type="dxa"/>
        <w:jc w:val="left"/>
        <w:tblInd w:w="0" w:type="dxa"/>
        <w:tblLayout w:type="fixed"/>
        <w:tblCellMar>
          <w:top w:w="0" w:type="dxa"/>
          <w:left w:w="0" w:type="dxa"/>
          <w:bottom w:w="0" w:type="dxa"/>
          <w:right w:w="0" w:type="dxa"/>
        </w:tblCellMar>
      </w:tblPr>
      <w:tblGrid>
        <w:gridCol w:w="1464"/>
        <w:gridCol w:w="226"/>
        <w:gridCol w:w="196"/>
        <w:gridCol w:w="604"/>
        <w:gridCol w:w="226"/>
        <w:gridCol w:w="196"/>
        <w:gridCol w:w="691"/>
        <w:gridCol w:w="226"/>
        <w:gridCol w:w="196"/>
        <w:gridCol w:w="826"/>
        <w:gridCol w:w="226"/>
        <w:gridCol w:w="349"/>
        <w:gridCol w:w="901"/>
        <w:gridCol w:w="226"/>
        <w:gridCol w:w="295"/>
        <w:gridCol w:w="906"/>
        <w:gridCol w:w="226"/>
        <w:gridCol w:w="196"/>
        <w:gridCol w:w="826"/>
        <w:gridCol w:w="226"/>
        <w:gridCol w:w="239"/>
        <w:gridCol w:w="738"/>
      </w:tblGrid>
      <w:tr>
        <w:trPr/>
        <w:tc>
          <w:tcPr>
            <w:tcW w:w="1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929640" cy="175260"/>
                      <wp:effectExtent l="0" t="0" r="0" b="0"/>
                      <wp:wrapNone/>
                      <wp:docPr id="60" name="Frame60"/>
                      <a:graphic xmlns:a="http://schemas.openxmlformats.org/drawingml/2006/main">
                        <a:graphicData uri="http://schemas.microsoft.com/office/word/2010/wordprocessingShape">
                          <wps:wsp>
                            <wps:cNvSpPr txBox="1"/>
                            <wps:spPr>
                              <a:xfrm>
                                <a:off x="0" y="0"/>
                                <a:ext cx="929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43510" cy="175260"/>
                      <wp:effectExtent l="0" t="0" r="0" b="0"/>
                      <wp:wrapNone/>
                      <wp:docPr id="61" name="Frame6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24460" cy="175260"/>
                      <wp:effectExtent l="0" t="0" r="0" b="0"/>
                      <wp:wrapNone/>
                      <wp:docPr id="62" name="Frame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83540" cy="175260"/>
                      <wp:effectExtent l="0" t="0" r="0" b="0"/>
                      <wp:wrapNone/>
                      <wp:docPr id="63" name="Frame63"/>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43510" cy="175260"/>
                      <wp:effectExtent l="0" t="0" r="0" b="0"/>
                      <wp:wrapNone/>
                      <wp:docPr id="64" name="Frame6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24460" cy="175260"/>
                      <wp:effectExtent l="0" t="0" r="0" b="0"/>
                      <wp:wrapNone/>
                      <wp:docPr id="65" name="Frame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38785" cy="175260"/>
                      <wp:effectExtent l="0" t="0" r="0" b="0"/>
                      <wp:wrapNone/>
                      <wp:docPr id="66" name="Frame6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43510" cy="175260"/>
                      <wp:effectExtent l="0" t="0" r="0" b="0"/>
                      <wp:wrapNone/>
                      <wp:docPr id="67" name="Frame6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24460" cy="175260"/>
                      <wp:effectExtent l="0" t="0" r="0" b="0"/>
                      <wp:wrapNone/>
                      <wp:docPr id="68" name="Frame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24510" cy="175260"/>
                      <wp:effectExtent l="0" t="0" r="0" b="0"/>
                      <wp:wrapNone/>
                      <wp:docPr id="69" name="Frame6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43510" cy="175260"/>
                      <wp:effectExtent l="0" t="0" r="0" b="0"/>
                      <wp:wrapNone/>
                      <wp:docPr id="70" name="Frame7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21615" cy="175260"/>
                      <wp:effectExtent l="0" t="0" r="0" b="0"/>
                      <wp:wrapNone/>
                      <wp:docPr id="71" name="Frame71"/>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72135" cy="175260"/>
                      <wp:effectExtent l="0" t="0" r="0" b="0"/>
                      <wp:wrapNone/>
                      <wp:docPr id="72" name="Frame7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43510" cy="175260"/>
                      <wp:effectExtent l="0" t="0" r="0" b="0"/>
                      <wp:wrapNone/>
                      <wp:docPr id="73" name="Frame7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87325" cy="175260"/>
                      <wp:effectExtent l="0" t="0" r="0" b="0"/>
                      <wp:wrapNone/>
                      <wp:docPr id="74" name="Frame74"/>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75310" cy="175260"/>
                      <wp:effectExtent l="0" t="0" r="0" b="0"/>
                      <wp:wrapNone/>
                      <wp:docPr id="75" name="Frame75"/>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43510" cy="175260"/>
                      <wp:effectExtent l="0" t="0" r="0" b="0"/>
                      <wp:wrapNone/>
                      <wp:docPr id="76" name="Frame7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24460" cy="175260"/>
                      <wp:effectExtent l="0" t="0" r="0" b="0"/>
                      <wp:wrapNone/>
                      <wp:docPr id="77" name="Frame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24510" cy="175260"/>
                      <wp:effectExtent l="0" t="0" r="0" b="0"/>
                      <wp:wrapNone/>
                      <wp:docPr id="78" name="Frame7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43510" cy="175260"/>
                      <wp:effectExtent l="0" t="0" r="0" b="0"/>
                      <wp:wrapNone/>
                      <wp:docPr id="79" name="Frame7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51765" cy="175260"/>
                      <wp:effectExtent l="0" t="0" r="0" b="0"/>
                      <wp:wrapNone/>
                      <wp:docPr id="80" name="Frame8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68630" cy="175260"/>
                      <wp:effectExtent l="0" t="0" r="0" b="0"/>
                      <wp:wrapNone/>
                      <wp:docPr id="81" name="Frame81"/>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6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(in thousands of United States dollars, </w:t>
            </w:r>
          </w:p>
        </w:tc>
        <w:tc>
          <w:tcPr>
            <w:tcW w:w="226" w:type="dxa"/>
            <w:tcBorders/>
            <w:vAlign w:val="center"/>
          </w:tcPr>
          <w:p>
            <w:pPr>
              <w:pStyle w:val="TableContents"/>
              <w:bidi w:val="0"/>
              <w:spacing w:before="0" w:after="1"/>
              <w:ind w:left="0" w:right="0" w:hanging="0"/>
              <w:jc w:val="left"/>
              <w:rPr/>
            </w:pPr>
            <w:r>
              <w:rPr/>
              <w:t>​</w:t>
            </w:r>
          </w:p>
        </w:tc>
        <w:tc>
          <w:tcPr>
            <w:tcW w:w="7312" w:type="dxa"/>
            <w:gridSpan w:val="17"/>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Controlling Interest Shareholders’ Equity</w:t>
            </w:r>
          </w:p>
        </w:tc>
        <w:tc>
          <w:tcPr>
            <w:tcW w:w="226" w:type="dxa"/>
            <w:tcBorders/>
            <w:vAlign w:val="center"/>
          </w:tcPr>
          <w:p>
            <w:pPr>
              <w:pStyle w:val="TableContents"/>
              <w:bidi w:val="0"/>
              <w:spacing w:before="0" w:after="1"/>
              <w:ind w:left="0" w:right="0" w:hanging="0"/>
              <w:jc w:val="center"/>
              <w:rPr/>
            </w:pPr>
            <w:r>
              <w:rPr/>
              <w:t>​</w:t>
            </w:r>
          </w:p>
        </w:tc>
        <w:tc>
          <w:tcPr>
            <w:tcW w:w="239" w:type="dxa"/>
            <w:tcBorders/>
            <w:vAlign w:val="center"/>
          </w:tcPr>
          <w:p>
            <w:pPr>
              <w:pStyle w:val="TableContents"/>
              <w:bidi w:val="0"/>
              <w:spacing w:before="0" w:after="1"/>
              <w:ind w:left="0" w:right="0" w:hanging="0"/>
              <w:jc w:val="center"/>
              <w:rPr/>
            </w:pPr>
            <w:r>
              <w:rPr/>
              <w:t>​</w:t>
            </w:r>
          </w:p>
        </w:tc>
        <w:tc>
          <w:tcPr>
            <w:tcW w:w="738" w:type="dxa"/>
            <w:tcBorders/>
            <w:vAlign w:val="center"/>
          </w:tcPr>
          <w:p>
            <w:pPr>
              <w:pStyle w:val="TableContents"/>
              <w:bidi w:val="0"/>
              <w:spacing w:before="0" w:after="1"/>
              <w:ind w:left="0" w:right="0" w:hanging="0"/>
              <w:jc w:val="center"/>
              <w:rPr/>
            </w:pPr>
            <w:r>
              <w:rPr/>
              <w:t>​</w:t>
            </w:r>
          </w:p>
        </w:tc>
      </w:tr>
      <w:tr>
        <w:trPr/>
        <w:tc>
          <w:tcPr>
            <w:tcW w:w="146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except share and per share data)</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12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2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center"/>
              <w:rPr/>
            </w:pPr>
            <w:r>
              <w:rPr/>
              <w:t>​</w:t>
            </w:r>
          </w:p>
        </w:tc>
      </w:tr>
      <w:tr>
        <w:trPr/>
        <w:tc>
          <w:tcPr>
            <w:tcW w:w="1464"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2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26"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26" w:type="dxa"/>
            <w:tcBorders/>
            <w:vAlign w:val="center"/>
          </w:tcPr>
          <w:p>
            <w:pPr>
              <w:pStyle w:val="TableContents"/>
              <w:bidi w:val="0"/>
              <w:spacing w:before="0" w:after="1"/>
              <w:ind w:left="0" w:right="0" w:hanging="0"/>
              <w:jc w:val="left"/>
              <w:rPr/>
            </w:pPr>
            <w:r>
              <w:rPr/>
              <w:t>​</w:t>
            </w:r>
          </w:p>
        </w:tc>
        <w:tc>
          <w:tcPr>
            <w:tcW w:w="12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26" w:type="dxa"/>
            <w:tcBorders/>
            <w:vAlign w:val="center"/>
          </w:tcPr>
          <w:p>
            <w:pPr>
              <w:pStyle w:val="TableContents"/>
              <w:bidi w:val="0"/>
              <w:spacing w:before="0" w:after="1"/>
              <w:ind w:left="0" w:right="0" w:hanging="0"/>
              <w:jc w:val="left"/>
              <w:rPr/>
            </w:pPr>
            <w:r>
              <w:rPr/>
              <w:t>​</w:t>
            </w:r>
          </w:p>
        </w:tc>
        <w:tc>
          <w:tcPr>
            <w:tcW w:w="12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9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Temporary</w:t>
            </w:r>
          </w:p>
        </w:tc>
      </w:tr>
      <w:tr>
        <w:trPr/>
        <w:tc>
          <w:tcPr>
            <w:tcW w:w="1464"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226" w:type="dxa"/>
            <w:tcBorders/>
            <w:vAlign w:val="center"/>
          </w:tcPr>
          <w:p>
            <w:pPr>
              <w:pStyle w:val="TableContents"/>
              <w:bidi w:val="0"/>
              <w:spacing w:before="0" w:after="1"/>
              <w:ind w:left="0" w:right="0" w:hanging="0"/>
              <w:jc w:val="left"/>
              <w:rPr/>
            </w:pPr>
            <w:r>
              <w:rPr/>
              <w:t>  ​</w:t>
            </w:r>
          </w:p>
        </w:tc>
        <w:tc>
          <w:tcPr>
            <w:tcW w:w="88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26" w:type="dxa"/>
            <w:tcBorders/>
            <w:vAlign w:val="center"/>
          </w:tcPr>
          <w:p>
            <w:pPr>
              <w:pStyle w:val="TableContents"/>
              <w:bidi w:val="0"/>
              <w:spacing w:before="0" w:after="1"/>
              <w:ind w:left="0" w:right="0" w:hanging="0"/>
              <w:jc w:val="left"/>
              <w:rPr/>
            </w:pPr>
            <w:r>
              <w:rPr/>
              <w:t>  ​</w:t>
            </w:r>
          </w:p>
        </w:tc>
        <w:tc>
          <w:tcPr>
            <w:tcW w:w="102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26" w:type="dxa"/>
            <w:tcBorders/>
            <w:vAlign w:val="center"/>
          </w:tcPr>
          <w:p>
            <w:pPr>
              <w:pStyle w:val="TableContents"/>
              <w:bidi w:val="0"/>
              <w:spacing w:before="0" w:after="1"/>
              <w:ind w:left="0" w:right="0" w:hanging="0"/>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 (Loss)</w:t>
            </w:r>
          </w:p>
        </w:tc>
        <w:tc>
          <w:tcPr>
            <w:tcW w:w="226" w:type="dxa"/>
            <w:tcBorders/>
            <w:vAlign w:val="center"/>
          </w:tcPr>
          <w:p>
            <w:pPr>
              <w:pStyle w:val="TableContents"/>
              <w:bidi w:val="0"/>
              <w:spacing w:before="0" w:after="1"/>
              <w:ind w:left="0" w:right="0" w:hanging="0"/>
              <w:jc w:val="left"/>
              <w:rPr/>
            </w:pPr>
            <w:r>
              <w:rPr/>
              <w:t>  ​</w:t>
            </w:r>
          </w:p>
        </w:tc>
        <w:tc>
          <w:tcPr>
            <w:tcW w:w="1201"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(NCI)</w:t>
            </w:r>
          </w:p>
        </w:tc>
        <w:tc>
          <w:tcPr>
            <w:tcW w:w="226" w:type="dxa"/>
            <w:tcBorders/>
            <w:vAlign w:val="center"/>
          </w:tcPr>
          <w:p>
            <w:pPr>
              <w:pStyle w:val="TableContents"/>
              <w:bidi w:val="0"/>
              <w:spacing w:before="0" w:after="1"/>
              <w:ind w:left="0" w:right="0" w:hanging="0"/>
              <w:jc w:val="left"/>
              <w:rPr/>
            </w:pPr>
            <w:r>
              <w:rPr/>
              <w:t>  ​</w:t>
            </w:r>
          </w:p>
        </w:tc>
        <w:tc>
          <w:tcPr>
            <w:tcW w:w="102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226" w:type="dxa"/>
            <w:tcBorders/>
            <w:vAlign w:val="center"/>
          </w:tcPr>
          <w:p>
            <w:pPr>
              <w:pStyle w:val="TableContents"/>
              <w:bidi w:val="0"/>
              <w:spacing w:before="0" w:after="1"/>
              <w:ind w:left="0" w:right="0" w:hanging="0"/>
              <w:jc w:val="left"/>
              <w:rPr/>
            </w:pPr>
            <w:r>
              <w:rPr/>
              <w:t>  ​</w:t>
            </w:r>
          </w:p>
        </w:tc>
        <w:tc>
          <w:tcPr>
            <w:tcW w:w="97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46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on December 28, 2024</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60,724</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403,379</w:t>
            </w:r>
          </w:p>
        </w:tc>
        <w:tc>
          <w:tcPr>
            <w:tcW w:w="2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2,775,280</w:t>
            </w:r>
          </w:p>
        </w:tc>
        <w:tc>
          <w:tcPr>
            <w:tcW w:w="2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(15,311)</w:t>
            </w:r>
          </w:p>
        </w:tc>
        <w:tc>
          <w:tcPr>
            <w:tcW w:w="2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20,553</w:t>
            </w:r>
          </w:p>
        </w:tc>
        <w:tc>
          <w:tcPr>
            <w:tcW w:w="2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3,244,625</w:t>
            </w:r>
          </w:p>
        </w:tc>
        <w:tc>
          <w:tcPr>
            <w:tcW w:w="2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5,366</w:t>
            </w:r>
          </w:p>
        </w:tc>
      </w:tr>
      <w:tr>
        <w:trPr/>
        <w:tc>
          <w:tcPr>
            <w:tcW w:w="146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earnings (loss)</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78,753</w:t>
            </w:r>
          </w:p>
        </w:tc>
        <w:tc>
          <w:tcPr>
            <w:tcW w:w="2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853</w:t>
            </w:r>
          </w:p>
        </w:tc>
        <w:tc>
          <w:tcPr>
            <w:tcW w:w="2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79,606</w:t>
            </w:r>
          </w:p>
        </w:tc>
        <w:tc>
          <w:tcPr>
            <w:tcW w:w="2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w:t>
            </w:r>
          </w:p>
        </w:tc>
      </w:tr>
      <w:tr>
        <w:trPr/>
        <w:tc>
          <w:tcPr>
            <w:tcW w:w="146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2,744</w:t>
            </w:r>
          </w:p>
        </w:tc>
        <w:tc>
          <w:tcPr>
            <w:tcW w:w="2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w:t>
            </w:r>
          </w:p>
        </w:tc>
        <w:tc>
          <w:tcPr>
            <w:tcW w:w="2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2,713</w:t>
            </w:r>
          </w:p>
        </w:tc>
        <w:tc>
          <w:tcPr>
            <w:tcW w:w="2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146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on debt securities</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470</w:t>
            </w:r>
          </w:p>
        </w:tc>
        <w:tc>
          <w:tcPr>
            <w:tcW w:w="2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470</w:t>
            </w:r>
          </w:p>
        </w:tc>
        <w:tc>
          <w:tcPr>
            <w:tcW w:w="2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pPr>
            <w:r>
              <w:rPr/>
              <w:t>​</w:t>
            </w:r>
          </w:p>
        </w:tc>
      </w:tr>
      <w:tr>
        <w:trPr/>
        <w:tc>
          <w:tcPr>
            <w:tcW w:w="146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(355)</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(355)</w:t>
            </w:r>
          </w:p>
        </w:tc>
        <w:tc>
          <w:tcPr>
            <w:tcW w:w="2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w:t>
            </w:r>
          </w:p>
        </w:tc>
      </w:tr>
      <w:tr>
        <w:trPr/>
        <w:tc>
          <w:tcPr>
            <w:tcW w:w="146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dividends - $0.35 per share - quarterly</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(21,322)</w:t>
            </w:r>
          </w:p>
        </w:tc>
        <w:tc>
          <w:tcPr>
            <w:tcW w:w="2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(21,322)</w:t>
            </w:r>
          </w:p>
        </w:tc>
        <w:tc>
          <w:tcPr>
            <w:tcW w:w="2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center"/>
              <w:rPr/>
            </w:pPr>
            <w:r>
              <w:rPr/>
              <w:t>​</w:t>
            </w:r>
          </w:p>
        </w:tc>
      </w:tr>
      <w:tr>
        <w:trPr/>
        <w:tc>
          <w:tcPr>
            <w:tcW w:w="146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7,197 shares under employee stock purchase plan</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643</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650</w:t>
            </w:r>
          </w:p>
        </w:tc>
        <w:tc>
          <w:tcPr>
            <w:tcW w:w="2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center"/>
              <w:rPr/>
            </w:pPr>
            <w:r>
              <w:rPr/>
              <w:t>​</w:t>
            </w:r>
          </w:p>
        </w:tc>
      </w:tr>
      <w:tr>
        <w:trPr/>
        <w:tc>
          <w:tcPr>
            <w:tcW w:w="146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232,101 shares under stock grant programs</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3,055</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w:t>
            </w:r>
          </w:p>
        </w:tc>
        <w:tc>
          <w:tcPr>
            <w:tcW w:w="2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3,388</w:t>
            </w:r>
          </w:p>
        </w:tc>
        <w:tc>
          <w:tcPr>
            <w:tcW w:w="2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center"/>
              <w:rPr/>
            </w:pPr>
            <w:r>
              <w:rPr/>
              <w:t>​</w:t>
            </w:r>
          </w:p>
        </w:tc>
      </w:tr>
      <w:tr>
        <w:trPr/>
        <w:tc>
          <w:tcPr>
            <w:tcW w:w="146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80,341 shares under deferred compensation plans</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center"/>
              <w:rPr/>
            </w:pPr>
            <w:r>
              <w:rPr/>
              <w:t>​</w:t>
            </w:r>
          </w:p>
        </w:tc>
      </w:tr>
      <w:tr>
        <w:trPr/>
        <w:tc>
          <w:tcPr>
            <w:tcW w:w="146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Repurchase of 649,060 shares</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(649)</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(9,460)</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(59,991)</w:t>
            </w:r>
          </w:p>
        </w:tc>
        <w:tc>
          <w:tcPr>
            <w:tcW w:w="2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(70,100)</w:t>
            </w:r>
          </w:p>
        </w:tc>
        <w:tc>
          <w:tcPr>
            <w:tcW w:w="2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center"/>
              <w:rPr/>
            </w:pPr>
            <w:r>
              <w:rPr/>
              <w:t>​</w:t>
            </w:r>
          </w:p>
        </w:tc>
      </w:tr>
      <w:tr>
        <w:trPr/>
        <w:tc>
          <w:tcPr>
            <w:tcW w:w="146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Expense associated with share-based compensation arrangements</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11,493</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11,493</w:t>
            </w:r>
          </w:p>
        </w:tc>
        <w:tc>
          <w:tcPr>
            <w:tcW w:w="2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center"/>
              <w:rPr/>
            </w:pPr>
            <w:r>
              <w:rPr/>
              <w:t>​</w:t>
            </w:r>
          </w:p>
        </w:tc>
      </w:tr>
      <w:tr>
        <w:trPr/>
        <w:tc>
          <w:tcPr>
            <w:tcW w:w="146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 under deferred compensation plans</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604"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7,888</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349"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95"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06"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7,888</w:t>
            </w:r>
          </w:p>
        </w:tc>
        <w:tc>
          <w:tcPr>
            <w:tcW w:w="226" w:type="dxa"/>
            <w:tcBorders/>
            <w:vAlign w:val="center"/>
          </w:tcPr>
          <w:p>
            <w:pPr>
              <w:pStyle w:val="TableContents"/>
              <w:bidi w:val="0"/>
              <w:spacing w:before="0" w:after="1"/>
              <w:ind w:left="0" w:right="0" w:hanging="0"/>
              <w:jc w:val="left"/>
              <w:rPr/>
            </w:pPr>
            <w:r>
              <w:rPr/>
              <w:t>​</w:t>
            </w:r>
          </w:p>
        </w:tc>
        <w:tc>
          <w:tcPr>
            <w:tcW w:w="239"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38"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r>
      <w:tr>
        <w:trPr/>
        <w:tc>
          <w:tcPr>
            <w:tcW w:w="146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on March 29, 2025</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60,395</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416,562</w:t>
            </w:r>
          </w:p>
        </w:tc>
        <w:tc>
          <w:tcPr>
            <w:tcW w:w="2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2,772,821</w:t>
            </w:r>
          </w:p>
        </w:tc>
        <w:tc>
          <w:tcPr>
            <w:tcW w:w="2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(12,097)</w:t>
            </w:r>
          </w:p>
        </w:tc>
        <w:tc>
          <w:tcPr>
            <w:tcW w:w="226" w:type="dxa"/>
            <w:tcBorders/>
            <w:shd w:fill="CCEEFF" w:val="clear"/>
            <w:vAlign w:val="center"/>
          </w:tcPr>
          <w:p>
            <w:pPr>
              <w:pStyle w:val="TableContents"/>
              <w:bidi w:val="0"/>
              <w:spacing w:before="0" w:after="1"/>
              <w:ind w:left="0" w:right="0" w:hanging="0"/>
              <w:jc w:val="left"/>
              <w:rPr/>
            </w:pPr>
            <w:r>
              <w:rPr/>
              <w:t>  ​</w:t>
            </w:r>
          </w:p>
        </w:tc>
        <w:tc>
          <w:tcPr>
            <w:tcW w:w="29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21,375</w:t>
            </w:r>
          </w:p>
        </w:tc>
        <w:tc>
          <w:tcPr>
            <w:tcW w:w="2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3,259,056</w:t>
            </w:r>
          </w:p>
        </w:tc>
        <w:tc>
          <w:tcPr>
            <w:tcW w:w="2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5,280</w:t>
            </w:r>
          </w:p>
        </w:tc>
      </w:tr>
      <w:tr>
        <w:trPr/>
        <w:tc>
          <w:tcPr>
            <w:tcW w:w="146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earnings (loss)</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100,734</w:t>
            </w:r>
          </w:p>
        </w:tc>
        <w:tc>
          <w:tcPr>
            <w:tcW w:w="2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376</w:t>
            </w:r>
          </w:p>
        </w:tc>
        <w:tc>
          <w:tcPr>
            <w:tcW w:w="2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101,110</w:t>
            </w:r>
          </w:p>
        </w:tc>
        <w:tc>
          <w:tcPr>
            <w:tcW w:w="2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w:t>
            </w:r>
          </w:p>
        </w:tc>
      </w:tr>
      <w:tr>
        <w:trPr/>
        <w:tc>
          <w:tcPr>
            <w:tcW w:w="146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10,239</w:t>
            </w:r>
          </w:p>
        </w:tc>
        <w:tc>
          <w:tcPr>
            <w:tcW w:w="2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1,615</w:t>
            </w:r>
          </w:p>
        </w:tc>
        <w:tc>
          <w:tcPr>
            <w:tcW w:w="2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11,854</w:t>
            </w:r>
          </w:p>
        </w:tc>
        <w:tc>
          <w:tcPr>
            <w:tcW w:w="2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146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loss on debt securities</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w:t>
            </w:r>
          </w:p>
        </w:tc>
        <w:tc>
          <w:tcPr>
            <w:tcW w:w="2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w:t>
            </w:r>
          </w:p>
        </w:tc>
        <w:tc>
          <w:tcPr>
            <w:tcW w:w="2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pPr>
            <w:r>
              <w:rPr/>
              <w:t>​</w:t>
            </w:r>
          </w:p>
        </w:tc>
      </w:tr>
      <w:tr>
        <w:trPr/>
        <w:tc>
          <w:tcPr>
            <w:tcW w:w="146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(1,818)</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(1,818)</w:t>
            </w:r>
          </w:p>
        </w:tc>
        <w:tc>
          <w:tcPr>
            <w:tcW w:w="2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210</w:t>
            </w:r>
          </w:p>
        </w:tc>
      </w:tr>
      <w:tr>
        <w:trPr/>
        <w:tc>
          <w:tcPr>
            <w:tcW w:w="146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Distributions to NCI</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w:t>
            </w:r>
          </w:p>
        </w:tc>
        <w:tc>
          <w:tcPr>
            <w:tcW w:w="2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center"/>
              <w:rPr/>
            </w:pPr>
            <w:r>
              <w:rPr/>
              <w:t>​</w:t>
            </w:r>
          </w:p>
        </w:tc>
      </w:tr>
      <w:tr>
        <w:trPr/>
        <w:tc>
          <w:tcPr>
            <w:tcW w:w="146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dividends - $0.35 per share - quarterly</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(20,656)</w:t>
            </w:r>
          </w:p>
        </w:tc>
        <w:tc>
          <w:tcPr>
            <w:tcW w:w="2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(20,656)</w:t>
            </w:r>
          </w:p>
        </w:tc>
        <w:tc>
          <w:tcPr>
            <w:tcW w:w="2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center"/>
              <w:rPr/>
            </w:pPr>
            <w:r>
              <w:rPr/>
              <w:t>​</w:t>
            </w:r>
          </w:p>
        </w:tc>
      </w:tr>
      <w:tr>
        <w:trPr/>
        <w:tc>
          <w:tcPr>
            <w:tcW w:w="146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7,593 shares under employee stock purchase plan</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636</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644</w:t>
            </w:r>
          </w:p>
        </w:tc>
        <w:tc>
          <w:tcPr>
            <w:tcW w:w="2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center"/>
              <w:rPr/>
            </w:pPr>
            <w:r>
              <w:rPr/>
              <w:t>​</w:t>
            </w:r>
          </w:p>
        </w:tc>
      </w:tr>
      <w:tr>
        <w:trPr/>
        <w:tc>
          <w:tcPr>
            <w:tcW w:w="146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26,949 shares under stock grant programs</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w:t>
            </w:r>
          </w:p>
        </w:tc>
        <w:tc>
          <w:tcPr>
            <w:tcW w:w="2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center"/>
              <w:rPr/>
            </w:pPr>
            <w:r>
              <w:rPr/>
              <w:t>​</w:t>
            </w:r>
          </w:p>
        </w:tc>
      </w:tr>
      <w:tr>
        <w:trPr/>
        <w:tc>
          <w:tcPr>
            <w:tcW w:w="146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10,998 shares under deferred compensation plans</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center"/>
              <w:rPr/>
            </w:pPr>
            <w:r>
              <w:rPr/>
              <w:t>​</w:t>
            </w:r>
          </w:p>
        </w:tc>
      </w:tr>
      <w:tr>
        <w:trPr/>
        <w:tc>
          <w:tcPr>
            <w:tcW w:w="146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Repurchase of 1,874,279 shares</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(1,874)</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(189,506)</w:t>
            </w:r>
          </w:p>
        </w:tc>
        <w:tc>
          <w:tcPr>
            <w:tcW w:w="2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(191,393)</w:t>
            </w:r>
          </w:p>
        </w:tc>
        <w:tc>
          <w:tcPr>
            <w:tcW w:w="2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center"/>
              <w:rPr/>
            </w:pPr>
            <w:r>
              <w:rPr/>
              <w:t>​</w:t>
            </w:r>
          </w:p>
        </w:tc>
      </w:tr>
      <w:tr>
        <w:trPr/>
        <w:tc>
          <w:tcPr>
            <w:tcW w:w="146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Expense associated with share-based compensation arrangements</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8,755</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8,755</w:t>
            </w:r>
          </w:p>
        </w:tc>
        <w:tc>
          <w:tcPr>
            <w:tcW w:w="2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center"/>
              <w:rPr/>
            </w:pPr>
            <w:r>
              <w:rPr/>
              <w:t>​</w:t>
            </w:r>
          </w:p>
        </w:tc>
      </w:tr>
      <w:tr>
        <w:trPr/>
        <w:tc>
          <w:tcPr>
            <w:tcW w:w="146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 under deferred compensation plans</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4"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1,269</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49"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95"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1,269</w:t>
            </w:r>
          </w:p>
        </w:tc>
        <w:tc>
          <w:tcPr>
            <w:tcW w:w="2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8" w:type="dxa"/>
            <w:tcBorders>
              <w:bottom w:val="single" w:sz="12" w:space="0" w:color="000000"/>
            </w:tcBorders>
            <w:shd w:fill="CCEEFF" w:val="clear"/>
            <w:tcMar>
              <w:bottom w:w="28" w:type="dxa"/>
            </w:tcMar>
            <w:vAlign w:val="center"/>
          </w:tcPr>
          <w:p>
            <w:pPr>
              <w:pStyle w:val="TableContents"/>
              <w:bidi w:val="0"/>
              <w:spacing w:before="0" w:after="1"/>
              <w:ind w:left="0" w:right="0" w:hanging="0"/>
              <w:jc w:val="center"/>
              <w:rPr/>
            </w:pPr>
            <w:r>
              <w:rPr/>
              <w:t>​</w:t>
            </w:r>
          </w:p>
        </w:tc>
      </w:tr>
      <w:tr>
        <w:trPr/>
        <w:tc>
          <w:tcPr>
            <w:tcW w:w="146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on June 28, 2025</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58,566</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425,398</w:t>
            </w:r>
          </w:p>
        </w:tc>
        <w:tc>
          <w:tcPr>
            <w:tcW w:w="226" w:type="dxa"/>
            <w:tcBorders/>
            <w:vAlign w:val="center"/>
          </w:tcPr>
          <w:p>
            <w:pPr>
              <w:pStyle w:val="TableContents"/>
              <w:bidi w:val="0"/>
              <w:spacing w:before="0" w:after="1"/>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2,663,394</w:t>
            </w:r>
          </w:p>
        </w:tc>
        <w:tc>
          <w:tcPr>
            <w:tcW w:w="226" w:type="dxa"/>
            <w:tcBorders/>
            <w:vAlign w:val="center"/>
          </w:tcPr>
          <w:p>
            <w:pPr>
              <w:pStyle w:val="TableContents"/>
              <w:bidi w:val="0"/>
              <w:spacing w:before="0" w:after="1"/>
              <w:ind w:left="0" w:right="0" w:hanging="0"/>
              <w:jc w:val="left"/>
              <w:rPr/>
            </w:pPr>
            <w:r>
              <w:rPr/>
              <w:t>​</w:t>
            </w:r>
          </w:p>
        </w:tc>
        <w:tc>
          <w:tcPr>
            <w:tcW w:w="3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(1,976)</w:t>
            </w:r>
          </w:p>
        </w:tc>
        <w:tc>
          <w:tcPr>
            <w:tcW w:w="226" w:type="dxa"/>
            <w:tcBorders/>
            <w:vAlign w:val="center"/>
          </w:tcPr>
          <w:p>
            <w:pPr>
              <w:pStyle w:val="TableContents"/>
              <w:bidi w:val="0"/>
              <w:spacing w:before="0" w:after="1"/>
              <w:ind w:left="0" w:right="0" w:hanging="0"/>
              <w:jc w:val="left"/>
              <w:rPr/>
            </w:pPr>
            <w:r>
              <w:rPr/>
              <w:t>  ​</w:t>
            </w:r>
          </w:p>
        </w:tc>
        <w:tc>
          <w:tcPr>
            <w:tcW w:w="29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23,081</w:t>
            </w:r>
          </w:p>
        </w:tc>
        <w:tc>
          <w:tcPr>
            <w:tcW w:w="226" w:type="dxa"/>
            <w:tcBorders/>
            <w:vAlign w:val="center"/>
          </w:tcPr>
          <w:p>
            <w:pPr>
              <w:pStyle w:val="TableContents"/>
              <w:bidi w:val="0"/>
              <w:spacing w:before="0" w:after="1"/>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3,168,463</w:t>
            </w:r>
          </w:p>
        </w:tc>
        <w:tc>
          <w:tcPr>
            <w:tcW w:w="2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38" w:type="dxa"/>
            <w:tcBorders>
              <w:bottom w:val="double" w:sz="6" w:space="0" w:color="000000"/>
            </w:tcBorders>
            <w:tcMar>
              <w:bottom w:w="28" w:type="dxa"/>
            </w:tcMar>
            <w:vAlign w:val="center"/>
          </w:tcPr>
          <w:p>
            <w:pPr>
              <w:pStyle w:val="TableContents"/>
              <w:bidi w:val="0"/>
              <w:spacing w:before="0" w:after="1"/>
              <w:ind w:left="0" w:right="48" w:hanging="0"/>
              <w:jc w:val="right"/>
              <w:rPr>
                <w:rFonts w:ascii="Times New Roman;Times;serif" w:hAnsi="Times New Roman;Times;serif"/>
                <w:b/>
                <w:sz w:val="16"/>
              </w:rPr>
            </w:pPr>
            <w:r>
              <w:rPr>
                <w:rFonts w:ascii="Times New Roman;Times;serif" w:hAnsi="Times New Roman;Times;serif"/>
                <w:b/>
                <w:sz w:val="16"/>
              </w:rPr>
              <w:t>5,253</w:t>
            </w:r>
          </w:p>
        </w:tc>
      </w:tr>
    </w:tbl>
    <w:p>
      <w:pPr>
        <w:pStyle w:val="TextBody"/>
        <w:bidi w:val="0"/>
        <w:spacing w:before="120" w:after="0"/>
        <w:ind w:left="0" w:right="0" w:firstLine="720"/>
        <w:jc w:val="left"/>
        <w:rPr>
          <w:rFonts w:ascii="Times New Roman;Times;serif" w:hAnsi="Times New Roman;Times;serif"/>
          <w:sz w:val="20"/>
        </w:rPr>
      </w:pPr>
      <w:r>
        <w:rPr>
          <w:rFonts w:ascii="Times New Roman;Times;serif" w:hAnsi="Times New Roman;Times;serif"/>
          <w:sz w:val="20"/>
        </w:rPr>
        <w:t>See notes to unaudited interim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0"/>
        <w:ind w:left="0" w:right="0" w:hanging="0"/>
        <w:jc w:val="center"/>
        <w:rPr>
          <w:rFonts w:ascii="Times New Roman;Times;serif" w:hAnsi="Times New Roman;Times;serif"/>
          <w:b/>
          <w:sz w:val="20"/>
        </w:rPr>
      </w:pPr>
      <w:bookmarkStart w:id="593" w:name="CONSOLIDATEDCONDENSEDSTATEMENTSOFCASHFLO"/>
      <w:bookmarkStart w:id="594" w:name="_52337f85_0320_4c98_ba51_911cc98105e6"/>
      <w:bookmarkEnd w:id="593"/>
      <w:bookmarkEnd w:id="594"/>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595" w:name="Tc_WboS7U-d3EqoTkPoWnynzQ_62_5"/>
      <w:bookmarkStart w:id="596" w:name="Tc_NPsbxCNpGkWnt3a3YYAUig_62_2"/>
      <w:bookmarkStart w:id="597" w:name="Tc_dr992uNFWUKxKdcIVHVWgQ_62_0"/>
      <w:bookmarkStart w:id="598" w:name="Tc_Tw0R8gcpz063_0sQiuH2gg_61_0"/>
      <w:bookmarkStart w:id="599" w:name="Tc_LukDdycM9kSewmng9cGaUg_60_5"/>
      <w:bookmarkStart w:id="600" w:name="Tc_dMJjDAbdIE6NDpU_bVpC4w_60_2"/>
      <w:bookmarkStart w:id="601" w:name="Tc_cHEgVoU3bUyVXv2hNJovEA_60_0"/>
      <w:bookmarkStart w:id="602" w:name="Tc_ewRA1iNkJEOYa0lAZVBpzA_59_0"/>
      <w:bookmarkStart w:id="603" w:name="Tc_klg-JIID6E-pzQzWpBHfGA_58_0"/>
      <w:bookmarkStart w:id="604" w:name="Tc_rcoBLh5qnke1ehCPYs8bgg_57_5"/>
      <w:bookmarkStart w:id="605" w:name="Tc_uzIMrpErcEijprINg214IQ_57_2"/>
      <w:bookmarkStart w:id="606" w:name="Tc_RdjtOUO8P0umliP6ygsoFw_57_0"/>
      <w:bookmarkStart w:id="607" w:name="Tc_kvO4shuTXk-sBfrpDTXsAQ_56_0"/>
      <w:bookmarkStart w:id="608" w:name="Tc_ZCuMJfH5a0-8QQQG0pQgbQ_54_5"/>
      <w:bookmarkStart w:id="609" w:name="Tc_vQB7B88CzkSXrvpAehX64w_54_2"/>
      <w:bookmarkStart w:id="610" w:name="Tc_Yx6IOAsvB0aUGjTiXI0exw_54_0"/>
      <w:bookmarkStart w:id="611" w:name="Tc_xEUTuGlPRk2QEvPvuCFK7A_53_0"/>
      <w:bookmarkStart w:id="612" w:name="Tc_op8gnZEi40-jle7_ldc6gA_52_5"/>
      <w:bookmarkStart w:id="613" w:name="Tc_t5asVOpj80ivV9N5HS8r6g_52_2"/>
      <w:bookmarkStart w:id="614" w:name="Tc_LV9eA4eBDUmMPCxsQKE-EA_52_0"/>
      <w:bookmarkStart w:id="615" w:name="Tc_x3cjkjf_mE-m6NXIiIYCCw_51_5"/>
      <w:bookmarkStart w:id="616" w:name="Tc_UECm1cebHUqQN35a6ySTyg_51_2"/>
      <w:bookmarkStart w:id="617" w:name="Tc_S7qiQ4JG0U62zklmZTDgBA_51_0"/>
      <w:bookmarkStart w:id="618" w:name="Tc_CftL8umrpUSq9THqNNp8iA_50_0"/>
      <w:bookmarkStart w:id="619" w:name="Tc_3dpAngLvv0-s202h9cOY-Q_49_5"/>
      <w:bookmarkStart w:id="620" w:name="Tc_12GG-Kj7qEm05p7KEtXgJQ_49_2"/>
      <w:bookmarkStart w:id="621" w:name="Tc_wAiO_ywsYEqdqFOD3foAng_49_0"/>
      <w:bookmarkStart w:id="622" w:name="Tc_nxjbdukvzUqOdKnRnZZU2g_48_0"/>
      <w:bookmarkStart w:id="623" w:name="Tc_9JookqsWzkuGru1sf9Mrew_46_5"/>
      <w:bookmarkStart w:id="624" w:name="Tc_IaJkd1PCFUK6ZfWrsa75mQ_46_2"/>
      <w:bookmarkStart w:id="625" w:name="Tc_EGefkRfWk0arPgVYnw3L0g_46_0"/>
      <w:bookmarkStart w:id="626" w:name="Tc_B_YMddL1ZUSUY5puE58Nnw_45_0"/>
      <w:bookmarkStart w:id="627" w:name="Tc_0o4Sufsqf0Cwsr38GOLSug_44_0"/>
      <w:bookmarkStart w:id="628" w:name="Tc_9HDMTpSLwUOUfFL6Ge6AFQ_43_0"/>
      <w:bookmarkStart w:id="629" w:name="Tc_H_U-n60ykk6EDZHQ6ihK9g_42_0"/>
      <w:bookmarkStart w:id="630" w:name="Tc_0HRa59cd1UqqHw93YJTuKQ_41_0"/>
      <w:bookmarkStart w:id="631" w:name="Tc_EzlOvkhW10mh7jyi-JLe-w_40_0"/>
      <w:bookmarkStart w:id="632" w:name="Tc_7F484L_8d0elWfQrq-klxw_39_0"/>
      <w:bookmarkStart w:id="633" w:name="Tc_7j95Fue4eECV5pCDMMRn-A_38_6"/>
      <w:bookmarkStart w:id="634" w:name="Tc_mE1v3ZPbiEOivvFFQgQUiA_38_0"/>
      <w:bookmarkStart w:id="635" w:name="Tc_MYaYPNwp5EmTKXmZT7QC0Q_37_0"/>
      <w:bookmarkStart w:id="636" w:name="Tc_mmtz4IASl06S9W8exzJLgA_36_0"/>
      <w:bookmarkStart w:id="637" w:name="Tc_lF4V4B8HwkKQ2jCW938T9A_35_0"/>
      <w:bookmarkStart w:id="638" w:name="Tc_W7S3_QtGx0OzhaOiM7q6Vw_34_0"/>
      <w:bookmarkStart w:id="639" w:name="Tc_dYwLYpXvdEKcskO4gYkOcg_33_0"/>
      <w:bookmarkStart w:id="640" w:name="Tc_NN4nIniyNUW3mAZQK-jvpQ_32_0"/>
      <w:bookmarkStart w:id="641" w:name="Tc__aKIjlJd8kyowyIGX61-LA_31_0"/>
      <w:bookmarkStart w:id="642" w:name="Tc_MEw9rgv5_kS1iydJRL0A3w_30_0"/>
      <w:bookmarkStart w:id="643" w:name="Tc_kZqlfDv1zUuCtXJ9mB7Drw_29_0"/>
      <w:bookmarkStart w:id="644" w:name="Tc_RVjzykCd9UGStS9cAttEEw_28_0"/>
      <w:bookmarkStart w:id="645" w:name="Tc_oDl1WtfYu0KEicAQz_7g3Q_27_0"/>
      <w:bookmarkStart w:id="646" w:name="Tc_vRbCRwiX0EuF0OzDDeqszQ_26_0"/>
      <w:bookmarkStart w:id="647" w:name="Tc_fJHkYUQMtUWsaaO3BRYWNg_25_0"/>
      <w:bookmarkStart w:id="648" w:name="Tc_GSSptZ1IFkqPSlb6kvt4Wg_24_0"/>
      <w:bookmarkStart w:id="649" w:name="Tc_VTdT2LfCpUu4NuFWq5UcEw_23_0"/>
      <w:bookmarkStart w:id="650" w:name="Tc_g6U94Cd7U06-fVoRJO5P-w_22_0"/>
      <w:bookmarkStart w:id="651" w:name="Tc_KoZYFfl-Ok2f0gPf4Q1ryg_21_0"/>
      <w:bookmarkStart w:id="652" w:name="Tc_h0nLuC5yd0uQHFVOelwohg_20_0"/>
      <w:bookmarkStart w:id="653" w:name="Tc_HjWz51tvqkOlkcOBPQn76g_19_0"/>
      <w:bookmarkStart w:id="654" w:name="Tc_HetvUW8SaEWStaJzj4YcWA_18_0"/>
      <w:bookmarkStart w:id="655" w:name="Tc_4P5dFN3Gv0eGSNJ7_bcNmA_17_0"/>
      <w:bookmarkStart w:id="656" w:name="Tc_VSxE1rKrhUaXJA2Ir8FvSQ_16_3"/>
      <w:bookmarkStart w:id="657" w:name="Tc_G2GupszT_Uudj4HOln-hiA_16_0"/>
      <w:bookmarkStart w:id="658" w:name="Tc_jTRXxK2li0mY9oHqdAl1lw_15_6"/>
      <w:bookmarkStart w:id="659" w:name="Tc_x1vZ69BVrE6_5cqtcZJnTw_15_0"/>
      <w:bookmarkStart w:id="660" w:name="Tc_oZEWeAV-QUuWMOP9SW90Xw_14_0"/>
      <w:bookmarkStart w:id="661" w:name="Tc_2xQA7EVwp0iXuCrIXO6M0w_13_0"/>
      <w:bookmarkStart w:id="662" w:name="Tc_cQPVwqcU6UugFckeJj8-sQ_12_6"/>
      <w:bookmarkStart w:id="663" w:name="Tc_EfGL6OVix0W0H-QXTHR91A_12_0"/>
      <w:bookmarkStart w:id="664" w:name="Tc_lNx1C84p5kKFvIP9QdZqSQ_11_0"/>
      <w:bookmarkStart w:id="665" w:name="Tc_Zr_0dcKnUUusp9OuWUCmug_10_0"/>
      <w:bookmarkStart w:id="666" w:name="Tc_qR82lWa5NUy8AEasnrx_PA_9_0"/>
      <w:bookmarkStart w:id="667" w:name="Tc__J1vIUf51EaRKEheOqYIgQ_8_0"/>
      <w:bookmarkStart w:id="668" w:name="Tc_Jv67qxJ7sECQuHeaiBf8FA_7_0"/>
      <w:bookmarkStart w:id="669" w:name="Tc_Cj6dHR3R2067bDXjzJpX4Q_6_0"/>
      <w:bookmarkStart w:id="670" w:name="Tc_v2ivXQ-01E-6rARfuDKoBQ_5_5"/>
      <w:bookmarkStart w:id="671" w:name="Tc_ymManMTJyUmRS8KG3iHxBw_5_2"/>
      <w:bookmarkStart w:id="672" w:name="Tc_5Iw-dS47c0-_3K34fhi8Iw_5_0"/>
      <w:bookmarkStart w:id="673" w:name="Tc_H0ttMrsSJEuL1_s2C79BNw_4_0"/>
      <w:bookmarkStart w:id="674" w:name="Tc_rgXf3T9IY0GTp3yKjwkRYw_3_5"/>
      <w:bookmarkStart w:id="675" w:name="Tc_3WilQt2LeUedbuZCfwmjOg_3_2"/>
      <w:bookmarkStart w:id="676" w:name="Tc_m-CQ7ZY_ikq-K9f3pSaXag_2_5"/>
      <w:bookmarkStart w:id="677" w:name="Tc__3154_N0DUuz0Bd-_aR8Bg_2_2"/>
      <w:bookmarkStart w:id="678" w:name="Tc_DdvyRfcyH0m95ztckSmwsA_1_2"/>
      <w:bookmarkStart w:id="679" w:name="Tc_S9ZnI9oI_0C2PlDdnm4y_g_1_0"/>
      <w:bookmarkStart w:id="680" w:name="_392278bb_37f8_456c_af2c_d57ea701c3a4"/>
      <w:bookmarkStart w:id="681" w:name="Tc_WboS7U-d3EqoTkPoWnynzQ_62_5"/>
      <w:bookmarkStart w:id="682" w:name="Tc_NPsbxCNpGkWnt3a3YYAUig_62_2"/>
      <w:bookmarkStart w:id="683" w:name="Tc_dr992uNFWUKxKdcIVHVWgQ_62_0"/>
      <w:bookmarkStart w:id="684" w:name="Tc_Tw0R8gcpz063_0sQiuH2gg_61_0"/>
      <w:bookmarkStart w:id="685" w:name="Tc_LukDdycM9kSewmng9cGaUg_60_5"/>
      <w:bookmarkStart w:id="686" w:name="Tc_dMJjDAbdIE6NDpU_bVpC4w_60_2"/>
      <w:bookmarkStart w:id="687" w:name="Tc_cHEgVoU3bUyVXv2hNJovEA_60_0"/>
      <w:bookmarkStart w:id="688" w:name="Tc_ewRA1iNkJEOYa0lAZVBpzA_59_0"/>
      <w:bookmarkStart w:id="689" w:name="Tc_klg-JIID6E-pzQzWpBHfGA_58_0"/>
      <w:bookmarkStart w:id="690" w:name="Tc_rcoBLh5qnke1ehCPYs8bgg_57_5"/>
      <w:bookmarkStart w:id="691" w:name="Tc_uzIMrpErcEijprINg214IQ_57_2"/>
      <w:bookmarkStart w:id="692" w:name="Tc_RdjtOUO8P0umliP6ygsoFw_57_0"/>
      <w:bookmarkStart w:id="693" w:name="Tc_kvO4shuTXk-sBfrpDTXsAQ_56_0"/>
      <w:bookmarkStart w:id="694" w:name="Tc_ZCuMJfH5a0-8QQQG0pQgbQ_54_5"/>
      <w:bookmarkStart w:id="695" w:name="Tc_vQB7B88CzkSXrvpAehX64w_54_2"/>
      <w:bookmarkStart w:id="696" w:name="Tc_Yx6IOAsvB0aUGjTiXI0exw_54_0"/>
      <w:bookmarkStart w:id="697" w:name="Tc_xEUTuGlPRk2QEvPvuCFK7A_53_0"/>
      <w:bookmarkStart w:id="698" w:name="Tc_op8gnZEi40-jle7_ldc6gA_52_5"/>
      <w:bookmarkStart w:id="699" w:name="Tc_t5asVOpj80ivV9N5HS8r6g_52_2"/>
      <w:bookmarkStart w:id="700" w:name="Tc_LV9eA4eBDUmMPCxsQKE-EA_52_0"/>
      <w:bookmarkStart w:id="701" w:name="Tc_x3cjkjf_mE-m6NXIiIYCCw_51_5"/>
      <w:bookmarkStart w:id="702" w:name="Tc_UECm1cebHUqQN35a6ySTyg_51_2"/>
      <w:bookmarkStart w:id="703" w:name="Tc_S7qiQ4JG0U62zklmZTDgBA_51_0"/>
      <w:bookmarkStart w:id="704" w:name="Tc_CftL8umrpUSq9THqNNp8iA_50_0"/>
      <w:bookmarkStart w:id="705" w:name="Tc_3dpAngLvv0-s202h9cOY-Q_49_5"/>
      <w:bookmarkStart w:id="706" w:name="Tc_12GG-Kj7qEm05p7KEtXgJQ_49_2"/>
      <w:bookmarkStart w:id="707" w:name="Tc_wAiO_ywsYEqdqFOD3foAng_49_0"/>
      <w:bookmarkStart w:id="708" w:name="Tc_nxjbdukvzUqOdKnRnZZU2g_48_0"/>
      <w:bookmarkStart w:id="709" w:name="Tc_9JookqsWzkuGru1sf9Mrew_46_5"/>
      <w:bookmarkStart w:id="710" w:name="Tc_IaJkd1PCFUK6ZfWrsa75mQ_46_2"/>
      <w:bookmarkStart w:id="711" w:name="Tc_EGefkRfWk0arPgVYnw3L0g_46_0"/>
      <w:bookmarkStart w:id="712" w:name="Tc_B_YMddL1ZUSUY5puE58Nnw_45_0"/>
      <w:bookmarkStart w:id="713" w:name="Tc_0o4Sufsqf0Cwsr38GOLSug_44_0"/>
      <w:bookmarkStart w:id="714" w:name="Tc_9HDMTpSLwUOUfFL6Ge6AFQ_43_0"/>
      <w:bookmarkStart w:id="715" w:name="Tc_H_U-n60ykk6EDZHQ6ihK9g_42_0"/>
      <w:bookmarkStart w:id="716" w:name="Tc_0HRa59cd1UqqHw93YJTuKQ_41_0"/>
      <w:bookmarkStart w:id="717" w:name="Tc_EzlOvkhW10mh7jyi-JLe-w_40_0"/>
      <w:bookmarkStart w:id="718" w:name="Tc_7F484L_8d0elWfQrq-klxw_39_0"/>
      <w:bookmarkStart w:id="719" w:name="Tc_7j95Fue4eECV5pCDMMRn-A_38_6"/>
      <w:bookmarkStart w:id="720" w:name="Tc_mE1v3ZPbiEOivvFFQgQUiA_38_0"/>
      <w:bookmarkStart w:id="721" w:name="Tc_MYaYPNwp5EmTKXmZT7QC0Q_37_0"/>
      <w:bookmarkStart w:id="722" w:name="Tc_mmtz4IASl06S9W8exzJLgA_36_0"/>
      <w:bookmarkStart w:id="723" w:name="Tc_lF4V4B8HwkKQ2jCW938T9A_35_0"/>
      <w:bookmarkStart w:id="724" w:name="Tc_W7S3_QtGx0OzhaOiM7q6Vw_34_0"/>
      <w:bookmarkStart w:id="725" w:name="Tc_dYwLYpXvdEKcskO4gYkOcg_33_0"/>
      <w:bookmarkStart w:id="726" w:name="Tc_NN4nIniyNUW3mAZQK-jvpQ_32_0"/>
      <w:bookmarkStart w:id="727" w:name="Tc__aKIjlJd8kyowyIGX61-LA_31_0"/>
      <w:bookmarkStart w:id="728" w:name="Tc_MEw9rgv5_kS1iydJRL0A3w_30_0"/>
      <w:bookmarkStart w:id="729" w:name="Tc_kZqlfDv1zUuCtXJ9mB7Drw_29_0"/>
      <w:bookmarkStart w:id="730" w:name="Tc_RVjzykCd9UGStS9cAttEEw_28_0"/>
      <w:bookmarkStart w:id="731" w:name="Tc_oDl1WtfYu0KEicAQz_7g3Q_27_0"/>
      <w:bookmarkStart w:id="732" w:name="Tc_vRbCRwiX0EuF0OzDDeqszQ_26_0"/>
      <w:bookmarkStart w:id="733" w:name="Tc_fJHkYUQMtUWsaaO3BRYWNg_25_0"/>
      <w:bookmarkStart w:id="734" w:name="Tc_GSSptZ1IFkqPSlb6kvt4Wg_24_0"/>
      <w:bookmarkStart w:id="735" w:name="Tc_VTdT2LfCpUu4NuFWq5UcEw_23_0"/>
      <w:bookmarkStart w:id="736" w:name="Tc_g6U94Cd7U06-fVoRJO5P-w_22_0"/>
      <w:bookmarkStart w:id="737" w:name="Tc_KoZYFfl-Ok2f0gPf4Q1ryg_21_0"/>
      <w:bookmarkStart w:id="738" w:name="Tc_h0nLuC5yd0uQHFVOelwohg_20_0"/>
      <w:bookmarkStart w:id="739" w:name="Tc_HjWz51tvqkOlkcOBPQn76g_19_0"/>
      <w:bookmarkStart w:id="740" w:name="Tc_HetvUW8SaEWStaJzj4YcWA_18_0"/>
      <w:bookmarkStart w:id="741" w:name="Tc_4P5dFN3Gv0eGSNJ7_bcNmA_17_0"/>
      <w:bookmarkStart w:id="742" w:name="Tc_VSxE1rKrhUaXJA2Ir8FvSQ_16_3"/>
      <w:bookmarkStart w:id="743" w:name="Tc_G2GupszT_Uudj4HOln-hiA_16_0"/>
      <w:bookmarkStart w:id="744" w:name="Tc_jTRXxK2li0mY9oHqdAl1lw_15_6"/>
      <w:bookmarkStart w:id="745" w:name="Tc_x1vZ69BVrE6_5cqtcZJnTw_15_0"/>
      <w:bookmarkStart w:id="746" w:name="Tc_oZEWeAV-QUuWMOP9SW90Xw_14_0"/>
      <w:bookmarkStart w:id="747" w:name="Tc_2xQA7EVwp0iXuCrIXO6M0w_13_0"/>
      <w:bookmarkStart w:id="748" w:name="Tc_cQPVwqcU6UugFckeJj8-sQ_12_6"/>
      <w:bookmarkStart w:id="749" w:name="Tc_EfGL6OVix0W0H-QXTHR91A_12_0"/>
      <w:bookmarkStart w:id="750" w:name="Tc_lNx1C84p5kKFvIP9QdZqSQ_11_0"/>
      <w:bookmarkStart w:id="751" w:name="Tc_Zr_0dcKnUUusp9OuWUCmug_10_0"/>
      <w:bookmarkStart w:id="752" w:name="Tc_qR82lWa5NUy8AEasnrx_PA_9_0"/>
      <w:bookmarkStart w:id="753" w:name="Tc__J1vIUf51EaRKEheOqYIgQ_8_0"/>
      <w:bookmarkStart w:id="754" w:name="Tc_Jv67qxJ7sECQuHeaiBf8FA_7_0"/>
      <w:bookmarkStart w:id="755" w:name="Tc_Cj6dHR3R2067bDXjzJpX4Q_6_0"/>
      <w:bookmarkStart w:id="756" w:name="Tc_v2ivXQ-01E-6rARfuDKoBQ_5_5"/>
      <w:bookmarkStart w:id="757" w:name="Tc_ymManMTJyUmRS8KG3iHxBw_5_2"/>
      <w:bookmarkStart w:id="758" w:name="Tc_5Iw-dS47c0-_3K34fhi8Iw_5_0"/>
      <w:bookmarkStart w:id="759" w:name="Tc_H0ttMrsSJEuL1_s2C79BNw_4_0"/>
      <w:bookmarkStart w:id="760" w:name="Tc_rgXf3T9IY0GTp3yKjwkRYw_3_5"/>
      <w:bookmarkStart w:id="761" w:name="Tc_3WilQt2LeUedbuZCfwmjOg_3_2"/>
      <w:bookmarkStart w:id="762" w:name="Tc_m-CQ7ZY_ikq-K9f3pSaXag_2_5"/>
      <w:bookmarkStart w:id="763" w:name="Tc__3154_N0DUuz0Bd-_aR8Bg_2_2"/>
      <w:bookmarkStart w:id="764" w:name="Tc_DdvyRfcyH0m95ztckSmwsA_1_2"/>
      <w:bookmarkStart w:id="765" w:name="Tc_S9ZnI9oI_0C2PlDdnm4y_g_1_0"/>
      <w:bookmarkStart w:id="766" w:name="_392278bb_37f8_456c_af2c_d57ea701c3a4"/>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tbl>
      <w:tblPr>
        <w:tblW w:w="9157" w:type="dxa"/>
        <w:jc w:val="left"/>
        <w:tblInd w:w="0" w:type="dxa"/>
        <w:tblLayout w:type="fixed"/>
        <w:tblCellMar>
          <w:top w:w="0" w:type="dxa"/>
          <w:left w:w="0" w:type="dxa"/>
          <w:bottom w:w="0" w:type="dxa"/>
          <w:right w:w="0" w:type="dxa"/>
        </w:tblCellMar>
      </w:tblPr>
      <w:tblGrid>
        <w:gridCol w:w="6391"/>
        <w:gridCol w:w="346"/>
        <w:gridCol w:w="196"/>
        <w:gridCol w:w="811"/>
        <w:gridCol w:w="346"/>
        <w:gridCol w:w="196"/>
        <w:gridCol w:w="871"/>
      </w:tblGrid>
      <w:tr>
        <w:trPr/>
        <w:tc>
          <w:tcPr>
            <w:tcW w:w="6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058285" cy="175260"/>
                      <wp:effectExtent l="0" t="0" r="0" b="0"/>
                      <wp:wrapNone/>
                      <wp:docPr id="82" name="Frame82"/>
                      <a:graphic xmlns:a="http://schemas.openxmlformats.org/drawingml/2006/main">
                        <a:graphicData uri="http://schemas.microsoft.com/office/word/2010/wordprocessingShape">
                          <wps:wsp>
                            <wps:cNvSpPr txBox="1"/>
                            <wps:spPr>
                              <a:xfrm>
                                <a:off x="0" y="0"/>
                                <a:ext cx="405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24460" cy="175260"/>
                      <wp:effectExtent l="0" t="0" r="0" b="0"/>
                      <wp:wrapNone/>
                      <wp:docPr id="84" name="Frame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14985" cy="175260"/>
                      <wp:effectExtent l="0" t="0" r="0" b="0"/>
                      <wp:wrapNone/>
                      <wp:docPr id="85" name="Frame8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24460" cy="175260"/>
                      <wp:effectExtent l="0" t="0" r="0" b="0"/>
                      <wp:wrapNone/>
                      <wp:docPr id="87" name="Frame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53085" cy="175260"/>
                      <wp:effectExtent l="0" t="0" r="0" b="0"/>
                      <wp:wrapNone/>
                      <wp:docPr id="88" name="Frame8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of United States dollars)</w:t>
            </w:r>
          </w:p>
        </w:tc>
        <w:tc>
          <w:tcPr>
            <w:tcW w:w="346" w:type="dxa"/>
            <w:tcBorders/>
            <w:vAlign w:val="center"/>
          </w:tcPr>
          <w:p>
            <w:pPr>
              <w:pStyle w:val="TableContents"/>
              <w:bidi w:val="0"/>
              <w:spacing w:before="0" w:after="1"/>
              <w:ind w:left="0" w:right="0" w:hanging="0"/>
              <w:jc w:val="left"/>
              <w:rPr/>
            </w:pPr>
            <w:r>
              <w:rPr/>
              <w:t>​</w:t>
            </w:r>
          </w:p>
        </w:tc>
        <w:tc>
          <w:tcPr>
            <w:tcW w:w="2420"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63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46" w:type="dxa"/>
            <w:tcBorders/>
            <w:vAlign w:val="center"/>
          </w:tcPr>
          <w:p>
            <w:pPr>
              <w:pStyle w:val="TableContents"/>
              <w:bidi w:val="0"/>
              <w:spacing w:before="0" w:after="1"/>
              <w:ind w:left="0" w:right="0" w:hanging="0"/>
              <w:jc w:val="left"/>
              <w:rPr/>
            </w:pPr>
            <w:r>
              <w:rPr/>
              <w:t>​</w:t>
            </w:r>
          </w:p>
        </w:tc>
        <w:tc>
          <w:tcPr>
            <w:tcW w:w="106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w:t>
            </w:r>
          </w:p>
        </w:tc>
      </w:tr>
      <w:tr>
        <w:trPr/>
        <w:tc>
          <w:tcPr>
            <w:tcW w:w="63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6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pPr>
            <w:r>
              <w:rPr/>
              <w:t>​</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earnings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134,268</w:t>
            </w:r>
          </w:p>
        </w:tc>
        <w:tc>
          <w:tcPr>
            <w:tcW w:w="346" w:type="dxa"/>
            <w:tcBorders/>
            <w:vAlign w:val="center"/>
          </w:tcPr>
          <w:p>
            <w:pPr>
              <w:pStyle w:val="TableContents"/>
              <w:bidi w:val="0"/>
              <w:spacing w:before="0" w:after="1"/>
              <w:ind w:left="0" w:right="0" w:hanging="0"/>
              <w:jc w:val="left"/>
              <w:rPr/>
            </w:pPr>
            <w:r>
              <w:rPr/>
              <w:t>  ​ ​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180,294</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earnings to net cash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pPr>
            <w:r>
              <w:rPr/>
              <w:t>​</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73,366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66,941</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intangibles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10,853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11,745</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Expense associated with share-based and grant compensation arrangements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15,470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20,370</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(2,443)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on investments and other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(4,036)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(654)</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Impairment of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Equity in earnings of investee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(794)</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(gain) loss on sale, disposition and impairment of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3,754</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Impairment of intangibles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Gain from reduction of estimated earnout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(1,855)</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(245,592)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(184,404)</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2,461</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 and cash overdraft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86,514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32,887</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liabilities and other</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(7,102)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(17,381)</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60,645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113,138</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used in investing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Capital expenditures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(86,576)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(129,752)</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sale of property, plant and equipment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11,711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3,694</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Acquisitions and purchases of noncontrolling interest, net of cash received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(122,008)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(15,706)</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Purchases of investments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(19,825)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(16,873)</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sale of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10,801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7,467</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1,591</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used in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(204,035)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(149,579)</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used in financing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Borrowings under revolving credit facilities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23,703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13,357</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Repayments under revolving credit facilities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(19,033)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(12,814)</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Contingent consideration payments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(221)</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issuance of common stock</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1,294</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Dividends paid to shareholders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(40,390)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(41,978)</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Distributions to noncontrolling interest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remaining noncontrolling interest of subsidiary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(3,937)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Payments to taxing authorities in connection with shares directly withheld from employees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(9,560)</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Repurchase of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(140,457)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(251,933)</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used in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(183,233)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(302,338)</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Effect of exchange rate changes on cash</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2,176</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change in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(326,204)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(336,603)</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cash equivalents, and restricted cash, beginning of period</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925,071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1,179,594</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cash equivalents, and restricted cash,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598,867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842,991</w:t>
            </w:r>
          </w:p>
        </w:tc>
      </w:tr>
      <w:tr>
        <w:trPr/>
        <w:tc>
          <w:tcPr>
            <w:tcW w:w="63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Reconciliation of cash,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 beginning of period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914,199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1,171,828</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10,872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7,766</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cash equivalents, and restricted cash, beginning of period</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925,071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1,179,594</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597,263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841,930</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 end of period</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1,061</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cash equivalents, and restricted cash,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598,867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842,991</w:t>
            </w:r>
          </w:p>
        </w:tc>
      </w:tr>
      <w:tr>
        <w:trPr/>
        <w:tc>
          <w:tcPr>
            <w:tcW w:w="63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Supplemental information: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pPr>
            <w:r>
              <w:rPr/>
              <w:t>​</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paid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4,635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5,390</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taxes paid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17,273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53,580</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Non-cash investing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Capital expenditures included in 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1,325</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Non-cash financing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issued under deferred compensation plans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8,626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shd w:fill="CCEEFF" w:val="clear"/>
            <w:vAlign w:val="center"/>
          </w:tcPr>
          <w:p>
            <w:pPr>
              <w:pStyle w:val="TableContents"/>
              <w:bidi w:val="0"/>
              <w:spacing w:before="0" w:after="1"/>
              <w:ind w:left="0" w:right="48" w:hanging="0"/>
              <w:jc w:val="right"/>
              <w:rPr>
                <w:rFonts w:ascii="Times New Roman;Times;serif" w:hAnsi="Times New Roman;Times;serif"/>
                <w:sz w:val="16"/>
              </w:rPr>
            </w:pPr>
            <w:r>
              <w:rPr>
                <w:rFonts w:ascii="Times New Roman;Times;serif" w:hAnsi="Times New Roman;Times;serif"/>
                <w:sz w:val="16"/>
              </w:rPr>
              <w:t>9,908</w:t>
            </w:r>
          </w:p>
        </w:tc>
      </w:tr>
    </w:tbl>
    <w:p>
      <w:pPr>
        <w:pStyle w:val="TextBody"/>
        <w:bidi w:val="0"/>
        <w:spacing w:before="120" w:after="0"/>
        <w:ind w:left="0" w:right="0" w:firstLine="720"/>
        <w:jc w:val="left"/>
        <w:rPr>
          <w:rFonts w:ascii="Times New Roman;Times;serif" w:hAnsi="Times New Roman;Times;serif"/>
          <w:sz w:val="18"/>
        </w:rPr>
      </w:pPr>
      <w:r>
        <w:rPr>
          <w:rFonts w:ascii="Times New Roman;Times;serif" w:hAnsi="Times New Roman;Times;serif"/>
          <w:sz w:val="18"/>
        </w:rPr>
        <w:t>See notes to unaudited interim condensed consolidated financial statements</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0"/>
        <w:ind w:left="0" w:right="0" w:hanging="0"/>
        <w:jc w:val="center"/>
        <w:rPr>
          <w:rFonts w:ascii="Times New Roman;Times;serif" w:hAnsi="Times New Roman;Times;serif"/>
          <w:b/>
          <w:sz w:val="20"/>
        </w:rPr>
      </w:pPr>
      <w:bookmarkStart w:id="767" w:name="NOTESTOUNAUDITED_293189"/>
      <w:bookmarkStart w:id="768" w:name="_ffe2b5f9_b471_4daa_a2da_861a14eab1a1"/>
      <w:bookmarkEnd w:id="767"/>
      <w:bookmarkEnd w:id="768"/>
      <w:r>
        <w:rPr>
          <w:rFonts w:ascii="Times New Roman;Times;serif" w:hAnsi="Times New Roman;Times;serif"/>
          <w:b/>
          <w:sz w:val="20"/>
        </w:rPr>
        <w:t>NOTES TO UNAUDITED INTERIM</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BASIS OF PRESENTATION AND SIGNIFICANT ACCOUNTING POLICIES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Presentation Currency</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accompanying unaudited interim condensed consolidated financial statements are presented in United States dollars (“US dollars” or “USD”), unless otherwise indicated.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Principles of Consolidation</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The accompanying unaudited interim condensed consolidated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the information and footnotes normally included in the annual consolidated financial statements prepared in accordance with accounting principles generally accepted in the United States of America. All significant intercompany balances and transactions have been eliminated in consolidation. </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We consolidate entities in which we have a controlling financial interest. In determining whether we have a controlling financial interest in a partially owned entity and the requirement to consolidate the accounts of that entity, we consider factors such as ownership interest, board representation, management representation, authority to make decisions, and contractual and substantive participating rights of the partners/members as well as whether the entity is a variable interest entity (“VIE”) and whether we are the primary beneficiary. The primary beneficiary of a VIE is the entity that has (i) the power to direct the activities that most significantly impact the entity's economic performance and (ii) the obligation to absorb losses of the VIE or the right to receive benefits from the VIE that could be significant to the VIE. The primary beneficiary is required to consolidate the VIE. We account for unconsolidated VIEs using the equity method of accounting.</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As a result of the investment in Dempsey on June 27, 2022, we own 50% of the issued equity of that entity, and the remaining 50% of the issued equity is owned by the previous owners (“Sellers”). The investment in Dempsey is an unconsolidated variable interest entity and we have accounted for it using the equity method of accounting because we do not have a controlling financial interest in the entity. Per the contracts, the Sellers have a put right to sell their equity interest to us for $50 million and we have a call right to purchase the Seller’s equity interest for $70 million, which were both first exercisable in June 2025 and expire in June 2030. As of June 27, 2026, the carrying value of our investment in Dempsey is $51.3 million, which is recorded in Other Assets on our condensed consolidated balance sheets. Our maximum exposure to loss consists of our investment amount and any contingent loss that may occur in the future as a result of a change in the fair value of Dempsey relative to the strike price of the put option.</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27, 2025.</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June 28, 2025 balances in the accompanying unaudited condensed consolidated balance sheets.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Assets and Liabilities Held for Sale</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We classify assets and related liabilities as held for sale when the following conditions are met: (i) management has committed to a plan to sell the net assets, (ii) the net assets are available for immediate sale, (iii) there is an active program to locate a buyer, (iv) the sale and transfer of the net assets is probable within one year, (v) the net assets are being actively marketed for sale at a price that is reasonable in relation to the current fair value, and (vi) it is unlikely that significant changes will be made to the plan to sell the net assets. Upon designation as held for sale, we record the assets and related liabilities at the lower of their carrying value or their estimated fair value, reduced for the costs to dispose of the assets and related liabilities, which we determined using the estimated proceeds from the sale. </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During the second quarter of 2026, machinery and equipment and real estate within our Retail and Corporate segments met the criteria as held for sale, and therefore we have classified the related assets as held for sale on the condensed consolidated balance sheet. The fair value measurements for the assets held for sale are generally based on Level 3 inputs, which include information obtained from third-party appraisals. The assets had a carrying value of $2.6 million as of June 27, 2026, with $3.3 million of impairment charges recorded in fiscal 2025. No additional impairment charges were recorded during the second quarter of 2026. We have recognized $0.8 million of net gains on the sale of real estate and machinery and equipment that were previously classified as assets held for sale during the year and were </w:t>
      </w:r>
      <w:r>
        <w:rPr>
          <w:rFonts w:ascii="Times New Roman;Times;serif" w:hAnsi="Times New Roman;Times;serif"/>
          <w:b w:val="false"/>
          <w:i w:val="false"/>
          <w:caps w:val="false"/>
          <w:smallCaps w:val="false"/>
          <w:sz w:val="20"/>
        </w:rPr>
        <w:t>included</w:t>
      </w:r>
      <w:r>
        <w:rPr>
          <w:rFonts w:ascii="Times New Roman;Times;serif" w:hAnsi="Times New Roman;Times;serif"/>
          <w:sz w:val="20"/>
        </w:rPr>
        <w:t xml:space="preserve"> in net loss (gain) on disposition and impairments of assets on the condensed consolidated statements of earnings and comprehensive income.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Recently Issued Accounting Guidance</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In September 2025, the FASB issued ASU 2025-06, Intangible - Goodwill and Other - Internal-Use Software (Subtopic 350-40): Targeted Improvements to the Accounting for Internal-Use Software. The ASU removes all references to prescriptive and sequential software development stages. The ASU requires entities to begin capitalizing software costs when management authorizes and commits to funding the software project, and it is probable that the project will be completed, and the software will be used for its intended purpose. The amendments in this ASU are effective for fiscal years beginning after December 15, 2027, and interim reporting periods within those annual reporting periods, using a prospective, retrospective or modified transition approach, with early adoption permitted. We are currently evaluating the impact of adopting this guidance on the consolidated financial statements and related disclosures.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In November 2024, the FASB issued ASU 2024-03, Income Statement - Reporting Comprehensive Income (Topic 220): Expense Disaggregation Disclosures. Additionally, in January 2025, the FASB issued ASU 2025-01 to clarify the effective date of ASU 2024-03. This ASU provides guidance to expand disclosures related to the disaggregation of income statement expenses. Also, this ASU requires, in the notes to the financial statements, disclosure of specified information about certain costs and expenses which includes purchases of inventory, employee compensation, depreciation, and intangible asset amortization included in each relevant expense caption. ASU 2025-01 is effective for fiscal years beginning after December 15, 2026, and interim periods within annual reporting periods beginning after December 15, 2027, on a retrospective or prospective basis, with early adoption permitted. We are currently evaluating the impact of adopting this guidance on the financial statement disclosures.</w:t>
      </w:r>
    </w:p>
    <w:p>
      <w:pPr>
        <w:pStyle w:val="TextBody"/>
        <w:bidi w:val="0"/>
        <w:spacing w:before="0" w:after="24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hanging="0"/>
        <w:jc w:val="left"/>
        <w:rPr>
          <w:rFonts w:ascii="Times New Roman;Times;serif" w:hAnsi="Times New Roman;Times;serif"/>
          <w:b/>
          <w:sz w:val="20"/>
        </w:rPr>
      </w:pPr>
      <w:bookmarkStart w:id="769" w:name="Tc_abkRslKBikSSDoPVu2ZeQA_19_23"/>
      <w:bookmarkStart w:id="770" w:name="Tc_j3939XXHhk2CNDecPTz79g_19_20"/>
      <w:bookmarkStart w:id="771" w:name="Tc_IBsNdbkNAE6hUsDKNCDjxQ_19_17"/>
      <w:bookmarkStart w:id="772" w:name="Tc_fWggTELChUqVf0Pjfl_LKA_19_14"/>
      <w:bookmarkStart w:id="773" w:name="Tc_9ga1I_4gnU-PzlWI2GP8oQ_19_11"/>
      <w:bookmarkStart w:id="774" w:name="Tc_Jxg0VAGI8UeLuTJMip6ZIw_19_8"/>
      <w:bookmarkStart w:id="775" w:name="Tc_wH7X_swEWkurBmYIcD5hVg_19_5"/>
      <w:bookmarkStart w:id="776" w:name="Tc_8VJNzS0Ar0eGlFh01qX1xQ_19_2"/>
      <w:bookmarkStart w:id="777" w:name="Tc_1fZnxND2dUC1yMZSCl815Q_19_0"/>
      <w:bookmarkStart w:id="778" w:name="Tc_pBmAwn_2akiUbh0EYjGSCg_18_21"/>
      <w:bookmarkStart w:id="779" w:name="Tc_z_CH8PFT2UmgoYOOpQEh5A_18_18"/>
      <w:bookmarkStart w:id="780" w:name="Tc_pshIsb2eF0avNspNzCuVGA_18_9"/>
      <w:bookmarkStart w:id="781" w:name="Tc_BU3ViJ-05Ea512ulMb-wIQ_18_6"/>
      <w:bookmarkStart w:id="782" w:name="Tc_A9qyXo1Qok6Es-Ygbp22cQ_18_0"/>
      <w:bookmarkStart w:id="783" w:name="Tc_SAIYSJfApUivJ7BEbRRbvQ_17_21"/>
      <w:bookmarkStart w:id="784" w:name="Tc_OWnBNfg5ykCdYhmI4O6tpQ_17_18"/>
      <w:bookmarkStart w:id="785" w:name="Tc_GORsR00WbkWFRMcAB2q_Pw_17_9"/>
      <w:bookmarkStart w:id="786" w:name="Tc_Bn-leWJJAUWVZP_t-kyvUQ_17_6"/>
      <w:bookmarkStart w:id="787" w:name="Tc_zJpR0y0zFESH3_rz1KqINQ_17_0"/>
      <w:bookmarkStart w:id="788" w:name="Tc_jg48OPfhN0aBi7TAvxleHA_16_21"/>
      <w:bookmarkStart w:id="789" w:name="Tc_xmFHGCWaFke8inKfOQXowA_16_18"/>
      <w:bookmarkStart w:id="790" w:name="Tc_3BJ1j35GPkavqrqwv_Sp6g_16_9"/>
      <w:bookmarkStart w:id="791" w:name="Tc_pNiMKffxGEeX6F087ylikQ_16_6"/>
      <w:bookmarkStart w:id="792" w:name="Tc_tkCk_PIcokS3z3UA6bgxYA_16_0"/>
      <w:bookmarkStart w:id="793" w:name="Tc_60feUo2XvkCImoFGM55ivg_15_21"/>
      <w:bookmarkStart w:id="794" w:name="Tc_oq578_XC1E-KEIhujIJZXA_15_18"/>
      <w:bookmarkStart w:id="795" w:name="Tc_TOe1dEE6k0aAJkdT8NYkcw_15_9"/>
      <w:bookmarkStart w:id="796" w:name="Tc_n4jhc2AC7k2R3qZYsntECQ_15_6"/>
      <w:bookmarkStart w:id="797" w:name="Tc_Xd5qH8V4akKUHsBUhgaJCQ_15_0"/>
      <w:bookmarkStart w:id="798" w:name="Tc_qEIP4tSADES2YyfZW0QpIg_14_21"/>
      <w:bookmarkStart w:id="799" w:name="Tc_XbdvDuWb7ESwDT70p_7eQQ_14_18"/>
      <w:bookmarkStart w:id="800" w:name="Tc_7eITlEboKESeuF2fMG0IgA_14_9"/>
      <w:bookmarkStart w:id="801" w:name="Tc_jknRvvQTY0-TExWPuoz-rQ_14_6"/>
      <w:bookmarkStart w:id="802" w:name="Tc_gSDhyV9TwkG8whH1vsT6Qg_14_0"/>
      <w:bookmarkStart w:id="803" w:name="Tc_SQqcdHyhl0qIuAdztDF8Mw_13_21"/>
      <w:bookmarkStart w:id="804" w:name="Tc_shl8e9Gl30-Tf0REJmTkGw_13_18"/>
      <w:bookmarkStart w:id="805" w:name="Tc_5F1XjEWPWk-wOgyCzob-oA_13_9"/>
      <w:bookmarkStart w:id="806" w:name="Tc_V9oGfAGEekChd8qfNCcs5Q_13_6"/>
      <w:bookmarkStart w:id="807" w:name="Tc_8X3ChjUiUkObKlSQTF30TQ_13_0"/>
      <w:bookmarkStart w:id="808" w:name="Tc_k_A2uEaY_Umg3WErYTO1PQ_12_0"/>
      <w:bookmarkStart w:id="809" w:name="Tc_jbRjnzmHSUqhhYiXE69LOQ_11_18"/>
      <w:bookmarkStart w:id="810" w:name="Tc_1Wlg33f-oka63FiDHzNIkQ_11_15"/>
      <w:bookmarkStart w:id="811" w:name="Tc_GWa6Nk3PFE-cT5L2UhooUg_11_6"/>
      <w:bookmarkStart w:id="812" w:name="Tc_RLoDQwhJGk-DtOLZIiysWg_11_3"/>
      <w:bookmarkStart w:id="813" w:name="Tc_dgLWV_2uhEKYGbIVukWsSQ_11_0"/>
      <w:bookmarkStart w:id="814" w:name="Tc_HuvrJX7SaUCE0p0nJmhA5Q_10_18"/>
      <w:bookmarkStart w:id="815" w:name="Tc_HwwdWR0lu0ahe9JH_r82UQ_10_6"/>
      <w:bookmarkStart w:id="816" w:name="Tc_h4FIGFW1lEOwpAmGtvPtdw_10_0"/>
      <w:bookmarkStart w:id="817" w:name="Tc_nuAo8aLrVUOqahvRggNUpA_9_21"/>
      <w:bookmarkStart w:id="818" w:name="Tc_KJ_PKqfCWUKeV4UGJXl6WQ_9_18"/>
      <w:bookmarkStart w:id="819" w:name="Tc_ch5Z3UEdZ0GZDHs4618LjA_9_9"/>
      <w:bookmarkStart w:id="820" w:name="Tc_DFlBx00LKUyfRyMCjJqzyA_9_6"/>
      <w:bookmarkStart w:id="821" w:name="Tc_-xJwi8Xq3UWjvYGT2SWY_g_9_0"/>
      <w:bookmarkStart w:id="822" w:name="Tc_y6kmO0tic0evW60zmOQApw_8_21"/>
      <w:bookmarkStart w:id="823" w:name="Tc_wf1NykgaU0eB3UEcrRcdSQ_8_9"/>
      <w:bookmarkStart w:id="824" w:name="Tc_hlCpiDDQnEOVUjZkzCNcAg_8_0"/>
      <w:bookmarkStart w:id="825" w:name="Tc_HJv3pUTbqECO4VDFMk4Qxg_7_23"/>
      <w:bookmarkStart w:id="826" w:name="Tc_4_b6SfvBjEmQL-WHglt3ng_7_21"/>
      <w:bookmarkStart w:id="827" w:name="Tc_Wbrf5IyP9ECdVpYIP9LjRA_7_20"/>
      <w:bookmarkStart w:id="828" w:name="Tc_dthnX-ZAvECanzSlu9-swg_7_17"/>
      <w:bookmarkStart w:id="829" w:name="Tc_AZmDKqMD8EGrLtzTo0Qqxg_7_14"/>
      <w:bookmarkStart w:id="830" w:name="Tc_uHOvQPfmTUa0qYaORoY6Ew_7_11"/>
      <w:bookmarkStart w:id="831" w:name="Tc_pb3c8XgdE0287nwI4THOrw_7_9"/>
      <w:bookmarkStart w:id="832" w:name="Tc_lkiiwdzPakOCynupnpDI2g_7_8"/>
      <w:bookmarkStart w:id="833" w:name="Tc_txVQyb39C0-LWtdfUhXXvA_7_5"/>
      <w:bookmarkStart w:id="834" w:name="Tc_oxDnTWK4Mk644cSqpQhGUw_7_2"/>
      <w:bookmarkStart w:id="835" w:name="Tc_2M-TdZfgSUudCPe6Zo53Cw_7_0"/>
      <w:bookmarkStart w:id="836" w:name="Tc_bNNvUEc7GUeXybWCcs-JJg_6_23"/>
      <w:bookmarkStart w:id="837" w:name="Tc_tiD2sm2CVkCclKV37X-abw_6_21"/>
      <w:bookmarkStart w:id="838" w:name="Tc_cMTiFUQthEmCmYnKzkIEUg_6_17"/>
      <w:bookmarkStart w:id="839" w:name="Tc__aJI6p6eAUCsdyjmuPJ0GQ_6_14"/>
      <w:bookmarkStart w:id="840" w:name="Tc_L_cXi-bxL02uG9inLzsYlg_6_11"/>
      <w:bookmarkStart w:id="841" w:name="Tc_Ihy_M2hPuUefypqNhVUcDw_6_9"/>
      <w:bookmarkStart w:id="842" w:name="Tc_nB0WjgW1cUCaGR5eKmhYiA_6_5"/>
      <w:bookmarkStart w:id="843" w:name="Tc_NL82L17WB0COurKco6wWDA_6_2"/>
      <w:bookmarkStart w:id="844" w:name="Tc_lK8uKMxjCUyD81J6nIk2tQ_5_21"/>
      <w:bookmarkStart w:id="845" w:name="Tc_yvZK5H6y2E2BOU-mZWzFqQ_5_17"/>
      <w:bookmarkStart w:id="846" w:name="Tc_NlI-Nb-sSU6BvCbHjlHx5Q_5_14"/>
      <w:bookmarkStart w:id="847" w:name="Tc_RsXtaZ2dCkyNjkDTFIUmlg_5_9"/>
      <w:bookmarkStart w:id="848" w:name="Tc_pm-Pu-iwHkeA8ZWlVOxvyw_5_5"/>
      <w:bookmarkStart w:id="849" w:name="Tc_MwUItdLjeEWl9SY3w8q84w_5_2"/>
      <w:bookmarkStart w:id="850" w:name="Tc_R2v2-3oRGU6Q4qhiKe1pLA_4_21"/>
      <w:bookmarkStart w:id="851" w:name="Tc_mkX3FmpMnUOf06GGTq_QNg_4_17"/>
      <w:bookmarkStart w:id="852" w:name="Tc_QUBNpfncqkO_7RbXgIr7-A_4_14"/>
      <w:bookmarkStart w:id="853" w:name="Tc_955djYNCOUC-YF0lRzq-Yg_4_9"/>
      <w:bookmarkStart w:id="854" w:name="Tc_wTprhbZAhU6mgCHfkLwSOQ_4_5"/>
      <w:bookmarkStart w:id="855" w:name="Tc_nCRFhJ1HY0STJuHv_uuESA_4_2"/>
      <w:bookmarkStart w:id="856" w:name="Tc_6iJ7M-S_Ak-Ez6PoVCAFEQ_3_21"/>
      <w:bookmarkStart w:id="857" w:name="Tc_to3H-EOtMkWdsYyUraiP2g_3_17"/>
      <w:bookmarkStart w:id="858" w:name="Tc_FZemQ0S1Hkqj9Y9m7TSbfg_3_14"/>
      <w:bookmarkStart w:id="859" w:name="Tc_Gx91e0UXFUu_44Gjx8ZUwA_3_9"/>
      <w:bookmarkStart w:id="860" w:name="Tc_uBuCz01f6kiOV9HQ0b1qHQ_3_5"/>
      <w:bookmarkStart w:id="861" w:name="Tc_jU_bq00BQ0yO-KjRTjjQNg_3_2"/>
      <w:bookmarkStart w:id="862" w:name="Tc_hUqkEMr3U0q7P3PqCUmLXA_2_17"/>
      <w:bookmarkStart w:id="863" w:name="Tc_clYUd9wOUEminMhRoaXQfA_2_14"/>
      <w:bookmarkStart w:id="864" w:name="Tc_qFg5Iv9UfUmwWg7q8Tm-_g_2_5"/>
      <w:bookmarkStart w:id="865" w:name="Tc_QcPK65NwXEKUh6MqlSdseQ_2_2"/>
      <w:bookmarkStart w:id="866" w:name="Tc_wSc2XMba4kCx7EDHo9bM4g_1_14"/>
      <w:bookmarkStart w:id="867" w:name="Tc_Nkx68goH802xMQNXL0D9TA_1_2"/>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r>
        <w:rPr>
          <w:rFonts w:ascii="Times New Roman;Times;serif" w:hAnsi="Times New Roman;Times;serif"/>
          <w:b/>
          <w:sz w:val="20"/>
        </w:rPr>
        <w:t>B.       FAIR VALUE</w:t>
      </w:r>
    </w:p>
    <w:p>
      <w:pPr>
        <w:pStyle w:val="TextBody"/>
        <w:bidi w:val="0"/>
        <w:spacing w:before="0" w:after="240"/>
        <w:ind w:left="0" w:right="0" w:firstLine="547"/>
        <w:jc w:val="left"/>
        <w:rPr>
          <w:rFonts w:ascii="Times New Roman;Times;serif" w:hAnsi="Times New Roman;Times;serif"/>
          <w:sz w:val="20"/>
        </w:rPr>
      </w:pPr>
      <w:r>
        <w:rPr>
          <w:rFonts w:ascii="Times New Roman;Times;serif" w:hAnsi="Times New Roman;Times;serif"/>
          <w:sz w:val="20"/>
        </w:rPr>
        <w:t xml:space="preserve">We apply the provisions of ASC 820, </w:t>
      </w:r>
      <w:r>
        <w:rPr>
          <w:rFonts w:ascii="Times New Roman;Times;serif" w:hAnsi="Times New Roman;Times;serif"/>
          <w:i/>
          <w:sz w:val="20"/>
        </w:rPr>
        <w:t>Fair Value Measurements and Disclosures</w:t>
      </w:r>
      <w:r>
        <w:rPr>
          <w:rFonts w:ascii="Times New Roman;Times;serif" w:hAnsi="Times New Roman;Times;serif"/>
          <w:sz w:val="20"/>
        </w:rPr>
        <w:t>, to assets and liabilities measured at fair value. Assets measured at fair value are as follows (in thousands):</w:t>
      </w:r>
    </w:p>
    <w:p>
      <w:pPr>
        <w:pStyle w:val="TextBody"/>
        <w:bidi w:val="0"/>
        <w:spacing w:before="0" w:after="0"/>
        <w:ind w:left="0" w:right="0" w:hanging="0"/>
        <w:jc w:val="left"/>
        <w:rPr/>
      </w:pPr>
      <w:r>
        <w:rPr/>
        <w:t>​</w:t>
      </w:r>
    </w:p>
    <w:tbl>
      <w:tblPr>
        <w:tblW w:w="12488" w:type="dxa"/>
        <w:jc w:val="left"/>
        <w:tblInd w:w="0" w:type="dxa"/>
        <w:tblLayout w:type="fixed"/>
        <w:tblCellMar>
          <w:top w:w="0" w:type="dxa"/>
          <w:left w:w="0" w:type="dxa"/>
          <w:bottom w:w="0" w:type="dxa"/>
          <w:right w:w="0" w:type="dxa"/>
        </w:tblCellMar>
      </w:tblPr>
      <w:tblGrid>
        <w:gridCol w:w="1171"/>
        <w:gridCol w:w="346"/>
        <w:gridCol w:w="211"/>
        <w:gridCol w:w="781"/>
        <w:gridCol w:w="346"/>
        <w:gridCol w:w="221"/>
        <w:gridCol w:w="710"/>
        <w:gridCol w:w="346"/>
        <w:gridCol w:w="211"/>
        <w:gridCol w:w="1096"/>
        <w:gridCol w:w="346"/>
        <w:gridCol w:w="211"/>
        <w:gridCol w:w="781"/>
        <w:gridCol w:w="346"/>
        <w:gridCol w:w="211"/>
        <w:gridCol w:w="781"/>
        <w:gridCol w:w="346"/>
        <w:gridCol w:w="221"/>
        <w:gridCol w:w="710"/>
        <w:gridCol w:w="346"/>
        <w:gridCol w:w="211"/>
        <w:gridCol w:w="1096"/>
        <w:gridCol w:w="346"/>
        <w:gridCol w:w="211"/>
        <w:gridCol w:w="886"/>
      </w:tblGrid>
      <w:tr>
        <w:trPr/>
        <w:tc>
          <w:tcPr>
            <w:tcW w:w="1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9"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95935" cy="175260"/>
                      <wp:effectExtent l="0" t="0" r="0" b="0"/>
                      <wp:wrapNone/>
                      <wp:docPr id="91" name="Frame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40335" cy="175260"/>
                      <wp:effectExtent l="0" t="0" r="0" b="0"/>
                      <wp:wrapNone/>
                      <wp:docPr id="93" name="Frame93"/>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50850" cy="175260"/>
                      <wp:effectExtent l="0" t="0" r="0" b="0"/>
                      <wp:wrapNone/>
                      <wp:docPr id="94" name="Frame94"/>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5960" cy="175260"/>
                      <wp:effectExtent l="0" t="0" r="0" b="0"/>
                      <wp:wrapNone/>
                      <wp:docPr id="97" name="Frame9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95935" cy="175260"/>
                      <wp:effectExtent l="0" t="0" r="0" b="0"/>
                      <wp:wrapNone/>
                      <wp:docPr id="100" name="Frame10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95935" cy="175260"/>
                      <wp:effectExtent l="0" t="0" r="0" b="0"/>
                      <wp:wrapNone/>
                      <wp:docPr id="103" name="Frame10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40335" cy="175260"/>
                      <wp:effectExtent l="0" t="0" r="0" b="0"/>
                      <wp:wrapNone/>
                      <wp:docPr id="105" name="Frame105"/>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50850" cy="175260"/>
                      <wp:effectExtent l="0" t="0" r="0" b="0"/>
                      <wp:wrapNone/>
                      <wp:docPr id="106" name="Frame106"/>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95960" cy="175260"/>
                      <wp:effectExtent l="0" t="0" r="0" b="0"/>
                      <wp:wrapNone/>
                      <wp:docPr id="109" name="Frame10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11"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62610" cy="175260"/>
                      <wp:effectExtent l="0" t="0" r="0" b="0"/>
                      <wp:wrapNone/>
                      <wp:docPr id="112" name="Frame11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0" w:type="dxa"/>
            <w:gridSpan w:val="11"/>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 2026</w:t>
            </w:r>
          </w:p>
        </w:tc>
        <w:tc>
          <w:tcPr>
            <w:tcW w:w="346" w:type="dxa"/>
            <w:tcBorders/>
            <w:vAlign w:val="center"/>
          </w:tcPr>
          <w:p>
            <w:pPr>
              <w:pStyle w:val="TableContents"/>
              <w:bidi w:val="0"/>
              <w:spacing w:before="0" w:after="0"/>
              <w:ind w:left="0" w:right="0" w:hanging="0"/>
              <w:jc w:val="left"/>
              <w:rPr/>
            </w:pPr>
            <w:r>
              <w:rPr/>
              <w:t>​</w:t>
            </w:r>
          </w:p>
        </w:tc>
        <w:tc>
          <w:tcPr>
            <w:tcW w:w="5365" w:type="dxa"/>
            <w:gridSpan w:val="11"/>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 2025</w:t>
            </w:r>
          </w:p>
        </w:tc>
      </w:tr>
      <w:tr>
        <w:trPr/>
        <w:tc>
          <w:tcPr>
            <w:tcW w:w="1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Prices with</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Prices with</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Prices with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Prices with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3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3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Money market funds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71,769</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17,140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88,909</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182,051</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26,450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208,501</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Fixed income funds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4,836</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52,042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56,878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5,365</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44,227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49,592</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Treasury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345</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345</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345</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Equity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22,089</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25,734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47,823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18,492</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28,000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46,492</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Alternative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4,186</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Mutual funds: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Domestic stock funds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11,367</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10,436</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10,436</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International stock funds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943</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816</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816</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Target funds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Bond funds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Alternative funds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506</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0"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490</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0"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490</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mutual funds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12,834</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09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12,834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11,759</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09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11,759</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111,873</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69,182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30,100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211,155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218,012</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70,677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32,186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320,875</w:t>
            </w:r>
          </w:p>
        </w:tc>
      </w:tr>
    </w:tbl>
    <w:p>
      <w:pPr>
        <w:pStyle w:val="TextBody"/>
        <w:bidi w:val="0"/>
        <w:spacing w:before="0" w:after="0"/>
        <w:ind w:left="0" w:right="0" w:hanging="0"/>
        <w:jc w:val="left"/>
        <w:rPr/>
      </w:pPr>
      <w:r>
        <w:rPr/>
        <w:t>​</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From the assets measured at fair value as of June 27, 2026, listed in the table above, $88.1 million of money market funds are held in Cash and cash equivalents, $46.3 million of mutual funds, equity securities, fixed income funds, and alternative investments are held in Investments, $25.7 million of equity securities are held in Other assets, $0.1 million of mutual funds are held in Other assets for our deferred compensation plan, and $51.0 million of fixed income funds and $0.8 million of money market funds are held in Restricted investments. As of December 27, 2025, $207.9 million of money market funds were held in Cash and cash equivalents, $34.3 million of mutual funds, equity securities, and alternative investments were held in Investments, $28.0 million of equity securities were held in Other assets, $0.2 million of mutual funds were held in Other assets for our deferred compensation plan, and $49.9 million of fixed income funds and $0.6 million of money market funds were held in Restricted investments.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We maintain money market, mutual funds, bonds, and/or equity securities in our non-qualified deferred compensation plan,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w:t>
      </w:r>
      <w:r>
        <w:rPr>
          <w:rFonts w:ascii="Times New Roman;Times;serif" w:hAnsi="Times New Roman;Times;serif"/>
          <w:i/>
          <w:sz w:val="20"/>
        </w:rPr>
        <w:t>Financial Instruments,</w:t>
      </w:r>
      <w:r>
        <w:rPr>
          <w:rFonts w:ascii="Times New Roman;Times;serif" w:hAnsi="Times New Roman;Times;serif"/>
          <w:sz w:val="20"/>
        </w:rPr>
        <w:t xml:space="preserve"> to any of our financial instruments except for those expressly required by U.S. GAAP.</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We have $25.7 and $28.0 million of investments through our Innov8 Fund as of June 27, 2026 and December 27, 2025, respectively, which is designed to invest in emerging projects, services, and technologies. These investments are valued as Level 3 assets and are categorized as “Equity securities.” We evaluate these investments quarterly, including a qualitative assessment for indicators of impairment in accordance with ASC 321-10-35-3. During the first quarter of 2026, we concluded that one investment was fully impaired, resulting in a $4.0 million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firstLine="547"/>
        <w:jc w:val="both"/>
        <w:rPr>
          <w:rFonts w:ascii="Times New Roman;Times;serif" w:hAnsi="Times New Roman;Times;serif"/>
          <w:sz w:val="20"/>
        </w:rPr>
      </w:pPr>
      <w:bookmarkStart w:id="868" w:name="Tc_m5AO5MJwT0aVczFThqJZBQ_9_17"/>
      <w:bookmarkStart w:id="869" w:name="Tc_E3CDp0MDqUCoJ-CpPd5iAg_9_14"/>
      <w:bookmarkStart w:id="870" w:name="Tc_xCQXk5O_PkmgFEyMVn-DqQ_9_11"/>
      <w:bookmarkStart w:id="871" w:name="Tc_-MH4Uppg20upJJR39ZCAqg_9_8"/>
      <w:bookmarkStart w:id="872" w:name="Tc_GnGkFLrlPEWCbtlHvyCHLA_9_5"/>
      <w:bookmarkStart w:id="873" w:name="Tc_kYGop_TZJEageTImduLWKQ_9_2"/>
      <w:bookmarkStart w:id="874" w:name="Tc_iOJBHbr_kE-HfFaqncjIGg_9_0"/>
      <w:bookmarkStart w:id="875" w:name="Tc_YVyT4-iktkKoQ_yaYm6dwg_8_0"/>
      <w:bookmarkStart w:id="876" w:name="Tc_UkcHnXTlEk2j5E6xdbZHLA_7_0"/>
      <w:bookmarkStart w:id="877" w:name="Tc_wQJ2LCaiYkamg2EjDCBBkQ_6_0"/>
      <w:bookmarkStart w:id="878" w:name="Tc_mP4iiME5kkaPHG8RO7qWow_5_15"/>
      <w:bookmarkStart w:id="879" w:name="Tc_3jXZkeikJkGyBc2szCiTUQ_5_6"/>
      <w:bookmarkStart w:id="880" w:name="Tc_Xdlc3F7nFUOUhbGCiXyWpQ_5_0"/>
      <w:bookmarkStart w:id="881" w:name="Tc_nbf2MzgsNUOGyJNRBzUgjA_4_17"/>
      <w:bookmarkStart w:id="882" w:name="Tc_F4upY0Am0EKzTu1STei3nA_4_14"/>
      <w:bookmarkStart w:id="883" w:name="Tc_mvVeyusw_0iEBJGBI67XDA_4_11"/>
      <w:bookmarkStart w:id="884" w:name="Tc_C1-qY9ROw02je_FchZTr_Q_4_8"/>
      <w:bookmarkStart w:id="885" w:name="Tc_psGu-eCvnEWJ7mT2xB0hSg_4_5"/>
      <w:bookmarkStart w:id="886" w:name="Tc_k45mPsIhG02k9sKozsRFsg_4_2"/>
      <w:bookmarkStart w:id="887" w:name="Tc_CLNh_tRfs0-P3eXwAgH-FQ_4_0"/>
      <w:bookmarkStart w:id="888" w:name="Tc_xA5sE9HLHEW7i9BkdEMoZQ_3_17"/>
      <w:bookmarkStart w:id="889" w:name="Tc_Nyhu7EFmvEyI_2k6J1xsFg_3_14"/>
      <w:bookmarkStart w:id="890" w:name="Tc_J3dtUMpN9UyOhkjgana9QA_3_11"/>
      <w:bookmarkStart w:id="891" w:name="Tc_yCanjqnjvk6-1IGUuqMSCw_3_8"/>
      <w:bookmarkStart w:id="892" w:name="Tc_JkRbNtOuY0GErzhGs_QEFQ_3_5"/>
      <w:bookmarkStart w:id="893" w:name="Tc_iGSkuHwUokmhFgB8MX1WtA_3_2"/>
      <w:bookmarkStart w:id="894" w:name="Tc_Reli3ApT2U2rIId3gKdpIA_2_14"/>
      <w:bookmarkStart w:id="895" w:name="Tc_aWgRe8irL0-Q_i4lH-HCEw_2_5"/>
      <w:bookmarkStart w:id="896" w:name="Tc_zzPSX6sXT0azZ5fCN-auzw_1_11"/>
      <w:bookmarkStart w:id="897" w:name="Tc_uiOeWVjT1kmKwwbhkQ9QSg_1_2"/>
      <w:bookmarkStart w:id="898" w:name="_4e1e4819_9792_4b8c_b20b_1a65604f3b2a"/>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r>
        <w:rPr>
          <w:rFonts w:ascii="Times New Roman;Times;serif" w:hAnsi="Times New Roman;Times;serif"/>
          <w:sz w:val="20"/>
        </w:rPr>
        <w:t>In accordance with our investment policy, our wholly-owned captive, Ardellis Insurance Ltd. (“Ardellis”), maintains an investment portfolio, totaling $96.4 million and $84.3 million as of June 27, 2026 and December 27, 2025, respectively, which has been included in the aforementioned table of total investments. This portfolio consists of domestic and international equity securities, alternative investments, and fixed income bonds.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Ardellis’ available for sale investment portfolio, including funds held with the State of Michigan, consists of the following (in thousands):</w:t>
      </w:r>
    </w:p>
    <w:tbl>
      <w:tblPr>
        <w:tblW w:w="9628" w:type="dxa"/>
        <w:jc w:val="left"/>
        <w:tblInd w:w="0" w:type="dxa"/>
        <w:tblLayout w:type="fixed"/>
        <w:tblCellMar>
          <w:top w:w="0" w:type="dxa"/>
          <w:left w:w="0" w:type="dxa"/>
          <w:bottom w:w="0" w:type="dxa"/>
          <w:right w:w="0" w:type="dxa"/>
        </w:tblCellMar>
      </w:tblPr>
      <w:tblGrid>
        <w:gridCol w:w="2056"/>
        <w:gridCol w:w="346"/>
        <w:gridCol w:w="211"/>
        <w:gridCol w:w="676"/>
        <w:gridCol w:w="346"/>
        <w:gridCol w:w="225"/>
        <w:gridCol w:w="720"/>
        <w:gridCol w:w="346"/>
        <w:gridCol w:w="211"/>
        <w:gridCol w:w="676"/>
        <w:gridCol w:w="346"/>
        <w:gridCol w:w="211"/>
        <w:gridCol w:w="676"/>
        <w:gridCol w:w="346"/>
        <w:gridCol w:w="239"/>
        <w:gridCol w:w="647"/>
        <w:gridCol w:w="346"/>
        <w:gridCol w:w="211"/>
        <w:gridCol w:w="793"/>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05560" cy="175260"/>
                      <wp:effectExtent l="0" t="0" r="0" b="0"/>
                      <wp:wrapNone/>
                      <wp:docPr id="113" name="Frame113"/>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29260" cy="175260"/>
                      <wp:effectExtent l="0" t="0" r="0" b="0"/>
                      <wp:wrapNone/>
                      <wp:docPr id="116" name="Frame1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42875" cy="175260"/>
                      <wp:effectExtent l="0" t="0" r="0" b="0"/>
                      <wp:wrapNone/>
                      <wp:docPr id="118" name="Frame118"/>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57200" cy="175260"/>
                      <wp:effectExtent l="0" t="0" r="0" b="0"/>
                      <wp:wrapNone/>
                      <wp:docPr id="119" name="Frame1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29260" cy="175260"/>
                      <wp:effectExtent l="0" t="0" r="0" b="0"/>
                      <wp:wrapNone/>
                      <wp:docPr id="122" name="Frame1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29260" cy="175260"/>
                      <wp:effectExtent l="0" t="0" r="0" b="0"/>
                      <wp:wrapNone/>
                      <wp:docPr id="125" name="Frame12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51765" cy="175260"/>
                      <wp:effectExtent l="0" t="0" r="0" b="0"/>
                      <wp:wrapNone/>
                      <wp:docPr id="127" name="Frame12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10845" cy="175260"/>
                      <wp:effectExtent l="0" t="0" r="0" b="0"/>
                      <wp:wrapNone/>
                      <wp:docPr id="128" name="Frame128"/>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03555" cy="175260"/>
                      <wp:effectExtent l="0" t="0" r="0" b="0"/>
                      <wp:wrapNone/>
                      <wp:docPr id="131" name="Frame131"/>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11" w:type="dxa"/>
            <w:gridSpan w:val="8"/>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 2026</w:t>
            </w:r>
          </w:p>
        </w:tc>
        <w:tc>
          <w:tcPr>
            <w:tcW w:w="346" w:type="dxa"/>
            <w:tcBorders/>
            <w:vAlign w:val="center"/>
          </w:tcPr>
          <w:p>
            <w:pPr>
              <w:pStyle w:val="TableContents"/>
              <w:bidi w:val="0"/>
              <w:spacing w:before="0" w:after="1"/>
              <w:ind w:left="0" w:right="0" w:hanging="0"/>
              <w:jc w:val="left"/>
              <w:rPr/>
            </w:pPr>
            <w:r>
              <w:rPr/>
              <w:t>​</w:t>
            </w:r>
          </w:p>
        </w:tc>
        <w:tc>
          <w:tcPr>
            <w:tcW w:w="3469" w:type="dxa"/>
            <w:gridSpan w:val="8"/>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27, 2025</w:t>
            </w:r>
          </w:p>
        </w:tc>
      </w:tr>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1"/>
              <w:ind w:left="0" w:right="0" w:hanging="0"/>
              <w:jc w:val="left"/>
              <w:rPr/>
            </w:pPr>
            <w:r>
              <w:rPr/>
              <w:t>​</w:t>
            </w:r>
          </w:p>
        </w:tc>
        <w:tc>
          <w:tcPr>
            <w:tcW w:w="1004" w:type="dxa"/>
            <w:gridSpan w:val="2"/>
            <w:tcBorders/>
            <w:vAlign w:val="center"/>
          </w:tcPr>
          <w:p>
            <w:pPr>
              <w:pStyle w:val="TableContents"/>
              <w:bidi w:val="0"/>
              <w:spacing w:before="0" w:after="1"/>
              <w:ind w:left="0" w:right="0" w:hanging="0"/>
              <w:jc w:val="center"/>
              <w:rPr/>
            </w:pPr>
            <w:r>
              <w:rPr/>
              <w:t>​</w:t>
            </w:r>
          </w:p>
        </w:tc>
      </w:tr>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left"/>
              <w:rPr/>
            </w:pPr>
            <w:r>
              <w:rPr/>
              <w:t>  ​ ​ ​</w:t>
            </w:r>
          </w:p>
        </w:tc>
        <w:tc>
          <w:tcPr>
            <w:tcW w:w="945"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 (Loss)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left"/>
              <w:rPr/>
            </w:pPr>
            <w:r>
              <w:rPr/>
              <w:t>  ​ ​ ​</w:t>
            </w:r>
          </w:p>
        </w:tc>
        <w:tc>
          <w:tcPr>
            <w:tcW w:w="886"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w:t>
            </w:r>
          </w:p>
        </w:tc>
        <w:tc>
          <w:tcPr>
            <w:tcW w:w="346" w:type="dxa"/>
            <w:tcBorders/>
            <w:vAlign w:val="center"/>
          </w:tcPr>
          <w:p>
            <w:pPr>
              <w:pStyle w:val="TableContents"/>
              <w:bidi w:val="0"/>
              <w:spacing w:before="0" w:after="1"/>
              <w:ind w:left="0" w:right="0" w:hanging="0"/>
              <w:jc w:val="left"/>
              <w:rPr/>
            </w:pPr>
            <w:r>
              <w:rPr/>
              <w:t>  ​ ​ ​</w:t>
            </w:r>
          </w:p>
        </w:tc>
        <w:tc>
          <w:tcPr>
            <w:tcW w:w="1004"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57,057</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49,342</w:t>
            </w:r>
          </w:p>
        </w:tc>
        <w:tc>
          <w:tcPr>
            <w:tcW w:w="346" w:type="dxa"/>
            <w:tcBorders/>
            <w:shd w:fill="CCEEFF" w:val="clear"/>
            <w:vAlign w:val="center"/>
          </w:tcPr>
          <w:p>
            <w:pPr>
              <w:pStyle w:val="TableContents"/>
              <w:bidi w:val="0"/>
              <w:spacing w:before="0" w:after="1"/>
              <w:ind w:left="0" w:right="0" w:hanging="0"/>
              <w:jc w:val="left"/>
              <w:rPr/>
            </w:pPr>
            <w:r>
              <w:rPr/>
              <w:t>  ​ ​ ​</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49,551</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Treasury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2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15,376</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6,713</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14,028</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4,464</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18,492</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Mutual funds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8,542</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12,766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8,545</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11,697</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Alternative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3,494</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0"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3,436</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7"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3"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4,186</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84,814</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11,589</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96,403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75,696</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8,575</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84,271</w:t>
            </w:r>
          </w:p>
        </w:tc>
      </w:tr>
    </w:tbl>
    <w:p>
      <w:pPr>
        <w:pStyle w:val="TextBody"/>
        <w:bidi w:val="0"/>
        <w:spacing w:before="0" w:after="240"/>
        <w:ind w:left="547" w:right="0" w:hanging="0"/>
        <w:jc w:val="left"/>
        <w:rPr/>
      </w:pPr>
      <w:r>
        <w:rPr/>
        <w:t>​</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Our fixed income investments consist of a blend of US Government and Agency bonds and investment grade corporate bonds with varying maturities. Our equity investments consist of small, mid, and large cap growth and value funds, as well as international equity. Our mutual fund investments consist of domestic and international stock. Our alternative investments consist of a private real estate income trust which is valued as a Level 3 asset. The net pre-tax unrealized gain of the portfolio was $11.6 million and $8.6 million as of June 27, 2026 and December 27, 2025, respectively. Carrying amounts above are recorded in the Investments and Restricted investments line items within the balance sheet as of June 27, 2026 and December 27,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       REVENUE RECOGNITION</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Within the three primary segments, UFP Retail Solutions (“Retail”), UFP Packaging (“Packaging”) and UFP Construction (“Construction”), that the Company operates, there are a variety of written agreements governing the sale of our products and services.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Certain customer products that we provide require installation by the Company or a third party. Installation revenue is recognized upon completion. If we use a third party for installation, the party will act as an agent to us until completion of the installation. Installation revenue represents an immaterial share of our total net sales.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We utilize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returns and refunds are estimated on a historical and expected basis which is a reduction of revenue recognized.</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relative to the total estimated costs. Under over time accounting using the units of delivery method, revenues and related earnings on construction contracts are measured by the relationships of actual units produced relative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firstLine="547"/>
        <w:jc w:val="both"/>
        <w:rPr>
          <w:rFonts w:ascii="Times New Roman;Times;serif" w:hAnsi="Times New Roman;Times;serif"/>
          <w:sz w:val="20"/>
        </w:rPr>
      </w:pPr>
      <w:bookmarkStart w:id="899" w:name="Tc_SoDXbiVqY0SxzhidyaiIxw_4_0"/>
      <w:bookmarkStart w:id="900" w:name="Tc_4VVj0DHUSUqlbYFB7kDV2w_3_8"/>
      <w:bookmarkStart w:id="901" w:name="Tc_73PLWahj7kOKp22krVsyew_3_5"/>
      <w:bookmarkStart w:id="902" w:name="Tc_8z1Jj6DbwEyyOku1HGOSOg_3_2"/>
      <w:bookmarkStart w:id="903" w:name="Tc_kb6U_OPDa0GKvZ4iArjwzQ_3_0"/>
      <w:bookmarkStart w:id="904" w:name="Tc_hexILc0raEWOGij2H3SF1g_2_8"/>
      <w:bookmarkStart w:id="905" w:name="Tc_R5I9SnoSk0mK3O2H7KJgJA_2_5"/>
      <w:bookmarkStart w:id="906" w:name="Tc_bbQkDOGcfkiMZAaKhrpAdg_2_2"/>
      <w:bookmarkStart w:id="907" w:name="Tc_4p-shPgj1ECXhew4_NOgXg_1_8"/>
      <w:bookmarkStart w:id="908" w:name="Tc_Cfqpys9BPkiecqNyAvrPAg_1_5"/>
      <w:bookmarkStart w:id="909" w:name="Tc_W6ULJQB8L0qElohwyPRtSA_1_2"/>
      <w:bookmarkStart w:id="910" w:name="_3736a917_acbc_4c53_8bb9_0babb30774eb"/>
      <w:bookmarkStart w:id="911" w:name="Tc_RQEc-R4yr0m7yPecqcpO8A_6_13"/>
      <w:bookmarkStart w:id="912" w:name="Tc_jiuqfPC0dUK27lcaHAzPfg_6_10"/>
      <w:bookmarkStart w:id="913" w:name="Tc_nY5fhoQntEWBpDkIsv01Xw_6_0"/>
      <w:bookmarkStart w:id="914" w:name="Tc_JaC1YvyQvk6YVW6gmfYqbw_5_0"/>
      <w:bookmarkStart w:id="915" w:name="Tc_dCv2blao-0yjUi3zGv9afw_4_13"/>
      <w:bookmarkStart w:id="916" w:name="Tc_krxZow1Cc0S7AOONPN1y0g_4_10"/>
      <w:bookmarkStart w:id="917" w:name="Tc_X5meU_uTv0K9-L3fDCx5Sw_4_5"/>
      <w:bookmarkStart w:id="918" w:name="Tc_ptuyq4eX-EmdcF3p9rylyw_4_2"/>
      <w:bookmarkStart w:id="919" w:name="Tc_y1EUIT8OJkygpxFbo5hLmA_4_0"/>
      <w:bookmarkStart w:id="920" w:name="Tc_UsY5bKxekEyRp8_9gPsiow_3_16"/>
      <w:bookmarkStart w:id="921" w:name="Tc_Po9dlIpwM0q8mi9TW7t-BQ_3_13"/>
      <w:bookmarkStart w:id="922" w:name="Tc_MgWGLyOmK0SRME6wydpANQ_3_10"/>
      <w:bookmarkStart w:id="923" w:name="Tc_P9lRSlglH06O2VLyzAYulg_3_8"/>
      <w:bookmarkStart w:id="924" w:name="Tc_sR-V6nBpbk6zCfvXyutC5Q_3_5"/>
      <w:bookmarkStart w:id="925" w:name="Tc_nq-5L1HW_U-R9od5SMWSww_3_2"/>
      <w:bookmarkStart w:id="926" w:name="Tc_Et5G-ImGvE6kKTHQ0YWGrQ_2_13"/>
      <w:bookmarkStart w:id="927" w:name="Tc_KlUamCD9LUaGOmN3N1b9Eg_2_10"/>
      <w:bookmarkStart w:id="928" w:name="Tc_3Kcv78cgpEiFpYn6blVMiQ_2_5"/>
      <w:bookmarkStart w:id="929" w:name="Tc_rm3UVyipm0KwLpGZ8wSrgA_2_2"/>
      <w:bookmarkStart w:id="930" w:name="Tc_Q18CzNxpt0qOap1x2OEnYw_1_10"/>
      <w:bookmarkStart w:id="931" w:name="Tc_IoSDH_jDuUKQXTafUSFV9w_1_2"/>
      <w:bookmarkStart w:id="932" w:name="_a1538992_251b_4000_8315_c8e6b794e524"/>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r>
        <w:rPr>
          <w:rFonts w:ascii="Times New Roman;Times;serif" w:hAnsi="Times New Roman;Times;serif"/>
          <w:sz w:val="20"/>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following table presents our net sales disaggregated by revenue source (in thousands):</w:t>
      </w:r>
    </w:p>
    <w:tbl>
      <w:tblPr>
        <w:tblW w:w="9953" w:type="dxa"/>
        <w:jc w:val="left"/>
        <w:tblInd w:w="0" w:type="dxa"/>
        <w:tblLayout w:type="fixed"/>
        <w:tblCellMar>
          <w:top w:w="0" w:type="dxa"/>
          <w:left w:w="0" w:type="dxa"/>
          <w:bottom w:w="0" w:type="dxa"/>
          <w:right w:w="0" w:type="dxa"/>
        </w:tblCellMar>
      </w:tblPr>
      <w:tblGrid>
        <w:gridCol w:w="1996"/>
        <w:gridCol w:w="346"/>
        <w:gridCol w:w="211"/>
        <w:gridCol w:w="931"/>
        <w:gridCol w:w="346"/>
        <w:gridCol w:w="211"/>
        <w:gridCol w:w="931"/>
        <w:gridCol w:w="346"/>
        <w:gridCol w:w="871"/>
        <w:gridCol w:w="109"/>
        <w:gridCol w:w="211"/>
        <w:gridCol w:w="931"/>
        <w:gridCol w:w="346"/>
        <w:gridCol w:w="211"/>
        <w:gridCol w:w="931"/>
        <w:gridCol w:w="109"/>
        <w:gridCol w:w="91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267460" cy="175260"/>
                      <wp:effectExtent l="0" t="0" r="0" b="0"/>
                      <wp:wrapNone/>
                      <wp:docPr id="132" name="Frame132"/>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91185" cy="175260"/>
                      <wp:effectExtent l="0" t="0" r="0" b="0"/>
                      <wp:wrapNone/>
                      <wp:docPr id="135" name="Frame13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91185" cy="175260"/>
                      <wp:effectExtent l="0" t="0" r="0" b="0"/>
                      <wp:wrapNone/>
                      <wp:docPr id="138" name="Frame13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53085" cy="175260"/>
                      <wp:effectExtent l="0" t="0" r="0" b="0"/>
                      <wp:wrapNone/>
                      <wp:docPr id="140" name="Frame14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9215" cy="175260"/>
                      <wp:effectExtent l="0" t="0" r="0" b="0"/>
                      <wp:wrapNone/>
                      <wp:docPr id="141" name="Frame1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91185" cy="175260"/>
                      <wp:effectExtent l="0" t="0" r="0" b="0"/>
                      <wp:wrapNone/>
                      <wp:docPr id="143" name="Frame14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91185" cy="175260"/>
                      <wp:effectExtent l="0" t="0" r="0" b="0"/>
                      <wp:wrapNone/>
                      <wp:docPr id="146" name="Frame14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9215" cy="175260"/>
                      <wp:effectExtent l="0" t="0" r="0" b="0"/>
                      <wp:wrapNone/>
                      <wp:docPr id="147" name="Frame1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81660" cy="175260"/>
                      <wp:effectExtent l="0" t="0" r="0" b="0"/>
                      <wp:wrapNone/>
                      <wp:docPr id="148" name="Frame14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847" w:type="dxa"/>
            <w:gridSpan w:val="7"/>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09" w:type="dxa"/>
            <w:tcBorders/>
            <w:vAlign w:val="center"/>
          </w:tcPr>
          <w:p>
            <w:pPr>
              <w:pStyle w:val="TableContents"/>
              <w:bidi w:val="0"/>
              <w:spacing w:before="0" w:after="1"/>
              <w:ind w:left="0" w:right="0" w:hanging="0"/>
              <w:jc w:val="left"/>
              <w:rPr/>
            </w:pPr>
            <w:r>
              <w:rPr/>
              <w:t>​</w:t>
            </w:r>
          </w:p>
        </w:tc>
        <w:tc>
          <w:tcPr>
            <w:tcW w:w="3655" w:type="dxa"/>
            <w:gridSpan w:val="7"/>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46" w:type="dxa"/>
            <w:tcBorders/>
            <w:vAlign w:val="center"/>
          </w:tcPr>
          <w:p>
            <w:pPr>
              <w:pStyle w:val="TableContents"/>
              <w:bidi w:val="0"/>
              <w:spacing w:before="0" w:after="1"/>
              <w:ind w:left="0" w:right="0" w:hanging="0"/>
              <w:jc w:val="center"/>
              <w:rPr/>
            </w:pPr>
            <w:r>
              <w:rPr/>
              <w:t>  ​ ​ ​</w:t>
            </w:r>
          </w:p>
        </w:tc>
        <w:tc>
          <w:tcPr>
            <w:tcW w:w="87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109"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916"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Point in Time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1,837,724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1,799,250</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3,264,891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3,348,555</w:t>
            </w:r>
          </w:p>
        </w:tc>
        <w:tc>
          <w:tcPr>
            <w:tcW w:w="109"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Over Time Revenue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45,213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36,124</w:t>
            </w:r>
          </w:p>
        </w:tc>
        <w:tc>
          <w:tcPr>
            <w:tcW w:w="346" w:type="dxa"/>
            <w:tcBorders/>
            <w:vAlign w:val="center"/>
          </w:tcPr>
          <w:p>
            <w:pPr>
              <w:pStyle w:val="TableContents"/>
              <w:bidi w:val="0"/>
              <w:spacing w:before="0" w:after="1"/>
              <w:ind w:left="0" w:right="0" w:hanging="0"/>
              <w:jc w:val="left"/>
              <w:rPr/>
            </w:pPr>
            <w:r>
              <w:rPr/>
              <w:t> </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79,313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82,338</w:t>
            </w:r>
          </w:p>
        </w:tc>
        <w:tc>
          <w:tcPr>
            <w:tcW w:w="109" w:type="dxa"/>
            <w:tcBorders/>
            <w:vAlign w:val="center"/>
          </w:tcPr>
          <w:p>
            <w:pPr>
              <w:pStyle w:val="TableContents"/>
              <w:bidi w:val="0"/>
              <w:spacing w:before="0" w:after="1"/>
              <w:ind w:left="0" w:right="0" w:hanging="0"/>
              <w:jc w:val="left"/>
              <w:rPr/>
            </w:pPr>
            <w:r>
              <w:rPr/>
              <w:t>​</w:t>
            </w:r>
          </w:p>
        </w:tc>
        <w:tc>
          <w:tcPr>
            <w:tcW w:w="91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1,882,937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1,835,374</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3,344,204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3,430,893</w:t>
            </w:r>
          </w:p>
        </w:tc>
        <w:tc>
          <w:tcPr>
            <w:tcW w:w="109" w:type="dxa"/>
            <w:tcBorders/>
            <w:shd w:fill="CCEEFF" w:val="cle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bl>
    <w:p>
      <w:pPr>
        <w:pStyle w:val="TextBody"/>
        <w:bidi w:val="0"/>
        <w:spacing w:before="0" w:after="240"/>
        <w:ind w:left="547" w:right="0" w:hanging="0"/>
        <w:jc w:val="left"/>
        <w:rPr/>
      </w:pPr>
      <w:r>
        <w:rPr/>
        <w:t>​</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The Construction segment comprises the construction contract revenue shown above. Construction contract revenue is primarily made up of site-built and framing customers. </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following table presents the account balances associated with over time revenue which are included in Other current assets and Other accrued liabilities, respectively (in thousands):</w:t>
      </w:r>
    </w:p>
    <w:tbl>
      <w:tblPr>
        <w:tblW w:w="7250" w:type="dxa"/>
        <w:jc w:val="left"/>
        <w:tblInd w:w="0" w:type="dxa"/>
        <w:tblLayout w:type="fixed"/>
        <w:tblCellMar>
          <w:top w:w="0" w:type="dxa"/>
          <w:left w:w="0" w:type="dxa"/>
          <w:bottom w:w="0" w:type="dxa"/>
          <w:right w:w="0" w:type="dxa"/>
        </w:tblCellMar>
      </w:tblPr>
      <w:tblGrid>
        <w:gridCol w:w="3331"/>
        <w:gridCol w:w="346"/>
        <w:gridCol w:w="211"/>
        <w:gridCol w:w="676"/>
        <w:gridCol w:w="346"/>
        <w:gridCol w:w="295"/>
        <w:gridCol w:w="800"/>
        <w:gridCol w:w="346"/>
        <w:gridCol w:w="211"/>
        <w:gridCol w:w="688"/>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15185" cy="175260"/>
                      <wp:effectExtent l="0" t="0" r="0" b="0"/>
                      <wp:wrapNone/>
                      <wp:docPr id="149" name="Frame149"/>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51"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29260" cy="175260"/>
                      <wp:effectExtent l="0" t="0" r="0" b="0"/>
                      <wp:wrapNone/>
                      <wp:docPr id="152" name="Frame15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87325" cy="175260"/>
                      <wp:effectExtent l="0" t="0" r="0" b="0"/>
                      <wp:wrapNone/>
                      <wp:docPr id="154" name="Frame154"/>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08000" cy="175260"/>
                      <wp:effectExtent l="0" t="0" r="0" b="0"/>
                      <wp:wrapNone/>
                      <wp:docPr id="155" name="Frame155"/>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36880" cy="175260"/>
                      <wp:effectExtent l="0" t="0" r="0" b="0"/>
                      <wp:wrapNone/>
                      <wp:docPr id="158" name="Frame158"/>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46" w:type="dxa"/>
            <w:tcBorders/>
            <w:vAlign w:val="center"/>
          </w:tcPr>
          <w:p>
            <w:pPr>
              <w:pStyle w:val="TableContents"/>
              <w:bidi w:val="0"/>
              <w:spacing w:before="0" w:after="0"/>
              <w:ind w:left="0" w:right="0" w:hanging="0"/>
              <w:jc w:val="left"/>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46" w:type="dxa"/>
            <w:tcBorders/>
            <w:vAlign w:val="center"/>
          </w:tcPr>
          <w:p>
            <w:pPr>
              <w:pStyle w:val="TableContents"/>
              <w:bidi w:val="0"/>
              <w:spacing w:before="0" w:after="0"/>
              <w:ind w:left="0" w:right="0" w:hanging="0"/>
              <w:jc w:val="left"/>
              <w:rPr/>
            </w:pPr>
            <w:r>
              <w:rPr/>
              <w:t>​</w:t>
            </w:r>
          </w:p>
        </w:tc>
        <w:tc>
          <w:tcPr>
            <w:tcW w:w="89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r>
      <w:tr>
        <w:trPr/>
        <w:tc>
          <w:tcPr>
            <w:tcW w:w="3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9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9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Cost and Earnings in Excess of Billings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13,004</w:t>
            </w:r>
          </w:p>
        </w:tc>
        <w:tc>
          <w:tcPr>
            <w:tcW w:w="346" w:type="dxa"/>
            <w:tcBorders/>
            <w:shd w:fill="CCEEFF" w:val="clear"/>
            <w:vAlign w:val="center"/>
          </w:tcPr>
          <w:p>
            <w:pPr>
              <w:pStyle w:val="TableContents"/>
              <w:bidi w:val="0"/>
              <w:spacing w:before="0" w:after="0"/>
              <w:ind w:left="0" w:right="0" w:hanging="0"/>
              <w:jc w:val="left"/>
              <w:rPr/>
            </w:pPr>
            <w:r>
              <w:rPr/>
              <w:t>  ​ ​ ​</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4,979</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5,995</w:t>
            </w:r>
          </w:p>
        </w:tc>
      </w:tr>
      <w:tr>
        <w:trPr/>
        <w:tc>
          <w:tcPr>
            <w:tcW w:w="33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Billings in Excess of Cost and Earnings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5,511</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7,888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33" w:name="Tc_di1OBg-Ci0KtbsEHuevu_w_16_11"/>
      <w:bookmarkStart w:id="934" w:name="Tc_tW_90XVyI0exgrdEOHSp4A_16_8"/>
      <w:bookmarkStart w:id="935" w:name="Tc_j0tZ4dNji0CWlSv8LLO44A_16_5"/>
      <w:bookmarkStart w:id="936" w:name="Tc_QdKmy0sXM0qNasivWvm28A_16_2"/>
      <w:bookmarkStart w:id="937" w:name="Tc_jE0zzfAuYEuh_MZxiUq1iA_16_0"/>
      <w:bookmarkStart w:id="938" w:name="Tc_kMRu4PUNxUmSwmsmkHSxUg_15_11"/>
      <w:bookmarkStart w:id="939" w:name="Tc_0KMQ-b76wkmQSm4flpnP7Q_15_8"/>
      <w:bookmarkStart w:id="940" w:name="Tc_CLSBWx9YvkGN_epQv67D4Q_15_5"/>
      <w:bookmarkStart w:id="941" w:name="Tc_6GAaf97XYEaT5o_QynxWTQ_15_2"/>
      <w:bookmarkStart w:id="942" w:name="Tc__m7nUtj0XkiTfhKVEpUtEQ_15_0"/>
      <w:bookmarkStart w:id="943" w:name="Tc_eru3Pi-5_E-84-Y7IwimQA_14_0"/>
      <w:bookmarkStart w:id="944" w:name="Tc_GWltHex_jEifdOeZtjpHFA_13_0"/>
      <w:bookmarkStart w:id="945" w:name="Tc_RTOUM2HMy0OxiHg3Li0PuQ_12_0"/>
      <w:bookmarkStart w:id="946" w:name="Tc_pKTiY1-u0kC7bix7ukHpsw_11_0"/>
      <w:bookmarkStart w:id="947" w:name="Tc_-8Q8njniIUSDOXy9KfBncw_10_0"/>
      <w:bookmarkStart w:id="948" w:name="Tc_2BL-XpMvQECiEw0ZXyAl7g_9_0"/>
      <w:bookmarkStart w:id="949" w:name="Tc_zXsi1p3gjE2l3UBKIKaKMA_8_0"/>
      <w:bookmarkStart w:id="950" w:name="Tc_cmcxDHUP10KBRcqBoWZjiw_7_11"/>
      <w:bookmarkStart w:id="951" w:name="Tc_Ur7ekjCiME-jRTax35T-ng_7_8"/>
      <w:bookmarkStart w:id="952" w:name="Tc_qWmj-pbelkaZ9I4YBy8F-Q_7_5"/>
      <w:bookmarkStart w:id="953" w:name="Tc_CjbK6PcNUk2bWsBoWGXm1Q_7_2"/>
      <w:bookmarkStart w:id="954" w:name="Tc_OarKn_q_ek-NOr9hX7_Diw_7_0"/>
      <w:bookmarkStart w:id="955" w:name="Tc_LQXOwOJpFUW1rRdNNvXwfA_6_0"/>
      <w:bookmarkStart w:id="956" w:name="Tc_h4T93wceTkC8QUuOH7wi8A_5_11"/>
      <w:bookmarkStart w:id="957" w:name="Tc_TSavdtYeUEOjUozGu6EQDg_5_8"/>
      <w:bookmarkStart w:id="958" w:name="Tc_2LJ4nESIN0ukn1W0xiuhKg_5_5"/>
      <w:bookmarkStart w:id="959" w:name="Tc_CXjU5XfR3kWMuzyRJNb4OQ_5_2"/>
      <w:bookmarkStart w:id="960" w:name="Tc_hqvBnLsMXEmNyzRigejh5A_5_0"/>
      <w:bookmarkStart w:id="961" w:name="Tc_FwaZeL1qAUClaVxM4y4cNA_4_0"/>
      <w:bookmarkStart w:id="962" w:name="Tc_uSwMq52Wp06yvcjr6I9Qog_3_11"/>
      <w:bookmarkStart w:id="963" w:name="Tc_qDmeB2PYmUC9EYO0vStwcw_3_8"/>
      <w:bookmarkStart w:id="964" w:name="Tc_WhWrR_THLUaZn1wX6bx7qg_3_5"/>
      <w:bookmarkStart w:id="965" w:name="Tc_81j9ZFsSCkqzsaRdGTGFnw_3_2"/>
      <w:bookmarkStart w:id="966" w:name="Tc_F_koIq77vESuHpCAP8jflg_2_11"/>
      <w:bookmarkStart w:id="967" w:name="Tc_SKIKAVDlsE2FEVPdV1VDxg_2_8"/>
      <w:bookmarkStart w:id="968" w:name="Tc_AQ5jiLyTgk2d0ZwO0baTiQ_2_5"/>
      <w:bookmarkStart w:id="969" w:name="Tc_vahJ1XHFskCxrWdKbHW-9w_2_2"/>
      <w:bookmarkStart w:id="970" w:name="Tc_29qoSy60J02zXB2Il_i1IQ_1_8"/>
      <w:bookmarkStart w:id="971" w:name="Tc_-3sutNdH0Ey4v4WmAO1cmw_1_2"/>
      <w:bookmarkStart w:id="972" w:name="_8250be15_5f07_4510_a114_d9f7ef808275"/>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r>
        <w:rPr>
          <w:rFonts w:ascii="Times New Roman;Times;serif" w:hAnsi="Times New Roman;Times;serif"/>
          <w:b/>
          <w:sz w:val="20"/>
        </w:rPr>
        <w:t>D.       EARNINGS PER SHARE</w:t>
      </w:r>
    </w:p>
    <w:p>
      <w:pPr>
        <w:pStyle w:val="TextBody"/>
        <w:bidi w:val="0"/>
        <w:spacing w:before="0" w:after="240"/>
        <w:ind w:left="0" w:right="0" w:firstLine="547"/>
        <w:jc w:val="left"/>
        <w:rPr>
          <w:rFonts w:ascii="Times New Roman;Times;serif" w:hAnsi="Times New Roman;Times;serif"/>
          <w:sz w:val="20"/>
        </w:rPr>
      </w:pPr>
      <w:r>
        <w:rPr>
          <w:rFonts w:ascii="Times New Roman;Times;serif" w:hAnsi="Times New Roman;Times;serif"/>
          <w:sz w:val="20"/>
        </w:rPr>
        <w:t>The computation of earnings per share (“EPS”) is as follows (in thousands):</w:t>
      </w:r>
    </w:p>
    <w:tbl>
      <w:tblPr>
        <w:tblW w:w="10205" w:type="dxa"/>
        <w:jc w:val="left"/>
        <w:tblInd w:w="0" w:type="dxa"/>
        <w:tblLayout w:type="fixed"/>
        <w:tblCellMar>
          <w:top w:w="0" w:type="dxa"/>
          <w:left w:w="0" w:type="dxa"/>
          <w:bottom w:w="0" w:type="dxa"/>
          <w:right w:w="0" w:type="dxa"/>
        </w:tblCellMar>
      </w:tblPr>
      <w:tblGrid>
        <w:gridCol w:w="4903"/>
        <w:gridCol w:w="346"/>
        <w:gridCol w:w="211"/>
        <w:gridCol w:w="685"/>
        <w:gridCol w:w="346"/>
        <w:gridCol w:w="211"/>
        <w:gridCol w:w="781"/>
        <w:gridCol w:w="346"/>
        <w:gridCol w:w="211"/>
        <w:gridCol w:w="781"/>
        <w:gridCol w:w="346"/>
        <w:gridCol w:w="211"/>
        <w:gridCol w:w="827"/>
      </w:tblGrid>
      <w:tr>
        <w:trPr/>
        <w:tc>
          <w:tcPr>
            <w:tcW w:w="4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113405" cy="175260"/>
                      <wp:effectExtent l="0" t="0" r="0" b="0"/>
                      <wp:wrapNone/>
                      <wp:docPr id="159" name="Frame159"/>
                      <a:graphic xmlns:a="http://schemas.openxmlformats.org/drawingml/2006/main">
                        <a:graphicData uri="http://schemas.microsoft.com/office/word/2010/wordprocessingShape">
                          <wps:wsp>
                            <wps:cNvSpPr txBox="1"/>
                            <wps:spPr>
                              <a:xfrm>
                                <a:off x="0" y="0"/>
                                <a:ext cx="311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34975" cy="175260"/>
                      <wp:effectExtent l="0" t="0" r="0" b="0"/>
                      <wp:wrapNone/>
                      <wp:docPr id="162" name="Frame162"/>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4"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95935" cy="175260"/>
                      <wp:effectExtent l="0" t="0" r="0" b="0"/>
                      <wp:wrapNone/>
                      <wp:docPr id="165" name="Frame1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7"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95935" cy="175260"/>
                      <wp:effectExtent l="0" t="0" r="0" b="0"/>
                      <wp:wrapNone/>
                      <wp:docPr id="168" name="Frame1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70"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25145" cy="175260"/>
                      <wp:effectExtent l="0" t="0" r="0" b="0"/>
                      <wp:wrapNone/>
                      <wp:docPr id="171" name="Frame171"/>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0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4"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rPr/>
            </w:pPr>
            <w:r>
              <w:rPr/>
              <w:t>​</w:t>
            </w:r>
          </w:p>
        </w:tc>
        <w:tc>
          <w:tcPr>
            <w:tcW w:w="2376"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490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46" w:type="dxa"/>
            <w:tcBorders/>
            <w:vAlign w:val="center"/>
          </w:tcPr>
          <w:p>
            <w:pPr>
              <w:pStyle w:val="TableContents"/>
              <w:bidi w:val="0"/>
              <w:spacing w:before="0" w:after="0"/>
              <w:ind w:left="0" w:right="0" w:hanging="0"/>
              <w:jc w:val="center"/>
              <w:rPr/>
            </w:pPr>
            <w:r>
              <w:rPr/>
              <w:t>  ​ ​ ​</w:t>
            </w:r>
          </w:p>
        </w:tc>
        <w:tc>
          <w:tcPr>
            <w:tcW w:w="10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r>
      <w:tr>
        <w:trPr/>
        <w:tc>
          <w:tcPr>
            <w:tcW w:w="490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9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03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pPr>
            <w:r>
              <w:rPr/>
              <w:t>  ​</w:t>
            </w:r>
          </w:p>
        </w:tc>
      </w:tr>
      <w:tr>
        <w:trPr/>
        <w:tc>
          <w:tcPr>
            <w:tcW w:w="4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 attributable to controlling interest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179,487</w:t>
            </w:r>
          </w:p>
        </w:tc>
      </w:tr>
      <w:tr>
        <w:trPr/>
        <w:tc>
          <w:tcPr>
            <w:tcW w:w="4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 for earnings allocated to non-vested restricted common stock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(6,706)</w:t>
            </w:r>
          </w:p>
        </w:tc>
      </w:tr>
      <w:tr>
        <w:trPr/>
        <w:tc>
          <w:tcPr>
            <w:tcW w:w="4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 for calculating EPS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172,781</w:t>
            </w:r>
          </w:p>
        </w:tc>
      </w:tr>
      <w:tr>
        <w:trPr/>
        <w:tc>
          <w:tcPr>
            <w:tcW w:w="4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pPr>
            <w:r>
              <w:rPr/>
              <w:t>  ​</w:t>
            </w:r>
          </w:p>
        </w:tc>
      </w:tr>
      <w:tr>
        <w:trPr/>
        <w:tc>
          <w:tcPr>
            <w:tcW w:w="4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60,193</w:t>
            </w:r>
          </w:p>
        </w:tc>
      </w:tr>
      <w:tr>
        <w:trPr/>
        <w:tc>
          <w:tcPr>
            <w:tcW w:w="4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 for non-vested restricted common stock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(2,474)</w:t>
            </w:r>
          </w:p>
        </w:tc>
      </w:tr>
      <w:tr>
        <w:trPr/>
        <w:tc>
          <w:tcPr>
            <w:tcW w:w="4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for calculating basic EPS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57,719</w:t>
            </w:r>
          </w:p>
        </w:tc>
      </w:tr>
      <w:tr>
        <w:trPr/>
        <w:tc>
          <w:tcPr>
            <w:tcW w:w="4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restricted common stock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4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for calculating diluted EPS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57,820</w:t>
            </w:r>
          </w:p>
        </w:tc>
      </w:tr>
      <w:tr>
        <w:trPr/>
        <w:tc>
          <w:tcPr>
            <w:tcW w:w="4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pPr>
            <w:r>
              <w:rPr/>
              <w:t>  ​</w:t>
            </w:r>
          </w:p>
        </w:tc>
      </w:tr>
      <w:tr>
        <w:trPr/>
        <w:tc>
          <w:tcPr>
            <w:tcW w:w="4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r>
      <w:tr>
        <w:trPr/>
        <w:tc>
          <w:tcPr>
            <w:tcW w:w="4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2.99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       COMMITMENTS, CONTINGENCIES, AND GUARANTEES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We are self-insured for environmental impairment liability, including certain liabilities which are insured through a wholly owned subsidiary, Ardellis Insurance Ltd., a licensed captive insurance company.</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On June 27, 2026,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On June 27, 2026, we had outstanding purchase commitments on commenced capital projects of approximately $108 million.</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We provide a variety of warranties for products we manufacture. Historically, warranty claims have not been material. We also distribute products manufactured by other companies. While we do not warrant these products, we have received claims as a distributor of these products when the manufacturer no longer exists or no longer has the ability to pay. Historically, these costs have not had a material effect on our consolidated financial statements.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As part of our operations, we supply building materials and labor to site-built construction projects or we jointly bid on contracts with framing companies for such projects. In some instances, we are required to post payment and performance bonds to ensure the products and installation services are completed in accordance with our contractual obligations. We have agreed to indemnify the surety for claims properly made against these bonds. As of June 27, 2026, we had approximately $50.2 million in outstanding payment and performance bonds for open projects. We had approximately $7.5 million in payment and performance bonds outstanding for completed projects which are still under warranty.</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On June 27, 2026, we had outstanding letters of credit totaling $43.1 million, primarily related to certain insurance contracts, industrial development revenue bonds, and other debt agreements described further below.</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In lieu of cash deposits, we provide irrevocable letters of credit in favor of our insurers and other third parties to guarantee our performance under certain insurance contracts and other legal agreements. As of June 27, 2026, we have irrevocable letters of credit outstanding totaling approximately $39.8 million for these types of arrangements. We have reserves recorded on our balance sheet, in accrued liabilities, that reflect our expected future liabilities under those insurance arrangements.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$3.3 million related to our outstanding industrial development revenue bonds. These letters of credit have varying terms but may be renewed at the option of the issuing banks.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Certain wholly owned domestic subsidiaries have guaranteed the indebtedness of UFP Industries, Inc. in certain debt agreements, including the Series 2018 and 2020 Senior Notes and our revolving credit facility. The maximum exposure of these guarantees is limited to the indebtedness outstanding under these debt arrangements and this exposure will expire concurrent with the expiration of the debt agreements.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did not enter into any new guarantee arrangements during the second quarter of 2026 which would require us to recognize a liability on our balance sheet.</w:t>
      </w:r>
    </w:p>
    <w:p>
      <w:pPr>
        <w:pStyle w:val="TextBody"/>
        <w:bidi w:val="0"/>
        <w:spacing w:before="0" w:after="24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hanging="0"/>
        <w:jc w:val="left"/>
        <w:rPr>
          <w:rFonts w:ascii="Times New Roman;Times;serif" w:hAnsi="Times New Roman;Times;serif"/>
          <w:b/>
          <w:sz w:val="20"/>
        </w:rPr>
      </w:pPr>
      <w:bookmarkStart w:id="973" w:name="Tc_G223vkdfuUmkJvrhoa3REQ_13_1"/>
      <w:bookmarkStart w:id="974" w:name="Tc_qCH6k1UTNUmFw7PwTcEPUg_12_7"/>
      <w:bookmarkStart w:id="975" w:name="Tc_zCnLW4aviU-FMDmmaIX7lA_12_5"/>
      <w:bookmarkStart w:id="976" w:name="Tc_cc984G1BKEO1AZDu5_Jd0g_12_3"/>
      <w:bookmarkStart w:id="977" w:name="Tc_fQhKJGQfZkWWcxQ3YvfLrw_12_2"/>
      <w:bookmarkStart w:id="978" w:name="Tc_MHqyjXp9dUeY9NKTz4G1GQ_12_1"/>
      <w:bookmarkStart w:id="979" w:name="Tc_Hf7iLdUmJUWkFFHYXSoevQ_12_0"/>
      <w:bookmarkStart w:id="980" w:name="Tc_yzeiL90hTEeOh8bpcA1RJQ_11_1"/>
      <w:bookmarkStart w:id="981" w:name="Tc_QhNcg2kGZES6DcOdmjoF2w_10_7"/>
      <w:bookmarkStart w:id="982" w:name="Tc_YHmVk39IgUS_b56Ay4eTDQ_10_5"/>
      <w:bookmarkStart w:id="983" w:name="Tc_TH0HzUaf8UqaeZmjmyxjWg_10_3"/>
      <w:bookmarkStart w:id="984" w:name="Tc_gST56aTqrEiMf2p0jsRyGA_10_2"/>
      <w:bookmarkStart w:id="985" w:name="Tc_Ma14r0r7S0CJ0ft1Kpt9hg_10_1"/>
      <w:bookmarkStart w:id="986" w:name="Tc_04WxBhwvkUSsvr_Kh0Aa-A_10_0"/>
      <w:bookmarkStart w:id="987" w:name="Tc_bl2fQil_8ESUtzXjeK3rwQ_9_1"/>
      <w:bookmarkStart w:id="988" w:name="Tc_2ZWty_ounkOQFARqHweUeg_8_7"/>
      <w:bookmarkStart w:id="989" w:name="Tc_Wap6udee0Uy3LkM4I7C0pA_8_5"/>
      <w:bookmarkStart w:id="990" w:name="Tc_hK2jyoDw8EGTt4PPgxp_HA_8_3"/>
      <w:bookmarkStart w:id="991" w:name="Tc_fbOgeqRpMUKy1wYrWh3ebQ_8_2"/>
      <w:bookmarkStart w:id="992" w:name="Tc_UMtaHOr33UWm_0J-AGnflA_8_1"/>
      <w:bookmarkStart w:id="993" w:name="Tc_v9Klx1tYVEWVkuX73TcEeQ_8_0"/>
      <w:bookmarkStart w:id="994" w:name="Tc_pNnUhaTslUmZH_kurhigag_7_1"/>
      <w:bookmarkStart w:id="995" w:name="Tc_wlHUNIMVcUuyZNDTDZ08mA_6_7"/>
      <w:bookmarkStart w:id="996" w:name="Tc_95wBLmbfeku0XEPskFRGUw_6_5"/>
      <w:bookmarkStart w:id="997" w:name="Tc_FgA7axPXWUeAU2AN9XNeeA_6_3"/>
      <w:bookmarkStart w:id="998" w:name="Tc_8_EtZknPJUurDafxZodlrA_6_2"/>
      <w:bookmarkStart w:id="999" w:name="Tc_OmtSxZuvLUKHTjP1WXVIag_6_1"/>
      <w:bookmarkStart w:id="1000" w:name="Tc_of8u-_JID0uJYJyudeOQYQ_6_0"/>
      <w:bookmarkStart w:id="1001" w:name="Tc_vm0l6TU83Um5gsoadRvihQ_5_1"/>
      <w:bookmarkStart w:id="1002" w:name="Tc_oW_teSIAkkeesorIe9impg_4_7"/>
      <w:bookmarkStart w:id="1003" w:name="Tc_GIDYfnJejU6ZEMvs3fC06Q_4_5"/>
      <w:bookmarkStart w:id="1004" w:name="Tc_q3Jr8Nyy_0yuetenNDoN5Q_4_3"/>
      <w:bookmarkStart w:id="1005" w:name="Tc_0r00ofC1fk-nLZNpDS-pOw_4_2"/>
      <w:bookmarkStart w:id="1006" w:name="Tc_YQ1DgRoRWU6sBH34f6iB8w_4_1"/>
      <w:bookmarkStart w:id="1007" w:name="Tc_0JWFhUgb50K6xsU1Pci2tA_4_0"/>
      <w:bookmarkStart w:id="1008" w:name="Tc_T1OAJWTpkUqp32UKdOi-eQ_3_7"/>
      <w:bookmarkStart w:id="1009" w:name="Tc_rrsv5SCJG0CaTEw8pvGrEw_3_5"/>
      <w:bookmarkStart w:id="1010" w:name="Tc_Htdo5CvMK06Seg-zqhxH1A_3_3"/>
      <w:bookmarkStart w:id="1011" w:name="Tc_7wJliF7y0ECRO-O2Fxykdg_3_2"/>
      <w:bookmarkStart w:id="1012" w:name="Tc_bO4t0XXZkUmAoCa56d8z5Q_3_1"/>
      <w:bookmarkStart w:id="1013" w:name="Tc_q4SMR47VNEWCi2Rgn4QxRA_3_0"/>
      <w:bookmarkStart w:id="1014" w:name="Tc_PhZo5wXPd0uZlH3K5NYojA_2_7"/>
      <w:bookmarkStart w:id="1015" w:name="Tc_UBgu_hJQF0uBT13EK_8U2Q_2_5"/>
      <w:bookmarkStart w:id="1016" w:name="Tc_brigR5PiJ02w89cctCnk8w_2_3"/>
      <w:bookmarkStart w:id="1017" w:name="Tc_tn4bSvp2Q0qEBd6MrhoR1g_2_1"/>
      <w:bookmarkStart w:id="1018" w:name="Tc_H07pXS9IQEOwPul3pTaigw_2_0"/>
      <w:bookmarkStart w:id="1019" w:name="Tc_wwKWWeQbZUGl8TdrnxRF_g_1_5"/>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r>
        <w:rPr>
          <w:rFonts w:ascii="Times New Roman;Times;serif" w:hAnsi="Times New Roman;Times;serif"/>
          <w:b/>
          <w:sz w:val="20"/>
        </w:rPr>
        <w:t>F.       BUSINESS COMBINATIONS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completed the following acquisitions during the first six months of 2026 and during fiscal 2025, which were accounted for using the purchase method (in thousands):</w:t>
      </w:r>
    </w:p>
    <w:p>
      <w:pPr>
        <w:pStyle w:val="TextBody"/>
        <w:bidi w:val="0"/>
        <w:spacing w:before="0" w:after="240"/>
        <w:ind w:left="0" w:right="0" w:firstLine="547"/>
        <w:jc w:val="both"/>
        <w:rPr/>
      </w:pPr>
      <w:r>
        <w:rPr/>
        <w:t>​</w:t>
      </w:r>
    </w:p>
    <w:tbl>
      <w:tblPr>
        <w:tblW w:w="10205" w:type="dxa"/>
        <w:jc w:val="left"/>
        <w:tblInd w:w="0" w:type="dxa"/>
        <w:tblLayout w:type="fixed"/>
        <w:tblCellMar>
          <w:top w:w="0" w:type="dxa"/>
          <w:left w:w="0" w:type="dxa"/>
          <w:bottom w:w="0" w:type="dxa"/>
          <w:right w:w="0" w:type="dxa"/>
        </w:tblCellMar>
      </w:tblPr>
      <w:tblGrid>
        <w:gridCol w:w="1444"/>
        <w:gridCol w:w="1549"/>
        <w:gridCol w:w="3141"/>
        <w:gridCol w:w="375"/>
        <w:gridCol w:w="980"/>
        <w:gridCol w:w="290"/>
        <w:gridCol w:w="893"/>
        <w:gridCol w:w="1533"/>
      </w:tblGrid>
      <w:tr>
        <w:trPr/>
        <w:tc>
          <w:tcPr>
            <w:tcW w:w="1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916940" cy="175260"/>
                      <wp:effectExtent l="0" t="0" r="0" b="0"/>
                      <wp:wrapNone/>
                      <wp:docPr id="172" name="Frame172"/>
                      <a:graphic xmlns:a="http://schemas.openxmlformats.org/drawingml/2006/main">
                        <a:graphicData uri="http://schemas.microsoft.com/office/word/2010/wordprocessingShape">
                          <wps:wsp>
                            <wps:cNvSpPr txBox="1"/>
                            <wps:spPr>
                              <a:xfrm>
                                <a:off x="0" y="0"/>
                                <a:ext cx="916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9" w:type="dxa"/>
            <w:tcBorders/>
            <w:vAlign w:val="center"/>
          </w:tcPr>
          <w:p>
            <w:pPr>
              <w:pStyle w:val="TableContents"/>
              <w:bidi w:val="0"/>
              <w:spacing w:before="0" w:after="1"/>
              <w:ind w:left="0" w:right="0" w:hanging="0"/>
              <w:jc w:val="left"/>
              <w:rPr/>
            </w:pPr>
            <w:r>
              <w:rPr/>
              <w:t>​</w:t>
            </w:r>
          </w:p>
        </w:tc>
        <w:tc>
          <w:tcPr>
            <w:tcW w:w="3141"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980"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left"/>
              <w:rPr/>
            </w:pPr>
            <w:r>
              <w:rPr/>
              <w:t>​</w:t>
            </w:r>
          </w:p>
        </w:tc>
        <w:tc>
          <w:tcPr>
            <w:tcW w:w="1533" w:type="dxa"/>
            <w:tcBorders/>
            <w:vAlign w:val="center"/>
          </w:tcPr>
          <w:p>
            <w:pPr>
              <w:pStyle w:val="TableContents"/>
              <w:bidi w:val="0"/>
              <w:spacing w:before="0" w:after="1"/>
              <w:ind w:left="0" w:right="0" w:hanging="0"/>
              <w:jc w:val="left"/>
              <w:rPr/>
            </w:pPr>
            <w:r>
              <w:rPr/>
              <w:t>​</w:t>
            </w:r>
          </w:p>
        </w:tc>
      </w:tr>
      <w:tr>
        <w:trPr/>
        <w:tc>
          <w:tcPr>
            <w:tcW w:w="1444"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1"/>
              <w:ind w:left="0" w:right="0" w:hanging="0"/>
              <w:jc w:val="center"/>
              <w:rPr/>
            </w:pPr>
            <w:r>
              <w:rPr/>
              <w:t>​</w:t>
            </w:r>
          </w:p>
        </w:tc>
        <w:tc>
          <w:tcPr>
            <w:tcW w:w="1549"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1"/>
              <w:ind w:left="0" w:right="0" w:hanging="0"/>
              <w:jc w:val="center"/>
              <w:rPr/>
            </w:pPr>
            <w:r>
              <w:rPr/>
              <w:t>​</w:t>
            </w:r>
          </w:p>
        </w:tc>
        <w:tc>
          <w:tcPr>
            <w:tcW w:w="3141"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1"/>
              <w:ind w:left="0" w:right="0" w:hanging="0"/>
              <w:jc w:val="center"/>
              <w:rPr/>
            </w:pPr>
            <w:r>
              <w:rPr/>
              <w:t>​</w:t>
            </w:r>
          </w:p>
        </w:tc>
        <w:tc>
          <w:tcPr>
            <w:tcW w:w="13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1"/>
              <w:ind w:left="0" w:right="0" w:hanging="0"/>
              <w:jc w:val="center"/>
              <w:rPr/>
            </w:pPr>
            <w:r>
              <w:rPr/>
              <w:t>​</w:t>
            </w:r>
          </w:p>
        </w:tc>
        <w:tc>
          <w:tcPr>
            <w:tcW w:w="118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Net </w:t>
            </w:r>
          </w:p>
        </w:tc>
        <w:tc>
          <w:tcPr>
            <w:tcW w:w="1533"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1"/>
              <w:ind w:left="0" w:right="0" w:hanging="0"/>
              <w:jc w:val="center"/>
              <w:rPr/>
            </w:pPr>
            <w:r>
              <w:rPr/>
              <w:t>​</w:t>
            </w:r>
          </w:p>
        </w:tc>
      </w:tr>
      <w:tr>
        <w:trPr/>
        <w:tc>
          <w:tcPr>
            <w:tcW w:w="1444" w:type="dxa"/>
            <w:tcBorders>
              <w:left w:val="single" w:sz="2" w:space="0" w:color="000000"/>
              <w:right w:val="single" w:sz="2" w:space="0" w:color="000000"/>
            </w:tcBorders>
            <w:tcMar>
              <w:left w:w="28" w:type="dxa"/>
              <w:right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Company</w:t>
            </w:r>
          </w:p>
        </w:tc>
        <w:tc>
          <w:tcPr>
            <w:tcW w:w="1549" w:type="dxa"/>
            <w:tcBorders>
              <w:left w:val="single" w:sz="2" w:space="0" w:color="000000"/>
              <w:right w:val="single" w:sz="2" w:space="0" w:color="000000"/>
            </w:tcBorders>
            <w:tcMar>
              <w:left w:w="28" w:type="dxa"/>
              <w:right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Acquisition </w:t>
            </w:r>
          </w:p>
        </w:tc>
        <w:tc>
          <w:tcPr>
            <w:tcW w:w="3141" w:type="dxa"/>
            <w:tcBorders>
              <w:left w:val="single" w:sz="2" w:space="0" w:color="000000"/>
              <w:right w:val="single" w:sz="2" w:space="0" w:color="000000"/>
            </w:tcBorders>
            <w:tcMar>
              <w:left w:w="28" w:type="dxa"/>
              <w:right w:w="28" w:type="dxa"/>
            </w:tcMar>
            <w:vAlign w:val="center"/>
          </w:tcPr>
          <w:p>
            <w:pPr>
              <w:pStyle w:val="TableContents"/>
              <w:bidi w:val="0"/>
              <w:spacing w:before="0" w:after="1"/>
              <w:ind w:left="0" w:right="0" w:hanging="0"/>
              <w:jc w:val="center"/>
              <w:rPr/>
            </w:pPr>
            <w:r>
              <w:rPr/>
              <w:t>​</w:t>
            </w:r>
          </w:p>
        </w:tc>
        <w:tc>
          <w:tcPr>
            <w:tcW w:w="135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Intangible </w:t>
            </w:r>
          </w:p>
        </w:tc>
        <w:tc>
          <w:tcPr>
            <w:tcW w:w="1183"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Tangible </w:t>
            </w:r>
          </w:p>
        </w:tc>
        <w:tc>
          <w:tcPr>
            <w:tcW w:w="1533" w:type="dxa"/>
            <w:tcBorders>
              <w:left w:val="single" w:sz="2" w:space="0" w:color="000000"/>
              <w:right w:val="single" w:sz="2" w:space="0" w:color="000000"/>
            </w:tcBorders>
            <w:tcMar>
              <w:left w:w="28" w:type="dxa"/>
              <w:right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Operating</w:t>
            </w:r>
          </w:p>
        </w:tc>
      </w:tr>
      <w:tr>
        <w:trPr/>
        <w:tc>
          <w:tcPr>
            <w:tcW w:w="1444"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Name</w:t>
            </w:r>
          </w:p>
        </w:tc>
        <w:tc>
          <w:tcPr>
            <w:tcW w:w="1549"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Date</w:t>
            </w:r>
          </w:p>
        </w:tc>
        <w:tc>
          <w:tcPr>
            <w:tcW w:w="314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Purchase Price</w:t>
            </w:r>
          </w:p>
        </w:tc>
        <w:tc>
          <w:tcPr>
            <w:tcW w:w="1355" w:type="dxa"/>
            <w:gridSpan w:val="2"/>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1183" w:type="dxa"/>
            <w:gridSpan w:val="2"/>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1533"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Segment</w:t>
            </w:r>
          </w:p>
        </w:tc>
      </w:tr>
      <w:tr>
        <w:trPr/>
        <w:tc>
          <w:tcPr>
            <w:tcW w:w="1444" w:type="dxa"/>
            <w:tcBorders>
              <w:left w:val="single" w:sz="2" w:space="0" w:color="000000"/>
              <w:right w:val="single" w:sz="2" w:space="0" w:color="000000"/>
            </w:tcBorders>
            <w:shd w:fill="CCEBFF" w:val="clear"/>
            <w:tcMar>
              <w:left w:w="28" w:type="dxa"/>
              <w:right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Berry Pallets, Inc.</w:t>
            </w:r>
          </w:p>
        </w:tc>
        <w:tc>
          <w:tcPr>
            <w:tcW w:w="1549" w:type="dxa"/>
            <w:tcBorders>
              <w:left w:val="single" w:sz="2" w:space="0" w:color="000000"/>
              <w:bottom w:val="single" w:sz="2" w:space="0" w:color="000000"/>
              <w:right w:val="single" w:sz="2" w:space="0" w:color="000000"/>
            </w:tcBorders>
            <w:shd w:fill="CCEBFF" w:val="clear"/>
            <w:tcMar>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May 18, 2026</w:t>
            </w:r>
          </w:p>
        </w:tc>
        <w:tc>
          <w:tcPr>
            <w:tcW w:w="3141" w:type="dxa"/>
            <w:tcBorders>
              <w:left w:val="single" w:sz="2" w:space="0" w:color="000000"/>
              <w:bottom w:val="single" w:sz="2" w:space="0" w:color="000000"/>
              <w:right w:val="single" w:sz="2" w:space="0" w:color="000000"/>
            </w:tcBorders>
            <w:shd w:fill="CCEBFF" w:val="clear"/>
            <w:tcMar>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$19,623</w:t>
              <w:br/>
              <w:t>consideration for 100% asset purchase</w:t>
            </w:r>
          </w:p>
        </w:tc>
        <w:tc>
          <w:tcPr>
            <w:tcW w:w="375" w:type="dxa"/>
            <w:tcBorders>
              <w:left w:val="single" w:sz="2" w:space="0" w:color="000000"/>
              <w:bottom w:val="single" w:sz="2" w:space="0" w:color="000000"/>
            </w:tcBorders>
            <w:shd w:fill="CCEBFF" w:val="clear"/>
            <w:tcMar>
              <w:left w:w="28" w:type="dxa"/>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980" w:type="dxa"/>
            <w:tcBorders>
              <w:bottom w:val="single" w:sz="2" w:space="0" w:color="000000"/>
              <w:right w:val="single" w:sz="2" w:space="0" w:color="000000"/>
            </w:tcBorders>
            <w:shd w:fill="CCEBFF" w:val="clear"/>
            <w:tcMar>
              <w:bottom w:w="28" w:type="dxa"/>
              <w:right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3,426</w:t>
            </w:r>
          </w:p>
        </w:tc>
        <w:tc>
          <w:tcPr>
            <w:tcW w:w="290" w:type="dxa"/>
            <w:tcBorders>
              <w:left w:val="single" w:sz="2" w:space="0" w:color="000000"/>
              <w:bottom w:val="single" w:sz="2" w:space="0" w:color="000000"/>
            </w:tcBorders>
            <w:shd w:fill="CCEBFF" w:val="clear"/>
            <w:tcMar>
              <w:left w:w="28" w:type="dxa"/>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3" w:type="dxa"/>
            <w:tcBorders>
              <w:bottom w:val="single" w:sz="2" w:space="0" w:color="000000"/>
              <w:right w:val="single" w:sz="2" w:space="0" w:color="000000"/>
            </w:tcBorders>
            <w:shd w:fill="CCEBFF" w:val="clear"/>
            <w:tcMar>
              <w:bottom w:w="28" w:type="dxa"/>
              <w:right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16,197</w:t>
            </w:r>
          </w:p>
        </w:tc>
        <w:tc>
          <w:tcPr>
            <w:tcW w:w="1533" w:type="dxa"/>
            <w:tcBorders>
              <w:left w:val="single" w:sz="2" w:space="0" w:color="000000"/>
              <w:bottom w:val="single" w:sz="2" w:space="0" w:color="000000"/>
              <w:right w:val="single" w:sz="2" w:space="0" w:color="000000"/>
            </w:tcBorders>
            <w:shd w:fill="CCEBFF" w:val="clear"/>
            <w:tcMar>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Packaging</w:t>
            </w:r>
          </w:p>
        </w:tc>
      </w:tr>
      <w:tr>
        <w:trPr/>
        <w:tc>
          <w:tcPr>
            <w:tcW w:w="1444" w:type="dxa"/>
            <w:tcBorders>
              <w:left w:val="single" w:sz="2" w:space="0" w:color="000000"/>
              <w:bottom w:val="single" w:sz="12" w:space="0" w:color="000000"/>
              <w:right w:val="single" w:sz="2" w:space="0" w:color="000000"/>
            </w:tcBorders>
            <w:shd w:fill="CCEBFF" w:val="clear"/>
            <w:tcMar>
              <w:left w:w="28" w:type="dxa"/>
              <w:bottom w:w="28" w:type="dxa"/>
              <w:right w:w="28" w:type="dxa"/>
            </w:tcMar>
            <w:vAlign w:val="center"/>
          </w:tcPr>
          <w:p>
            <w:pPr>
              <w:pStyle w:val="TableContents"/>
              <w:bidi w:val="0"/>
              <w:spacing w:before="0" w:after="1"/>
              <w:ind w:left="0" w:right="0" w:hanging="0"/>
              <w:jc w:val="left"/>
              <w:rPr/>
            </w:pPr>
            <w:r>
              <w:rPr/>
              <w:t>​</w:t>
            </w:r>
          </w:p>
        </w:tc>
        <w:tc>
          <w:tcPr>
            <w:tcW w:w="8761" w:type="dxa"/>
            <w:gridSpan w:val="7"/>
            <w:tcBorders>
              <w:left w:val="single" w:sz="2" w:space="0" w:color="000000"/>
              <w:bottom w:val="single" w:sz="12" w:space="0" w:color="000000"/>
              <w:right w:val="single" w:sz="2" w:space="0" w:color="000000"/>
            </w:tcBorders>
            <w:shd w:fill="CCEBFF" w:val="clear"/>
            <w:tcMar>
              <w:left w:w="28" w:type="dxa"/>
              <w:bottom w:w="28" w:type="dxa"/>
              <w:right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Located in Waseca, MN, Berry Pallets is a wood pallet manufacturer.</w:t>
            </w:r>
          </w:p>
        </w:tc>
      </w:tr>
      <w:tr>
        <w:trPr/>
        <w:tc>
          <w:tcPr>
            <w:tcW w:w="1444" w:type="dxa"/>
            <w:tcBorders>
              <w:left w:val="single" w:sz="2" w:space="0" w:color="000000"/>
              <w:right w:val="single" w:sz="2" w:space="0" w:color="000000"/>
            </w:tcBorders>
            <w:tcMar>
              <w:left w:w="28" w:type="dxa"/>
              <w:right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John Rock, Inc.</w:t>
            </w:r>
          </w:p>
        </w:tc>
        <w:tc>
          <w:tcPr>
            <w:tcW w:w="1549"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May 4, 2026</w:t>
            </w:r>
          </w:p>
        </w:tc>
        <w:tc>
          <w:tcPr>
            <w:tcW w:w="314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$47,289</w:t>
              <w:br/>
              <w:t>consideration for 100% asset purchase</w:t>
            </w:r>
          </w:p>
        </w:tc>
        <w:tc>
          <w:tcPr>
            <w:tcW w:w="375" w:type="dxa"/>
            <w:tcBorders>
              <w:left w:val="single" w:sz="2" w:space="0" w:color="000000"/>
              <w:bottom w:val="single" w:sz="2" w:space="0" w:color="000000"/>
            </w:tcBorders>
            <w:tcMar>
              <w:left w:w="28" w:type="dxa"/>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980" w:type="dxa"/>
            <w:tcBorders>
              <w:bottom w:val="single" w:sz="2" w:space="0" w:color="000000"/>
              <w:right w:val="single" w:sz="2" w:space="0" w:color="000000"/>
            </w:tcBorders>
            <w:tcMar>
              <w:bottom w:w="28" w:type="dxa"/>
              <w:right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1,787</w:t>
            </w:r>
          </w:p>
        </w:tc>
        <w:tc>
          <w:tcPr>
            <w:tcW w:w="290" w:type="dxa"/>
            <w:tcBorders>
              <w:left w:val="single" w:sz="2" w:space="0" w:color="000000"/>
              <w:bottom w:val="single" w:sz="2" w:space="0" w:color="000000"/>
            </w:tcBorders>
            <w:tcMar>
              <w:left w:w="28" w:type="dxa"/>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3" w:type="dxa"/>
            <w:tcBorders>
              <w:bottom w:val="single" w:sz="2" w:space="0" w:color="000000"/>
              <w:right w:val="single" w:sz="2" w:space="0" w:color="000000"/>
            </w:tcBorders>
            <w:tcMar>
              <w:bottom w:w="28" w:type="dxa"/>
              <w:right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45,502</w:t>
            </w:r>
          </w:p>
        </w:tc>
        <w:tc>
          <w:tcPr>
            <w:tcW w:w="1533"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Packaging</w:t>
            </w:r>
          </w:p>
        </w:tc>
      </w:tr>
      <w:tr>
        <w:trPr/>
        <w:tc>
          <w:tcPr>
            <w:tcW w:w="1444"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left"/>
              <w:rPr/>
            </w:pPr>
            <w:r>
              <w:rPr/>
              <w:t>​</w:t>
            </w:r>
          </w:p>
        </w:tc>
        <w:tc>
          <w:tcPr>
            <w:tcW w:w="8761" w:type="dxa"/>
            <w:gridSpan w:val="7"/>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Located in Coatesville, PA, John Rock designs and manufactures new pallets.</w:t>
            </w:r>
          </w:p>
        </w:tc>
      </w:tr>
      <w:tr>
        <w:trPr/>
        <w:tc>
          <w:tcPr>
            <w:tcW w:w="1444" w:type="dxa"/>
            <w:tcBorders>
              <w:left w:val="single" w:sz="2" w:space="0" w:color="000000"/>
              <w:right w:val="single" w:sz="2" w:space="0" w:color="000000"/>
            </w:tcBorders>
            <w:shd w:fill="CCEBFF" w:val="clear"/>
            <w:tcMar>
              <w:left w:w="28" w:type="dxa"/>
              <w:right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MoistureShield, Inc.</w:t>
            </w:r>
          </w:p>
        </w:tc>
        <w:tc>
          <w:tcPr>
            <w:tcW w:w="1549" w:type="dxa"/>
            <w:tcBorders>
              <w:left w:val="single" w:sz="2" w:space="0" w:color="000000"/>
              <w:bottom w:val="single" w:sz="2" w:space="0" w:color="000000"/>
              <w:right w:val="single" w:sz="2" w:space="0" w:color="000000"/>
            </w:tcBorders>
            <w:shd w:fill="CCEBFF" w:val="clear"/>
            <w:tcMar>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April 6, 2026</w:t>
            </w:r>
          </w:p>
        </w:tc>
        <w:tc>
          <w:tcPr>
            <w:tcW w:w="3141" w:type="dxa"/>
            <w:tcBorders>
              <w:left w:val="single" w:sz="2" w:space="0" w:color="000000"/>
              <w:bottom w:val="single" w:sz="2" w:space="0" w:color="000000"/>
              <w:right w:val="single" w:sz="2" w:space="0" w:color="000000"/>
            </w:tcBorders>
            <w:shd w:fill="CCEBFF" w:val="clear"/>
            <w:tcMar>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$55,097</w:t>
              <w:br/>
              <w:t>consideration for 100% asset purchase</w:t>
            </w:r>
          </w:p>
        </w:tc>
        <w:tc>
          <w:tcPr>
            <w:tcW w:w="375" w:type="dxa"/>
            <w:tcBorders>
              <w:left w:val="single" w:sz="2" w:space="0" w:color="000000"/>
              <w:bottom w:val="single" w:sz="2" w:space="0" w:color="000000"/>
            </w:tcBorders>
            <w:shd w:fill="CCEBFF" w:val="clear"/>
            <w:tcMar>
              <w:left w:w="28" w:type="dxa"/>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980" w:type="dxa"/>
            <w:tcBorders>
              <w:bottom w:val="single" w:sz="2" w:space="0" w:color="000000"/>
              <w:right w:val="single" w:sz="2" w:space="0" w:color="000000"/>
            </w:tcBorders>
            <w:shd w:fill="CCEBFF" w:val="clear"/>
            <w:tcMar>
              <w:bottom w:w="28" w:type="dxa"/>
              <w:right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3,577</w:t>
            </w:r>
          </w:p>
        </w:tc>
        <w:tc>
          <w:tcPr>
            <w:tcW w:w="290" w:type="dxa"/>
            <w:tcBorders>
              <w:left w:val="single" w:sz="2" w:space="0" w:color="000000"/>
              <w:bottom w:val="single" w:sz="2" w:space="0" w:color="000000"/>
            </w:tcBorders>
            <w:shd w:fill="CCEBFF" w:val="clear"/>
            <w:tcMar>
              <w:left w:w="28" w:type="dxa"/>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3" w:type="dxa"/>
            <w:tcBorders>
              <w:bottom w:val="single" w:sz="2" w:space="0" w:color="000000"/>
              <w:right w:val="single" w:sz="2" w:space="0" w:color="000000"/>
            </w:tcBorders>
            <w:shd w:fill="CCEBFF" w:val="clear"/>
            <w:tcMar>
              <w:bottom w:w="28" w:type="dxa"/>
              <w:right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51,520</w:t>
            </w:r>
          </w:p>
        </w:tc>
        <w:tc>
          <w:tcPr>
            <w:tcW w:w="1533" w:type="dxa"/>
            <w:tcBorders>
              <w:left w:val="single" w:sz="2" w:space="0" w:color="000000"/>
              <w:bottom w:val="single" w:sz="2" w:space="0" w:color="000000"/>
              <w:right w:val="single" w:sz="2" w:space="0" w:color="000000"/>
            </w:tcBorders>
            <w:shd w:fill="CCEBFF" w:val="clear"/>
            <w:tcMar>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Retail</w:t>
            </w:r>
          </w:p>
        </w:tc>
      </w:tr>
      <w:tr>
        <w:trPr/>
        <w:tc>
          <w:tcPr>
            <w:tcW w:w="1444" w:type="dxa"/>
            <w:tcBorders>
              <w:left w:val="single" w:sz="2" w:space="0" w:color="000000"/>
              <w:bottom w:val="single" w:sz="12" w:space="0" w:color="000000"/>
              <w:right w:val="single" w:sz="2" w:space="0" w:color="000000"/>
            </w:tcBorders>
            <w:shd w:fill="CCEBFF" w:val="clear"/>
            <w:tcMar>
              <w:left w:w="28" w:type="dxa"/>
              <w:bottom w:w="28" w:type="dxa"/>
              <w:right w:w="28" w:type="dxa"/>
            </w:tcMar>
            <w:vAlign w:val="center"/>
          </w:tcPr>
          <w:p>
            <w:pPr>
              <w:pStyle w:val="TableContents"/>
              <w:bidi w:val="0"/>
              <w:spacing w:before="0" w:after="1"/>
              <w:ind w:left="0" w:right="0" w:hanging="0"/>
              <w:jc w:val="center"/>
              <w:rPr/>
            </w:pPr>
            <w:r>
              <w:rPr/>
              <w:t>​</w:t>
            </w:r>
          </w:p>
        </w:tc>
        <w:tc>
          <w:tcPr>
            <w:tcW w:w="8761" w:type="dxa"/>
            <w:gridSpan w:val="7"/>
            <w:tcBorders>
              <w:left w:val="single" w:sz="2" w:space="0" w:color="000000"/>
              <w:bottom w:val="single" w:sz="12" w:space="0" w:color="000000"/>
              <w:right w:val="single" w:sz="2" w:space="0" w:color="000000"/>
            </w:tcBorders>
            <w:shd w:fill="CCEBFF" w:val="clear"/>
            <w:tcMar>
              <w:left w:w="28" w:type="dxa"/>
              <w:bottom w:w="28" w:type="dxa"/>
              <w:right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Located in Springdale, AR, MoistureShield is a leading manufacturer of wood plastic composite decking.</w:t>
            </w:r>
          </w:p>
        </w:tc>
      </w:tr>
      <w:tr>
        <w:trPr/>
        <w:tc>
          <w:tcPr>
            <w:tcW w:w="1444" w:type="dxa"/>
            <w:tcBorders>
              <w:left w:val="single" w:sz="2" w:space="0" w:color="000000"/>
              <w:right w:val="single" w:sz="2" w:space="0" w:color="000000"/>
            </w:tcBorders>
            <w:tcMar>
              <w:left w:w="28" w:type="dxa"/>
              <w:right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National Supply, LLC</w:t>
            </w:r>
          </w:p>
        </w:tc>
        <w:tc>
          <w:tcPr>
            <w:tcW w:w="1549"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July 14, 2025</w:t>
            </w:r>
          </w:p>
        </w:tc>
        <w:tc>
          <w:tcPr>
            <w:tcW w:w="314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$6,531</w:t>
              <w:br/>
              <w:t>consideration for 100% asset purchase</w:t>
            </w:r>
          </w:p>
        </w:tc>
        <w:tc>
          <w:tcPr>
            <w:tcW w:w="375" w:type="dxa"/>
            <w:tcBorders>
              <w:left w:val="single" w:sz="2" w:space="0" w:color="000000"/>
              <w:bottom w:val="single" w:sz="2" w:space="0" w:color="000000"/>
            </w:tcBorders>
            <w:tcMar>
              <w:left w:w="28" w:type="dxa"/>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980" w:type="dxa"/>
            <w:tcBorders>
              <w:bottom w:val="single" w:sz="2" w:space="0" w:color="000000"/>
              <w:right w:val="single" w:sz="2" w:space="0" w:color="000000"/>
            </w:tcBorders>
            <w:tcMar>
              <w:bottom w:w="28" w:type="dxa"/>
              <w:right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3,045</w:t>
            </w:r>
          </w:p>
        </w:tc>
        <w:tc>
          <w:tcPr>
            <w:tcW w:w="290" w:type="dxa"/>
            <w:tcBorders>
              <w:left w:val="single" w:sz="2" w:space="0" w:color="000000"/>
              <w:bottom w:val="single" w:sz="2" w:space="0" w:color="000000"/>
            </w:tcBorders>
            <w:tcMar>
              <w:left w:w="28" w:type="dxa"/>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3" w:type="dxa"/>
            <w:tcBorders>
              <w:bottom w:val="single" w:sz="2" w:space="0" w:color="000000"/>
              <w:right w:val="single" w:sz="2" w:space="0" w:color="000000"/>
            </w:tcBorders>
            <w:tcMar>
              <w:bottom w:w="28" w:type="dxa"/>
              <w:right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3,486</w:t>
            </w:r>
          </w:p>
        </w:tc>
        <w:tc>
          <w:tcPr>
            <w:tcW w:w="1533"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Construction</w:t>
            </w:r>
          </w:p>
        </w:tc>
      </w:tr>
      <w:tr>
        <w:trPr/>
        <w:tc>
          <w:tcPr>
            <w:tcW w:w="1444"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left"/>
              <w:rPr/>
            </w:pPr>
            <w:r>
              <w:rPr/>
              <w:t>​</w:t>
            </w:r>
          </w:p>
        </w:tc>
        <w:tc>
          <w:tcPr>
            <w:tcW w:w="8761" w:type="dxa"/>
            <w:gridSpan w:val="7"/>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Located in Elkhart, IN, National Supply is a material supplier in the RV industry.</w:t>
            </w:r>
          </w:p>
        </w:tc>
      </w:tr>
      <w:tr>
        <w:trPr/>
        <w:tc>
          <w:tcPr>
            <w:tcW w:w="1444" w:type="dxa"/>
            <w:tcBorders>
              <w:left w:val="single" w:sz="2" w:space="0" w:color="000000"/>
              <w:right w:val="single" w:sz="2" w:space="0" w:color="000000"/>
            </w:tcBorders>
            <w:shd w:fill="CCEBFF" w:val="clear"/>
            <w:tcMar>
              <w:left w:w="28" w:type="dxa"/>
              <w:right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RWP West, LLC</w:t>
            </w:r>
          </w:p>
        </w:tc>
        <w:tc>
          <w:tcPr>
            <w:tcW w:w="1549" w:type="dxa"/>
            <w:tcBorders>
              <w:left w:val="single" w:sz="2" w:space="0" w:color="000000"/>
              <w:bottom w:val="single" w:sz="2" w:space="0" w:color="000000"/>
              <w:right w:val="single" w:sz="2" w:space="0" w:color="000000"/>
            </w:tcBorders>
            <w:shd w:fill="CCEBFF" w:val="clear"/>
            <w:tcMar>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June 16, 2025</w:t>
            </w:r>
          </w:p>
        </w:tc>
        <w:tc>
          <w:tcPr>
            <w:tcW w:w="3141" w:type="dxa"/>
            <w:tcBorders>
              <w:left w:val="single" w:sz="2" w:space="0" w:color="000000"/>
              <w:bottom w:val="single" w:sz="2" w:space="0" w:color="000000"/>
              <w:right w:val="single" w:sz="2" w:space="0" w:color="000000"/>
            </w:tcBorders>
            <w:shd w:fill="CCEBFF" w:val="clear"/>
            <w:tcMar>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$7,360</w:t>
              <w:br/>
              <w:t>consideration for 100% asset purchase</w:t>
            </w:r>
          </w:p>
        </w:tc>
        <w:tc>
          <w:tcPr>
            <w:tcW w:w="375" w:type="dxa"/>
            <w:tcBorders>
              <w:left w:val="single" w:sz="2" w:space="0" w:color="000000"/>
              <w:bottom w:val="single" w:sz="2" w:space="0" w:color="000000"/>
            </w:tcBorders>
            <w:shd w:fill="CCEBFF" w:val="clear"/>
            <w:tcMar>
              <w:left w:w="28" w:type="dxa"/>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980" w:type="dxa"/>
            <w:tcBorders>
              <w:bottom w:val="single" w:sz="2" w:space="0" w:color="000000"/>
              <w:right w:val="single" w:sz="2" w:space="0" w:color="000000"/>
            </w:tcBorders>
            <w:shd w:fill="CCEBFF" w:val="clear"/>
            <w:tcMar>
              <w:bottom w:w="28" w:type="dxa"/>
              <w:right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w:t>
            </w:r>
          </w:p>
        </w:tc>
        <w:tc>
          <w:tcPr>
            <w:tcW w:w="290" w:type="dxa"/>
            <w:tcBorders>
              <w:left w:val="single" w:sz="2" w:space="0" w:color="000000"/>
              <w:bottom w:val="single" w:sz="2" w:space="0" w:color="000000"/>
            </w:tcBorders>
            <w:shd w:fill="CCEBFF" w:val="clear"/>
            <w:tcMar>
              <w:left w:w="28" w:type="dxa"/>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3" w:type="dxa"/>
            <w:tcBorders>
              <w:bottom w:val="single" w:sz="2" w:space="0" w:color="000000"/>
              <w:right w:val="single" w:sz="2" w:space="0" w:color="000000"/>
            </w:tcBorders>
            <w:shd w:fill="CCEBFF" w:val="clear"/>
            <w:tcMar>
              <w:bottom w:w="28" w:type="dxa"/>
              <w:right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7,283</w:t>
            </w:r>
          </w:p>
        </w:tc>
        <w:tc>
          <w:tcPr>
            <w:tcW w:w="1533" w:type="dxa"/>
            <w:tcBorders>
              <w:left w:val="single" w:sz="2" w:space="0" w:color="000000"/>
              <w:bottom w:val="single" w:sz="2" w:space="0" w:color="000000"/>
              <w:right w:val="single" w:sz="2" w:space="0" w:color="000000"/>
            </w:tcBorders>
            <w:shd w:fill="CCEBFF" w:val="clear"/>
            <w:tcMar>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Construction</w:t>
            </w:r>
          </w:p>
        </w:tc>
      </w:tr>
      <w:tr>
        <w:trPr/>
        <w:tc>
          <w:tcPr>
            <w:tcW w:w="1444" w:type="dxa"/>
            <w:tcBorders>
              <w:left w:val="single" w:sz="2" w:space="0" w:color="000000"/>
              <w:bottom w:val="single" w:sz="12" w:space="0" w:color="000000"/>
              <w:right w:val="single" w:sz="2" w:space="0" w:color="000000"/>
            </w:tcBorders>
            <w:shd w:fill="CCEBFF" w:val="clear"/>
            <w:tcMar>
              <w:left w:w="28" w:type="dxa"/>
              <w:bottom w:w="28" w:type="dxa"/>
              <w:right w:w="28" w:type="dxa"/>
            </w:tcMar>
            <w:vAlign w:val="center"/>
          </w:tcPr>
          <w:p>
            <w:pPr>
              <w:pStyle w:val="TableContents"/>
              <w:bidi w:val="0"/>
              <w:spacing w:before="0" w:after="1"/>
              <w:ind w:left="0" w:right="0" w:hanging="0"/>
              <w:jc w:val="center"/>
              <w:rPr/>
            </w:pPr>
            <w:r>
              <w:rPr/>
              <w:t>​</w:t>
            </w:r>
          </w:p>
        </w:tc>
        <w:tc>
          <w:tcPr>
            <w:tcW w:w="8761" w:type="dxa"/>
            <w:gridSpan w:val="7"/>
            <w:tcBorders>
              <w:left w:val="single" w:sz="2" w:space="0" w:color="000000"/>
              <w:bottom w:val="single" w:sz="12" w:space="0" w:color="000000"/>
              <w:right w:val="single" w:sz="2" w:space="0" w:color="000000"/>
            </w:tcBorders>
            <w:shd w:fill="CCEBFF" w:val="clear"/>
            <w:tcMar>
              <w:left w:w="28" w:type="dxa"/>
              <w:bottom w:w="28" w:type="dxa"/>
              <w:right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Located in Twin Falls, ID and established in 2007, RWP West serves the western portion of the US and is a manufacturer and distributor for the manufactured housing, RV, and cargo markets.</w:t>
            </w:r>
          </w:p>
        </w:tc>
      </w:tr>
    </w:tbl>
    <w:p>
      <w:pPr>
        <w:pStyle w:val="TextBody"/>
        <w:bidi w:val="0"/>
        <w:spacing w:before="0" w:after="24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estimated fair values of assets acquired and liabilities assumed are based on available information at the acquisition date and assumptions deemed reasonable by management, supplemented by the expertise of third-party valuation specialists engaged to assist in determining fair value for intangible assets, including goodwill. As of June 27, 2026, the fair value determination of the intangible assets for the above business combinations has not been finalized, with the exception of RWP West which was finalized during the second quarter of 2026. Therefore, changes in facts and circumstances may result in adjustments to the initial fair value estimates during the measurement period, which may not exceed one year from the acquisition date. </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business combinations mentioned above contributed approximately $41.0 million to net sales and a $0.6 million operating loss during the first six months of 2026. They are not significant to our operating results and thus proforma results for 2026 and 2025 are not presented.</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G.       SEGMENT REPORTING</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ASC 280, Segment Reporting (“ASC 280”), defines operating segments as components of an enterprise about which separate financial information is available that is evaluated regularly by the chief operating decision maker (“CODM”) in deciding how to allocate resources and in assessing performance. Our CODM is the chief executive officer, as he has the ultimate decision-making authority related to assessing the Company’s performance and allocating resources. The CODM assesses performance for our segments and decides how to allocate resources based on net sales, cost of goods sold, earnings from operations and net earnings. These metrics are also reported on the Consolidated Statement of Earnings and Comprehensive Income. The measure of segment assets is reported on the Consolidated Balance Sheet as total consolidated assets. The CODM uses earnings from operations and net earnings to evaluate income generated from segment assets (return on investment) in determining wage increase allocations and bonus pools, and in deciding whether to reinvest profits into the business, such as for acquisitions, or to pay dividends.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firstLine="547"/>
        <w:jc w:val="both"/>
        <w:rPr>
          <w:rFonts w:ascii="Times New Roman;Times;serif" w:hAnsi="Times New Roman;Times;serif"/>
          <w:sz w:val="20"/>
        </w:rPr>
      </w:pPr>
      <w:bookmarkStart w:id="1020" w:name="Tc_h_wC9g1ZMUaXJt2ELwEsVg_23_0"/>
      <w:bookmarkStart w:id="1021" w:name="Tc_cylpwQ98ZUicP5X6tjKQ2w_22_0"/>
      <w:bookmarkStart w:id="1022" w:name="Tc_nzlCYhC370qHgYJx46WyRQ_21_0"/>
      <w:bookmarkStart w:id="1023" w:name="Tc_eSc2o5alRkevvGH7krZgAg_20_17"/>
      <w:bookmarkStart w:id="1024" w:name="Tc_aGEJMtFkr0eYd36LlKFMLg_20_14"/>
      <w:bookmarkStart w:id="1025" w:name="Tc_zLok3JBPJ0CtnMZA-fcnzQ_20_11"/>
      <w:bookmarkStart w:id="1026" w:name="Tc_AxZdc_jMp0SioSFzOOulgg_20_8"/>
      <w:bookmarkStart w:id="1027" w:name="Tc_sMhqnmAlFEOVswWCsBWKww_20_5"/>
      <w:bookmarkStart w:id="1028" w:name="Tc_4goWcfPbwUifpg8LmNsy_Q_20_2"/>
      <w:bookmarkStart w:id="1029" w:name="Tc_CxR4wlTETU6lKE5IY21jDQ_20_0"/>
      <w:bookmarkStart w:id="1030" w:name="Tc_5moL-IZZN0i8y5SqBDExJg_19_0"/>
      <w:bookmarkStart w:id="1031" w:name="Tc_AxJchUs0OkG0PI0iKRWhsQ_18_17"/>
      <w:bookmarkStart w:id="1032" w:name="Tc_BuoVvn59qkOXuod4CAydsw_18_14"/>
      <w:bookmarkStart w:id="1033" w:name="Tc_IhkM-Fbm7UGhSQQqA22tvg_18_11"/>
      <w:bookmarkStart w:id="1034" w:name="Tc_6vDhOQ8VuUGHJjyXm2HTVQ_18_8"/>
      <w:bookmarkStart w:id="1035" w:name="Tc_cd5hM5Yy1UqFi7Pfv0WNlA_18_5"/>
      <w:bookmarkStart w:id="1036" w:name="Tc_rOQ15t7Ww06oc_8wYVNTIA_18_2"/>
      <w:bookmarkStart w:id="1037" w:name="Tc_lY7Qbc0Z8kyoSm5NiWTmbA_18_0"/>
      <w:bookmarkStart w:id="1038" w:name="Tc_Co8LJGIFUESPk0r5cR7f_Q_17_0"/>
      <w:bookmarkStart w:id="1039" w:name="Tc_w-tnjk6efkGfBdrVbKeUSg_16_0"/>
      <w:bookmarkStart w:id="1040" w:name="Tc_12bio3mD_0CLPx04NBcGcA_15_0"/>
      <w:bookmarkStart w:id="1041" w:name="Tc_MIIlZuhb4EKsRYkHuIYwIw_14_15"/>
      <w:bookmarkStart w:id="1042" w:name="Tc_jYI0-WQrZkqufQyOF4CjTQ_14_9"/>
      <w:bookmarkStart w:id="1043" w:name="Tc_6fCslnItfkiaxAX1aTmHvA_14_3"/>
      <w:bookmarkStart w:id="1044" w:name="Tc_TUcXxEdH1EGnejJvMD6iSw_14_0"/>
      <w:bookmarkStart w:id="1045" w:name="Tc_GGgxq6rsU02EVWD54aKQIA_13_6"/>
      <w:bookmarkStart w:id="1046" w:name="Tc_ZN0Wk3F5BUqiHEAt9MfuYw_13_0"/>
      <w:bookmarkStart w:id="1047" w:name="Tc_EFInsM5ut0WGNz-Oh7aIog_12_0"/>
      <w:bookmarkStart w:id="1048" w:name="Tc_ie_d5Td5vUGx6VKtBV3P1Q_11_0"/>
      <w:bookmarkStart w:id="1049" w:name="Tc_MLhC61TtgE-vimmcFE51tQ_10_6"/>
      <w:bookmarkStart w:id="1050" w:name="Tc_xi2C2yJwE0uGwFw5bd4Q1A_10_0"/>
      <w:bookmarkStart w:id="1051" w:name="Tc_7pV6OxPEd0uPbGhQ9n3JUw_9_0"/>
      <w:bookmarkStart w:id="1052" w:name="Tc_OvIZ62X4pUKq5nTjAJj7xw_8_0"/>
      <w:bookmarkStart w:id="1053" w:name="Tc_3868PRXKD0Wwr6krQsxePw_7_0"/>
      <w:bookmarkStart w:id="1054" w:name="Tc_qhh_WOGqnU6DddPui0Q_aw_6_0"/>
      <w:bookmarkStart w:id="1055" w:name="Tc_uUtLxQEY50yf3hrt4ESF5A_5_18"/>
      <w:bookmarkStart w:id="1056" w:name="Tc_Y0I41DqwzE-7nEnsbm20DQ_5_0"/>
      <w:bookmarkStart w:id="1057" w:name="Tc_ef0rEYq2I0-IvWyBvEC0AQ_4_17"/>
      <w:bookmarkStart w:id="1058" w:name="Tc_O2FfEDF9SkqhFstExaUKGA_4_14"/>
      <w:bookmarkStart w:id="1059" w:name="Tc_cdd76UU-jkWYJBwa3aRgZg_4_11"/>
      <w:bookmarkStart w:id="1060" w:name="Tc_bJ2Px62WQEi_IhjkJaZI9w_4_8"/>
      <w:bookmarkStart w:id="1061" w:name="Tc_M9L_-VofaECIIfGTJv4Bag_4_5"/>
      <w:bookmarkStart w:id="1062" w:name="Tc_GdwNIqRl4UuzhfrFD_DWUA_4_2"/>
      <w:bookmarkStart w:id="1063" w:name="Tc_5rtM80_dOEC7fCjOYTaR3w_4_0"/>
      <w:bookmarkStart w:id="1064" w:name="Tc_8uBvegYlgkmXQK-ibBNKDQ_3_17"/>
      <w:bookmarkStart w:id="1065" w:name="Tc_6VDpdTUEmkeBW2yAcn_DHA_3_14"/>
      <w:bookmarkStart w:id="1066" w:name="Tc_Z3HvWSga_U6SWt0ps3uLXQ_3_11"/>
      <w:bookmarkStart w:id="1067" w:name="Tc_g3cftIHtLU6LP1IiFYKFKw_3_8"/>
      <w:bookmarkStart w:id="1068" w:name="Tc_Zx4wHITAd0yJzL_b94KnTA_3_5"/>
      <w:bookmarkStart w:id="1069" w:name="Tc_3HUmtLTGcUCeGCpcFAgIjQ_3_2"/>
      <w:bookmarkStart w:id="1070" w:name="Tc_II1vUQtP6UKkE59Gb0__SQ_2_11"/>
      <w:bookmarkStart w:id="1071" w:name="Tc_9pOY3o5Ra0ezdAkjv48CCQ_1_2"/>
      <w:bookmarkStart w:id="1072" w:name="_03919e3a_e4ea_425c_a5c4_a928ceaa50f4"/>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r>
        <w:rPr>
          <w:rFonts w:ascii="Times New Roman;Times;serif" w:hAnsi="Times New Roman;Times;serif"/>
          <w:sz w:val="20"/>
        </w:rPr>
        <w:t xml:space="preserve">We operate manufacturing, treating and distribution facilities internationally, but primarily in the United States. Our business segments consist of Retail, Packaging and Construction and align with the end markets we serve. This segment structure allows for a specialized and consistent sales approach among Company operations,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In the case of locations that serve multiple segments, results are allocated and accounted for by segment.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The exception to this market-centered reporting and management structure is our International segment, which comprises our packaging operations in Mexico, Canada, Spain, India, and Australia and sales and buying offices in other parts of the world, and our Ardellis segment, which represents our wholly owned fully licensed captive insurance company based in Bermuda. Our International and Ardellis segments do not meet the quantitative thresholds in order to be separately reported and accordingly, the International and Ardellis segments have been aggregated in the “All Other” segment for reporting purposes. </w:t>
      </w:r>
    </w:p>
    <w:p>
      <w:pPr>
        <w:pStyle w:val="TextBody"/>
        <w:bidi w:val="0"/>
        <w:spacing w:before="0" w:after="240"/>
        <w:ind w:left="0" w:right="0" w:firstLine="720"/>
        <w:jc w:val="both"/>
        <w:rPr/>
      </w:pPr>
      <w:r>
        <w:rPr/>
        <w:t>“</w:t>
      </w:r>
      <w:r>
        <w:rPr>
          <w:rFonts w:ascii="Times New Roman;Times;serif" w:hAnsi="Times New Roman;Times;serif"/>
          <w:sz w:val="20"/>
        </w:rPr>
        <w:t xml:space="preserve">Corporate” includes purchasing, transportation, corporate ventures, and administrative functions that serve our operating segments. Operating results of Corporate primarily consist of over (under) allocated costs and net sales to external customers initiated by UFP Purchasing, which manages supplier relationships and purchases lumber and other materials, UFP Transportation, which owns, leases, and operates transportation equipment, and UFP Real Estate, which owns and leases real estate. Inter-company lease and service charges are assessed to our operating segments for the use of these assets and services at fair market value rates. Total assets of the Corporate segment include unallocated cash and cash equivalents, certain prepaid assets, and certain property, equipment and other assets pertaining to the centralized activities of Corporate, UFP Real Estate, Inc., UFP Transportation, Inc., and UFP Purchasing, Inc. Real estate activities are conducted by the real estate company on behalf of the segments, and capital expenditures associated with real estate are allocated to the segments.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tables below are presented in thousands:</w:t>
      </w:r>
    </w:p>
    <w:p>
      <w:pPr>
        <w:pStyle w:val="TextBody"/>
        <w:bidi w:val="0"/>
        <w:spacing w:before="0" w:after="0"/>
        <w:ind w:left="0" w:right="0" w:hanging="0"/>
        <w:jc w:val="both"/>
        <w:rPr/>
      </w:pPr>
      <w:r>
        <w:rPr/>
        <w:t>​</w:t>
      </w:r>
    </w:p>
    <w:tbl>
      <w:tblPr>
        <w:tblW w:w="10488" w:type="dxa"/>
        <w:jc w:val="left"/>
        <w:tblInd w:w="0" w:type="dxa"/>
        <w:tblLayout w:type="fixed"/>
        <w:tblCellMar>
          <w:top w:w="0" w:type="dxa"/>
          <w:left w:w="0" w:type="dxa"/>
          <w:bottom w:w="0" w:type="dxa"/>
          <w:right w:w="0" w:type="dxa"/>
        </w:tblCellMar>
      </w:tblPr>
      <w:tblGrid>
        <w:gridCol w:w="1906"/>
        <w:gridCol w:w="346"/>
        <w:gridCol w:w="211"/>
        <w:gridCol w:w="931"/>
        <w:gridCol w:w="346"/>
        <w:gridCol w:w="211"/>
        <w:gridCol w:w="781"/>
        <w:gridCol w:w="346"/>
        <w:gridCol w:w="223"/>
        <w:gridCol w:w="828"/>
        <w:gridCol w:w="346"/>
        <w:gridCol w:w="211"/>
        <w:gridCol w:w="781"/>
        <w:gridCol w:w="346"/>
        <w:gridCol w:w="211"/>
        <w:gridCol w:w="931"/>
        <w:gridCol w:w="346"/>
        <w:gridCol w:w="211"/>
        <w:gridCol w:w="976"/>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210310" cy="175260"/>
                      <wp:effectExtent l="0" t="0" r="0" b="0"/>
                      <wp:wrapNone/>
                      <wp:docPr id="173" name="Frame173"/>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91185" cy="175260"/>
                      <wp:effectExtent l="0" t="0" r="0" b="0"/>
                      <wp:wrapNone/>
                      <wp:docPr id="176" name="Frame17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260"/>
                      <wp:effectExtent l="0" t="0" r="0" b="0"/>
                      <wp:wrapNone/>
                      <wp:docPr id="178"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95935" cy="175260"/>
                      <wp:effectExtent l="0" t="0" r="0" b="0"/>
                      <wp:wrapNone/>
                      <wp:docPr id="179" name="Frame1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41605" cy="175260"/>
                      <wp:effectExtent l="0" t="0" r="0" b="0"/>
                      <wp:wrapNone/>
                      <wp:docPr id="181" name="Frame181"/>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25780" cy="175260"/>
                      <wp:effectExtent l="0" t="0" r="0" b="0"/>
                      <wp:wrapNone/>
                      <wp:docPr id="182" name="Frame182"/>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95935" cy="175260"/>
                      <wp:effectExtent l="0" t="0" r="0" b="0"/>
                      <wp:wrapNone/>
                      <wp:docPr id="185" name="Frame18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91185" cy="175260"/>
                      <wp:effectExtent l="0" t="0" r="0" b="0"/>
                      <wp:wrapNone/>
                      <wp:docPr id="188" name="Frame18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19760" cy="175260"/>
                      <wp:effectExtent l="0" t="0" r="0" b="0"/>
                      <wp:wrapNone/>
                      <wp:docPr id="191" name="Frame19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36" w:type="dxa"/>
            <w:gridSpan w:val="17"/>
            <w:tcBorders>
              <w:top w:val="single" w:sz="2"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27, 2026</w: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Packaging</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105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11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 to outside customers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818,743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458,245</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526,777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1,882,937</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Intersegment net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24,632</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(204,209)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704,096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397,886</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436,449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1,592,702</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60,359</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290,235</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45,580</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185,720</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(gain) on disposition and impairment of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losses,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14,673</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103,416</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(10,528)</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earnings of investee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(9,446)</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15,491</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112,862</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4,176</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29,691</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11,315</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83,171</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significant items: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2,101</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5,483</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9,308</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38,281</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1,088,049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850,483</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668,506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320,702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1,177,124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4,104,864</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12,080</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38,311</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0"/>
        <w:ind w:left="0" w:right="0" w:firstLine="720"/>
        <w:jc w:val="both"/>
        <w:rPr/>
      </w:pPr>
      <w:bookmarkStart w:id="1073" w:name="Tc_6IkHEHt69kyyx0NBb87gyA_23_0"/>
      <w:bookmarkStart w:id="1074" w:name="Tc_q0Sf-qti30aRse2SKjhHpg_22_0"/>
      <w:bookmarkStart w:id="1075" w:name="Tc_I7MPo9O720Wy1x2R97ltsg_21_0"/>
      <w:bookmarkStart w:id="1076" w:name="Tc_00D_thWOEkqpcYn6xUJ1zg_20_17"/>
      <w:bookmarkStart w:id="1077" w:name="Tc_o0s5h8hN-EGh9YNoYRCUew_20_2"/>
      <w:bookmarkStart w:id="1078" w:name="Tc_UPQz_bTIek2EG5TuQOhmJw_20_0"/>
      <w:bookmarkStart w:id="1079" w:name="Tc_TnDHpQrBekOtcshgO2rhoQ_19_0"/>
      <w:bookmarkStart w:id="1080" w:name="Tc_Tk9rafeBfUaKV67b5heC8A_18_17"/>
      <w:bookmarkStart w:id="1081" w:name="Tc_Sg1oA8cs2Ue3geVmpbVtgg_18_14"/>
      <w:bookmarkStart w:id="1082" w:name="Tc_EIO-mgYM80-Na67QxoajyQ_18_11"/>
      <w:bookmarkStart w:id="1083" w:name="Tc_9QQuZh5SsU2kR_DZO0xkNw_18_8"/>
      <w:bookmarkStart w:id="1084" w:name="Tc_3MwPHbyXd0i6YFdQerL10A_18_5"/>
      <w:bookmarkStart w:id="1085" w:name="Tc_eVsv2iBvcEqeQEcQJIeehg_18_2"/>
      <w:bookmarkStart w:id="1086" w:name="Tc_Pjo11NM7XUy5ZFD_Dl-RkQ_18_0"/>
      <w:bookmarkStart w:id="1087" w:name="Tc_tKk80aarSk2Cqrs6sdUOFw_17_0"/>
      <w:bookmarkStart w:id="1088" w:name="Tc_tp1czbJjtkOHJXPet-OlKw_16_0"/>
      <w:bookmarkStart w:id="1089" w:name="Tc_AsmG2fjl7U2c_9RiPfvK9g_15_0"/>
      <w:bookmarkStart w:id="1090" w:name="Tc_KzWT8rGYGkaJTAT047pMbg_14_15"/>
      <w:bookmarkStart w:id="1091" w:name="Tc_WzsaMuQ5VUWID25uPIsdyw_14_9"/>
      <w:bookmarkStart w:id="1092" w:name="Tc_1K4-Cwh4yEGpGD30yu6KTg_14_3"/>
      <w:bookmarkStart w:id="1093" w:name="Tc_cz0y623sW0mkvw0f5V06vg_14_0"/>
      <w:bookmarkStart w:id="1094" w:name="Tc_cbmGL9pglkOeS8ATK8-2Bw_13_6"/>
      <w:bookmarkStart w:id="1095" w:name="Tc_qrWdDYlZ50-VLBT_xcFkVA_13_0"/>
      <w:bookmarkStart w:id="1096" w:name="Tc_taHl9pbIukG3VIFDFlOB2w_12_0"/>
      <w:bookmarkStart w:id="1097" w:name="Tc_jRsnoe7ex0yTWknY87cYWQ_11_0"/>
      <w:bookmarkStart w:id="1098" w:name="Tc_gpBMTwuf5UWZ7hxs2qlvTg_10_6"/>
      <w:bookmarkStart w:id="1099" w:name="Tc_OvHgI7LExUKFAregqsOLcw_10_0"/>
      <w:bookmarkStart w:id="1100" w:name="Tc_G3313NndC0mPtGb60SSWOw_9_0"/>
      <w:bookmarkStart w:id="1101" w:name="Tc_jeNCbMcCfUKLImDYbmkJFw_8_0"/>
      <w:bookmarkStart w:id="1102" w:name="Tc_dYSxh8__mkaL76lSP_KsEQ_7_0"/>
      <w:bookmarkStart w:id="1103" w:name="Tc_AAE8GHj8gkKlu3JgcGVKtg_6_0"/>
      <w:bookmarkStart w:id="1104" w:name="Tc_q7UYKC0cJk6HRj0FvEEDxQ_5_18"/>
      <w:bookmarkStart w:id="1105" w:name="Tc_avWGxyFxR064s8gXqL_tag_5_0"/>
      <w:bookmarkStart w:id="1106" w:name="Tc_maRDiDaleUeWqauUkyDROg_4_17"/>
      <w:bookmarkStart w:id="1107" w:name="Tc_cwfUFxPNEkyyg1ShW7rBFg_4_14"/>
      <w:bookmarkStart w:id="1108" w:name="Tc_NKezcYJC4kSmFQzlx3nSpQ_4_11"/>
      <w:bookmarkStart w:id="1109" w:name="Tc_U-0ks8U_hE29ZLEHzfc-pQ_4_8"/>
      <w:bookmarkStart w:id="1110" w:name="Tc_y-QXDvHcuU-Kibxd5FTyag_4_5"/>
      <w:bookmarkStart w:id="1111" w:name="Tc_-pFGClAWHEKDiSVDjLrzpA_4_2"/>
      <w:bookmarkStart w:id="1112" w:name="Tc_CBzDnkN3_E203n_zF8gSCA_4_0"/>
      <w:bookmarkStart w:id="1113" w:name="Tc_gUbAMQpuKkaN84NIZNJJUQ_3_17"/>
      <w:bookmarkStart w:id="1114" w:name="Tc_zPssIEjmKEOtQxIOCs8l7A_3_14"/>
      <w:bookmarkStart w:id="1115" w:name="Tc_ivYvwvYvikag3woXOH7ksg_3_11"/>
      <w:bookmarkStart w:id="1116" w:name="Tc_60HCzT0Cw0GnR87klFEYXw_3_8"/>
      <w:bookmarkStart w:id="1117" w:name="Tc_RvxO5Grn8EyFJrBAab12SA_3_5"/>
      <w:bookmarkStart w:id="1118" w:name="Tc_HaopQq2hzkS7E4KWvgs9Lw_3_2"/>
      <w:bookmarkStart w:id="1119" w:name="Tc_vbVYSBIXwkGNI6mTZymrhQ_2_11"/>
      <w:bookmarkStart w:id="1120" w:name="Tc_FOJuAFxRqky8lDGdGHVq3g_1_2"/>
      <w:bookmarkStart w:id="1121" w:name="_849ac020_ab6c_4a95_80f3_7d712b5a0d36"/>
      <w:bookmarkStart w:id="1122" w:name="Tc_ARAWNhD2uUiYtbfx1wYc-Q_23_0"/>
      <w:bookmarkStart w:id="1123" w:name="Tc_fId45NAI4kusdYveCTARXw_22_0"/>
      <w:bookmarkStart w:id="1124" w:name="Tc_l9pbSa3FTECvFeaHGCGNwg_21_0"/>
      <w:bookmarkStart w:id="1125" w:name="Tc_YhCDu9IOKkaTrz6VCpV_hw_20_17"/>
      <w:bookmarkStart w:id="1126" w:name="Tc_Zon4pShXoUmYIZKGZfb2IA_20_14"/>
      <w:bookmarkStart w:id="1127" w:name="Tc_U-O3RcE-90eSoQzfbOyS4w_20_11"/>
      <w:bookmarkStart w:id="1128" w:name="Tc_n3aDYb73C0G6LS3Xr4zFjw_20_8"/>
      <w:bookmarkStart w:id="1129" w:name="Tc_dQhMVUkH1EialqIBVGKaug_20_5"/>
      <w:bookmarkStart w:id="1130" w:name="Tc_QDPBdZnSeECZLlLBfYYCNA_20_2"/>
      <w:bookmarkStart w:id="1131" w:name="Tc_VGHUhB3jYkeOsIBuAokhZw_20_0"/>
      <w:bookmarkStart w:id="1132" w:name="Tc_s02Vat_KrkGw4bOgKY9l2g_19_0"/>
      <w:bookmarkStart w:id="1133" w:name="Tc_GeWJx96YcUqO9UWZPTAnxg_18_17"/>
      <w:bookmarkStart w:id="1134" w:name="Tc_oMEyUMejZEyzFvSlFZLfgg_18_14"/>
      <w:bookmarkStart w:id="1135" w:name="Tc_j-gSRL-d8EywUg-ZglMo0A_18_11"/>
      <w:bookmarkStart w:id="1136" w:name="Tc_-hzJKUlsykKYh53tuRvzgw_18_8"/>
      <w:bookmarkStart w:id="1137" w:name="Tc_olRB3A6a4E6cI26jlA4fuw_18_5"/>
      <w:bookmarkStart w:id="1138" w:name="Tc_aUhczDPu_06n2ZoC7FG44g_18_2"/>
      <w:bookmarkStart w:id="1139" w:name="Tc_I13_kkLxqkK-KUYk7NJAXA_18_0"/>
      <w:bookmarkStart w:id="1140" w:name="Tc_Hv7NhGDlLU2prb9-HYh2GQ_17_0"/>
      <w:bookmarkStart w:id="1141" w:name="Tc_QXCaxfrrXkaW0tqQkxAv3g_16_0"/>
      <w:bookmarkStart w:id="1142" w:name="Tc_LpoMU0N6YkuULcEx10q68Q_15_9"/>
      <w:bookmarkStart w:id="1143" w:name="Tc_mv6jLjf7-UmuHKAb-QxtLw_15_0"/>
      <w:bookmarkStart w:id="1144" w:name="Tc_lOJgi9KPfkmkiId5m_wlhQ_14_15"/>
      <w:bookmarkStart w:id="1145" w:name="Tc_c_x5mEdFHEOe0UwFsHCOqQ_14_9"/>
      <w:bookmarkStart w:id="1146" w:name="Tc_Jc2Ll6XOLUqJTYh_djc0ig_14_3"/>
      <w:bookmarkStart w:id="1147" w:name="Tc_Lu4UcZcTQkS59Tl8GCvVOA_14_0"/>
      <w:bookmarkStart w:id="1148" w:name="Tc_dyNhhlLZT0-kMMiU6HYxMw_13_9"/>
      <w:bookmarkStart w:id="1149" w:name="Tc_Ag-KAnW2VkOVQqfF9qNX6g_13_6"/>
      <w:bookmarkStart w:id="1150" w:name="Tc_n1xVReNnREiN4zUy02IhKg_13_0"/>
      <w:bookmarkStart w:id="1151" w:name="Tc_ic1yB8r6mE-CgU1frh2FlQ_12_9"/>
      <w:bookmarkStart w:id="1152" w:name="Tc_QyKeg04WaUCfn4nQ2PndGQ_12_0"/>
      <w:bookmarkStart w:id="1153" w:name="Tc__r94rCVEM0CjfhDwbzb_0Q_11_0"/>
      <w:bookmarkStart w:id="1154" w:name="Tc_bUjNFQBq80O8VOvs94I0Tw_10_6"/>
      <w:bookmarkStart w:id="1155" w:name="Tc_C5jmH-weiEOR-Iok3ba9tg_10_0"/>
      <w:bookmarkStart w:id="1156" w:name="Tc_SuRtZ7h9mUCEHABitJ4Jpw_9_0"/>
      <w:bookmarkStart w:id="1157" w:name="Tc_QeGPap2OkUCsODYbW-JsJg_8_0"/>
      <w:bookmarkStart w:id="1158" w:name="Tc_LYbv3bJSDk6WgKtJHLN7pw_7_0"/>
      <w:bookmarkStart w:id="1159" w:name="Tc_fF2fxueQxUe-hv0CXJ6qrQ_6_0"/>
      <w:bookmarkStart w:id="1160" w:name="Tc_MXEZCic4KUeh4Nd1ycQFyg_5_18"/>
      <w:bookmarkStart w:id="1161" w:name="Tc_qtOnXrYhBE6XOX4RS1RoGQ_5_0"/>
      <w:bookmarkStart w:id="1162" w:name="Tc_JPA8IU8abEieqjYNPspARg_4_17"/>
      <w:bookmarkStart w:id="1163" w:name="Tc_iwqBgKxFFUeJKJWK9fdAqg_4_14"/>
      <w:bookmarkStart w:id="1164" w:name="Tc_CWPGHwHHNEerecOSbR1Mcg_4_11"/>
      <w:bookmarkStart w:id="1165" w:name="Tc_5PP4sgVjqEyKS1igsqiS8Q_4_8"/>
      <w:bookmarkStart w:id="1166" w:name="Tc_NCYWLnTJ_EGSGl9qXK-l0w_4_5"/>
      <w:bookmarkStart w:id="1167" w:name="Tc_ry__9GZNjkihUNN6_JiSUw_4_2"/>
      <w:bookmarkStart w:id="1168" w:name="Tc_KUXNM7-PiESQNTVU-cY9zA_4_0"/>
      <w:bookmarkStart w:id="1169" w:name="Tc_R_3EYbySU028tt_hohrDoA_3_17"/>
      <w:bookmarkStart w:id="1170" w:name="Tc_yYemtP4LrUqj33RaST18QA_3_14"/>
      <w:bookmarkStart w:id="1171" w:name="Tc_7HrMPTRA0ESW_XBNGRGjyw_3_11"/>
      <w:bookmarkStart w:id="1172" w:name="Tc_4YcsS8jpkEWgEWOx__wAWg_3_8"/>
      <w:bookmarkStart w:id="1173" w:name="Tc_s-SEX47hXE68qPlA87dcEw_3_5"/>
      <w:bookmarkStart w:id="1174" w:name="Tc_jy8JmyXlAkavjIdk9eOinQ_3_2"/>
      <w:bookmarkStart w:id="1175" w:name="Tc_FVoTFx4fq0ejElMUMgybxQ_2_11"/>
      <w:bookmarkStart w:id="1176" w:name="Tc_IOjnXa2unU-UmysSUIE2Kg_1_2"/>
      <w:bookmarkStart w:id="1177" w:name="_64ca3f7a_41d7_438e_b4c7_ef71067ee31f"/>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r>
        <w:rPr/>
        <w:t>​</w:t>
      </w:r>
    </w:p>
    <w:tbl>
      <w:tblPr>
        <w:tblW w:w="10338" w:type="dxa"/>
        <w:jc w:val="left"/>
        <w:tblInd w:w="0" w:type="dxa"/>
        <w:tblLayout w:type="fixed"/>
        <w:tblCellMar>
          <w:top w:w="0" w:type="dxa"/>
          <w:left w:w="0" w:type="dxa"/>
          <w:bottom w:w="0" w:type="dxa"/>
          <w:right w:w="0" w:type="dxa"/>
        </w:tblCellMar>
      </w:tblPr>
      <w:tblGrid>
        <w:gridCol w:w="1906"/>
        <w:gridCol w:w="346"/>
        <w:gridCol w:w="211"/>
        <w:gridCol w:w="781"/>
        <w:gridCol w:w="346"/>
        <w:gridCol w:w="211"/>
        <w:gridCol w:w="781"/>
        <w:gridCol w:w="346"/>
        <w:gridCol w:w="223"/>
        <w:gridCol w:w="828"/>
        <w:gridCol w:w="346"/>
        <w:gridCol w:w="211"/>
        <w:gridCol w:w="781"/>
        <w:gridCol w:w="346"/>
        <w:gridCol w:w="211"/>
        <w:gridCol w:w="931"/>
        <w:gridCol w:w="346"/>
        <w:gridCol w:w="211"/>
        <w:gridCol w:w="976"/>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210310" cy="175260"/>
                      <wp:effectExtent l="0" t="0" r="0" b="0"/>
                      <wp:wrapNone/>
                      <wp:docPr id="192" name="Frame192"/>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95935" cy="175260"/>
                      <wp:effectExtent l="0" t="0" r="0" b="0"/>
                      <wp:wrapNone/>
                      <wp:docPr id="195" name="Frame1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95935" cy="175260"/>
                      <wp:effectExtent l="0" t="0" r="0" b="0"/>
                      <wp:wrapNone/>
                      <wp:docPr id="198" name="Frame19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41605" cy="175260"/>
                      <wp:effectExtent l="0" t="0" r="0" b="0"/>
                      <wp:wrapNone/>
                      <wp:docPr id="200" name="Frame200"/>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25780" cy="175260"/>
                      <wp:effectExtent l="0" t="0" r="0" b="0"/>
                      <wp:wrapNone/>
                      <wp:docPr id="201" name="Frame201"/>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95935" cy="175260"/>
                      <wp:effectExtent l="0" t="0" r="0" b="0"/>
                      <wp:wrapNone/>
                      <wp:docPr id="204" name="Frame20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91185" cy="175260"/>
                      <wp:effectExtent l="0" t="0" r="0" b="0"/>
                      <wp:wrapNone/>
                      <wp:docPr id="207" name="Frame20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19760" cy="175260"/>
                      <wp:effectExtent l="0" t="0" r="0" b="0"/>
                      <wp:wrapNone/>
                      <wp:docPr id="210" name="Frame21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86" w:type="dxa"/>
            <w:gridSpan w:val="17"/>
            <w:tcBorders>
              <w:top w:val="single" w:sz="2"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28, 2025</w: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Packaging</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105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11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 to outside customers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788,224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428,669</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551,590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1,835,374</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Intersegment net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25,829</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(227,047)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674,484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358,087</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451,401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1,522,640</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113,740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70,582</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312,734</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43,148</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184,995</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(gain) on disposition and impairment of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3,830</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losses (gains),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26,209</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123,091</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2,716</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(10,757)</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earnings of investee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(8,854)</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27,004</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131,945</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6,371</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31,074</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20,633</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100,871</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significant items: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2,166</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5,928</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9,090</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34,000</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955,976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819,438</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664,848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336,597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1,320,529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4,097,388</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21,289</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62,484</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tbl>
      <w:tblPr>
        <w:tblW w:w="10488" w:type="dxa"/>
        <w:jc w:val="left"/>
        <w:tblInd w:w="0" w:type="dxa"/>
        <w:tblLayout w:type="fixed"/>
        <w:tblCellMar>
          <w:top w:w="0" w:type="dxa"/>
          <w:left w:w="0" w:type="dxa"/>
          <w:bottom w:w="0" w:type="dxa"/>
          <w:right w:w="0" w:type="dxa"/>
        </w:tblCellMar>
      </w:tblPr>
      <w:tblGrid>
        <w:gridCol w:w="1906"/>
        <w:gridCol w:w="346"/>
        <w:gridCol w:w="211"/>
        <w:gridCol w:w="931"/>
        <w:gridCol w:w="346"/>
        <w:gridCol w:w="211"/>
        <w:gridCol w:w="781"/>
        <w:gridCol w:w="346"/>
        <w:gridCol w:w="223"/>
        <w:gridCol w:w="828"/>
        <w:gridCol w:w="346"/>
        <w:gridCol w:w="211"/>
        <w:gridCol w:w="781"/>
        <w:gridCol w:w="346"/>
        <w:gridCol w:w="211"/>
        <w:gridCol w:w="931"/>
        <w:gridCol w:w="346"/>
        <w:gridCol w:w="211"/>
        <w:gridCol w:w="976"/>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210310" cy="175260"/>
                      <wp:effectExtent l="0" t="0" r="0" b="0"/>
                      <wp:wrapNone/>
                      <wp:docPr id="211" name="Frame211"/>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12"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91185" cy="175260"/>
                      <wp:effectExtent l="0" t="0" r="0" b="0"/>
                      <wp:wrapNone/>
                      <wp:docPr id="214" name="Frame21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95935" cy="175260"/>
                      <wp:effectExtent l="0" t="0" r="0" b="0"/>
                      <wp:wrapNone/>
                      <wp:docPr id="217" name="Frame2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41605" cy="175260"/>
                      <wp:effectExtent l="0" t="0" r="0" b="0"/>
                      <wp:wrapNone/>
                      <wp:docPr id="219" name="Frame219"/>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25780" cy="175260"/>
                      <wp:effectExtent l="0" t="0" r="0" b="0"/>
                      <wp:wrapNone/>
                      <wp:docPr id="220" name="Frame220"/>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95935" cy="175260"/>
                      <wp:effectExtent l="0" t="0" r="0" b="0"/>
                      <wp:wrapNone/>
                      <wp:docPr id="223" name="Frame22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91185" cy="175260"/>
                      <wp:effectExtent l="0" t="0" r="0" b="0"/>
                      <wp:wrapNone/>
                      <wp:docPr id="226" name="Frame22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19760" cy="175260"/>
                      <wp:effectExtent l="0" t="0" r="0" b="0"/>
                      <wp:wrapNone/>
                      <wp:docPr id="229" name="Frame229"/>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36" w:type="dxa"/>
            <w:gridSpan w:val="17"/>
            <w:tcBorders>
              <w:top w:val="single" w:sz="2"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27, 2026</w: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Packaging</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105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11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 to outside customers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1,349,919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852,338</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992,290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3,344,204</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Intersegment net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163,281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50,783</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(377,615)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1,154,710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731,631</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824,345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120,840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2,818,080</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195,209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120,707</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526,124</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90,783</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125,756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358,603</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(gain) on disposition and impairment of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losses,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1,374</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29,988</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167,497</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4,631</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(15,961)</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earnings of investee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(12,309)</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30,766</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179,806</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7,792</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45,538</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22,974</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134,268</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significant items: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4,204</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10,853</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17,624</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73,366</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1,088,049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850,483</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668,506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320,702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1,177,124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4,104,864</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23,455</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86,576</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hanging="0"/>
        <w:jc w:val="both"/>
        <w:rPr/>
      </w:pPr>
      <w:bookmarkStart w:id="1178" w:name="Tc_TjztdwUC0UW9fGweWq6jrA_6_17"/>
      <w:bookmarkStart w:id="1179" w:name="Tc_nJypowD_-E25FyKtG3Usnw_6_15"/>
      <w:bookmarkStart w:id="1180" w:name="Tc_uF5khQGOEkS0adWpB8V_CQ_6_14"/>
      <w:bookmarkStart w:id="1181" w:name="Tc_lJUN9dVhtE-kyY5NJw7nhA_6_11"/>
      <w:bookmarkStart w:id="1182" w:name="Tc_ytzWsQoFME2DaK7-F_uJsQ_6_8"/>
      <w:bookmarkStart w:id="1183" w:name="Tc_wdFTJ630gkyR91rznaQ7Zw_6_5"/>
      <w:bookmarkStart w:id="1184" w:name="Tc_KgQZW5duYkWQCAhIuF85Iw_6_2"/>
      <w:bookmarkStart w:id="1185" w:name="Tc_7ujxJPHOB06VlUhbRXc2dw_6_0"/>
      <w:bookmarkStart w:id="1186" w:name="Tc_5JSvnNAltU2qI_grKa_h6Q_5_15"/>
      <w:bookmarkStart w:id="1187" w:name="Tc_aJTBXNDO20GzYHyLIzFPNA_5_6"/>
      <w:bookmarkStart w:id="1188" w:name="Tc_dkwYRR1OcEqllpnQ8BdWPg_5_0"/>
      <w:bookmarkStart w:id="1189" w:name="Tc_fh56p10GAke61ZWiW_CHcw_4_18"/>
      <w:bookmarkStart w:id="1190" w:name="Tc_Daj1hLFxHEKSToWUXfUTEw_4_15"/>
      <w:bookmarkStart w:id="1191" w:name="Tc_05TIKaMkHUKbH3xRLnEwUA_4_12"/>
      <w:bookmarkStart w:id="1192" w:name="Tc_QxRGN7jUp0u-z0_TQ4fAFg_4_9"/>
      <w:bookmarkStart w:id="1193" w:name="Tc_QzIhNzTwsUy__OBJw17tkA_4_6"/>
      <w:bookmarkStart w:id="1194" w:name="Tc_x-DLdlfFikW-R-KfWSz-gQ_4_3"/>
      <w:bookmarkStart w:id="1195" w:name="Tc_XFc1pc2f4USLq4ff_MzGMw_4_0"/>
      <w:bookmarkStart w:id="1196" w:name="Tc_97pgK9w0fkqqP4cxeOl25g_3_15"/>
      <w:bookmarkStart w:id="1197" w:name="Tc_n2Pqg488yUmwYnt2XkBxrg_3_12"/>
      <w:bookmarkStart w:id="1198" w:name="Tc_ABTh3yOS6ESCjc6OODnF9w_3_9"/>
      <w:bookmarkStart w:id="1199" w:name="Tc_whvy53bMAkilEj3wkDYlTA_3_3"/>
      <w:bookmarkStart w:id="1200" w:name="Tc_KRC8QDQvIEuin0Hexz6OoA_3_0"/>
      <w:bookmarkStart w:id="1201" w:name="Tc_xQU98CPJ7kybHjqAkGLAaw_2_17"/>
      <w:bookmarkStart w:id="1202" w:name="Tc_F1Mh-162HkuBLzWJO6-YMw_2_15"/>
      <w:bookmarkStart w:id="1203" w:name="Tc_2jBzXzTkjEKlKI_QiZHZyA_2_14"/>
      <w:bookmarkStart w:id="1204" w:name="Tc_FdKs8EfF-Uu5BwOa1BBg2g_2_11"/>
      <w:bookmarkStart w:id="1205" w:name="Tc_TZ3Z0oRTz0mcnTHLU-Nezg_2_8"/>
      <w:bookmarkStart w:id="1206" w:name="Tc_o_goFhveokK-jyWMnxvYXg_2_5"/>
      <w:bookmarkStart w:id="1207" w:name="Tc_bQb9AVGZE0a8bHYLVxo7bw_2_2"/>
      <w:bookmarkStart w:id="1208" w:name="Tc_ndXSYfigwU-d0ZTxYuTfrg_2_0"/>
      <w:bookmarkStart w:id="1209" w:name="Tc_z15AeMoFckSQfXYhZtYUZQ_1_17"/>
      <w:bookmarkStart w:id="1210" w:name="Tc_GJcg6FKzL06r_THjhQiguA_1_14"/>
      <w:bookmarkStart w:id="1211" w:name="Tc_L11tgmGH9kaBiRY31IP5bQ_1_11"/>
      <w:bookmarkStart w:id="1212" w:name="Tc__pot5j4rhU6PsVzG-moxyA_1_8"/>
      <w:bookmarkStart w:id="1213" w:name="Tc_QJs7_zqZDk2KGWWbPiiG_A_1_5"/>
      <w:bookmarkStart w:id="1214" w:name="Tc_6jp6sbU16k-aPS-yrGWs4A_1_2"/>
      <w:bookmarkStart w:id="1215" w:name="Tc_UO7tgGuDlkKqN8gqWVDU7A_23_0"/>
      <w:bookmarkStart w:id="1216" w:name="Tc__ByPOgZhqkm2Js_BnKMdsQ_22_0"/>
      <w:bookmarkStart w:id="1217" w:name="Tc_IY66QBgl4UeQgyoQbZkqKA_21_0"/>
      <w:bookmarkStart w:id="1218" w:name="Tc_nGv3iN-tl0uKmf3jUipY-g_20_17"/>
      <w:bookmarkStart w:id="1219" w:name="Tc_BikhHZAuEECv6mFvmys6Rw_20_14"/>
      <w:bookmarkStart w:id="1220" w:name="Tc_wA5ByX5-NE6WRrqVBrUI4w_20_11"/>
      <w:bookmarkStart w:id="1221" w:name="Tc_9qmc7SBe3kO68-qzNGjH3w_20_8"/>
      <w:bookmarkStart w:id="1222" w:name="Tc_-eW8hwOyKkawWsH2_byZ6w_20_5"/>
      <w:bookmarkStart w:id="1223" w:name="Tc_2BN4N1c-VE6azxNJcni_7A_20_2"/>
      <w:bookmarkStart w:id="1224" w:name="Tc_RwxCMi8jq0CAY6herRaRJg_20_0"/>
      <w:bookmarkStart w:id="1225" w:name="Tc_Q1OcBmZ-j0e9Yf853CqwRg_19_0"/>
      <w:bookmarkStart w:id="1226" w:name="Tc_Wt4OVxvkfk-QcAMA6MPwTA_18_17"/>
      <w:bookmarkStart w:id="1227" w:name="Tc_UStq3vEwqk2FNCKqxatwSw_18_14"/>
      <w:bookmarkStart w:id="1228" w:name="Tc_3SgDlnZMeU2_QbtHrkO4eg_18_11"/>
      <w:bookmarkStart w:id="1229" w:name="Tc_I1bpxqen60ur-LH0gJcCEg_18_8"/>
      <w:bookmarkStart w:id="1230" w:name="Tc_88ZqJkwhUkyfmN9dosVx0w_18_5"/>
      <w:bookmarkStart w:id="1231" w:name="Tc_KvwCO0j8FkaFjpvnjgOU8g_18_2"/>
      <w:bookmarkStart w:id="1232" w:name="Tc__Rq1csRNw0mF6NC7Z3CQXg_18_0"/>
      <w:bookmarkStart w:id="1233" w:name="Tc_ttnQNVTAzEyP4S5eOM9ccw_17_0"/>
      <w:bookmarkStart w:id="1234" w:name="Tc_u6Pc5PdFaUWx0JPuCg9Fdw_16_0"/>
      <w:bookmarkStart w:id="1235" w:name="Tc_lwFWt0XyOk2OSuLB9o2cmA_15_0"/>
      <w:bookmarkStart w:id="1236" w:name="Tc_yVobJGmo_UufYzunkYOXCQ_14_15"/>
      <w:bookmarkStart w:id="1237" w:name="Tc_VLkf644NZECQPZdgSMZE8w_14_9"/>
      <w:bookmarkStart w:id="1238" w:name="Tc_OGXzE2GgpEmEb5gQOUzuMw_14_3"/>
      <w:bookmarkStart w:id="1239" w:name="Tc__uYOWc73-Em5kUWDdEbafQ_14_0"/>
      <w:bookmarkStart w:id="1240" w:name="Tc_LVC4gHCp00GKn1zKElp63Q_13_6"/>
      <w:bookmarkStart w:id="1241" w:name="Tc_Yod91zjE3EGy76qwasfWzg_13_0"/>
      <w:bookmarkStart w:id="1242" w:name="Tc_lG-vDd5Q0kqMgs8E60uPbA_12_9"/>
      <w:bookmarkStart w:id="1243" w:name="Tc_MlqxQr5lKUaq_dgOGG0_1A_12_0"/>
      <w:bookmarkStart w:id="1244" w:name="Tc_LIqDniqqrEGKSEb1k6izVg_11_0"/>
      <w:bookmarkStart w:id="1245" w:name="Tc_KM5FnFIrzE2ziBYDTcCrpg_10_6"/>
      <w:bookmarkStart w:id="1246" w:name="Tc_d7LBXr5_I0q8emLvxloXTQ_10_0"/>
      <w:bookmarkStart w:id="1247" w:name="Tc_k5j6wpD_-U2K5qzoeBVfQA_9_0"/>
      <w:bookmarkStart w:id="1248" w:name="Tc_W2OtIkNw9EKGwNapDWhzZA_8_0"/>
      <w:bookmarkStart w:id="1249" w:name="Tc_-WYYWABIKkOg7CM8AajrWQ_7_0"/>
      <w:bookmarkStart w:id="1250" w:name="Tc_Zsot2FW38US_mlgJ-tpXOw_6_0"/>
      <w:bookmarkStart w:id="1251" w:name="Tc_maOcf6t0-UCxkYlSH6ODAw_5_18"/>
      <w:bookmarkStart w:id="1252" w:name="Tc_phtH_4xqMUaZFhoWbz6NWA_5_0"/>
      <w:bookmarkStart w:id="1253" w:name="Tc_naBVbYJBhEuwv-o7SCkL5Q_4_17"/>
      <w:bookmarkStart w:id="1254" w:name="Tc_ClPTBaHzO0G83LzHCmuDaA_4_14"/>
      <w:bookmarkStart w:id="1255" w:name="Tc_MMnQzHsTx0CN3TyuGpLBfQ_4_11"/>
      <w:bookmarkStart w:id="1256" w:name="Tc_skj-hjISu02WkrDKErtkJg_4_8"/>
      <w:bookmarkStart w:id="1257" w:name="Tc_eLRg8FHVMkOGf-i8nW09gg_4_5"/>
      <w:bookmarkStart w:id="1258" w:name="Tc_yBwIyyBZ8EO7eDr5EPJpSw_4_2"/>
      <w:bookmarkStart w:id="1259" w:name="Tc_qhHFedKHPUmRrV6XjHS0CA_4_0"/>
      <w:bookmarkStart w:id="1260" w:name="Tc_Fi55zl0sBEaMzmvXp15loA_3_17"/>
      <w:bookmarkStart w:id="1261" w:name="Tc_THURh2wsWEO4NZpPquT98w_3_14"/>
      <w:bookmarkStart w:id="1262" w:name="Tc_yeHOUhoRhUu4BxqTzyAIzA_3_11"/>
      <w:bookmarkStart w:id="1263" w:name="Tc_Y75Ihy5EN0agRtSagYEHXQ_3_8"/>
      <w:bookmarkStart w:id="1264" w:name="Tc_r0fsh-mreUW52zopMJWP1w_3_5"/>
      <w:bookmarkStart w:id="1265" w:name="Tc_pppRAgTpT0Kx8x8BxA4b8A_3_2"/>
      <w:bookmarkStart w:id="1266" w:name="Tc_zAyVnGhvAEyZUdq4O4sf-A_2_11"/>
      <w:bookmarkStart w:id="1267" w:name="Tc_Av4U7LnYFkiVF77pEYWiRQ_1_2"/>
      <w:bookmarkStart w:id="1268" w:name="_9d2229b5_576a_43e8_a621_929ba394465f"/>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r>
        <w:rPr/>
        <w:t>​</w:t>
      </w:r>
    </w:p>
    <w:tbl>
      <w:tblPr>
        <w:tblW w:w="10579" w:type="dxa"/>
        <w:jc w:val="left"/>
        <w:tblInd w:w="0" w:type="dxa"/>
        <w:tblLayout w:type="fixed"/>
        <w:tblCellMar>
          <w:top w:w="0" w:type="dxa"/>
          <w:left w:w="0" w:type="dxa"/>
          <w:bottom w:w="0" w:type="dxa"/>
          <w:right w:w="0" w:type="dxa"/>
        </w:tblCellMar>
      </w:tblPr>
      <w:tblGrid>
        <w:gridCol w:w="1906"/>
        <w:gridCol w:w="346"/>
        <w:gridCol w:w="211"/>
        <w:gridCol w:w="931"/>
        <w:gridCol w:w="346"/>
        <w:gridCol w:w="211"/>
        <w:gridCol w:w="781"/>
        <w:gridCol w:w="346"/>
        <w:gridCol w:w="211"/>
        <w:gridCol w:w="931"/>
        <w:gridCol w:w="346"/>
        <w:gridCol w:w="211"/>
        <w:gridCol w:w="781"/>
        <w:gridCol w:w="346"/>
        <w:gridCol w:w="211"/>
        <w:gridCol w:w="931"/>
        <w:gridCol w:w="346"/>
        <w:gridCol w:w="211"/>
        <w:gridCol w:w="976"/>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210310" cy="175260"/>
                      <wp:effectExtent l="0" t="0" r="0" b="0"/>
                      <wp:wrapNone/>
                      <wp:docPr id="230" name="Frame230"/>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2" name="Frame2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91185" cy="175260"/>
                      <wp:effectExtent l="0" t="0" r="0" b="0"/>
                      <wp:wrapNone/>
                      <wp:docPr id="233" name="Frame23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35"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95935" cy="175260"/>
                      <wp:effectExtent l="0" t="0" r="0" b="0"/>
                      <wp:wrapNone/>
                      <wp:docPr id="236" name="Frame23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91185" cy="175260"/>
                      <wp:effectExtent l="0" t="0" r="0" b="0"/>
                      <wp:wrapNone/>
                      <wp:docPr id="239" name="Frame23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95935" cy="175260"/>
                      <wp:effectExtent l="0" t="0" r="0" b="0"/>
                      <wp:wrapNone/>
                      <wp:docPr id="242" name="Frame24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4"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91185" cy="175260"/>
                      <wp:effectExtent l="0" t="0" r="0" b="0"/>
                      <wp:wrapNone/>
                      <wp:docPr id="245" name="Frame24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19760" cy="175260"/>
                      <wp:effectExtent l="0" t="0" r="0" b="0"/>
                      <wp:wrapNone/>
                      <wp:docPr id="248" name="Frame24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327" w:type="dxa"/>
            <w:gridSpan w:val="17"/>
            <w:tcBorders>
              <w:top w:val="single" w:sz="2"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28, 2025</w: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Packaging</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pPr>
            <w:r>
              <w:rPr/>
              <w:t>  ​ ​ ​</w:t>
            </w:r>
          </w:p>
        </w:tc>
        <w:tc>
          <w:tcPr>
            <w:tcW w:w="11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 to outside customers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1,395,607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838,677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1,067,530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3,430,893</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Intersegment net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(432,451)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1,200,572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698,521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876,541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2,849,963</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195,035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580,930</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113,997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361,249</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(gain) on disposition and impairment of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3,754</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losses (gains),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215,343</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5,385</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(21,874)</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earnings of investee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(17,283)</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232,626</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52,332</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180,294</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significant items: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11,745</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66,941</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955,976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819,438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664,848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336,597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1,320,529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4,097,388</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129,752</w:t>
            </w:r>
          </w:p>
        </w:tc>
      </w:tr>
    </w:tbl>
    <w:p>
      <w:pPr>
        <w:pStyle w:val="TextBody"/>
        <w:bidi w:val="0"/>
        <w:spacing w:before="0" w:after="0"/>
        <w:ind w:left="0" w:right="0" w:hanging="0"/>
        <w:jc w:val="left"/>
        <w:rPr/>
      </w:pPr>
      <w:r>
        <w:rPr/>
        <w:t>​</w:t>
      </w:r>
    </w:p>
    <w:p>
      <w:pPr>
        <w:pStyle w:val="TextBody"/>
        <w:bidi w:val="0"/>
        <w:spacing w:before="280" w:after="240"/>
        <w:ind w:left="0" w:right="0" w:firstLine="720"/>
        <w:jc w:val="both"/>
        <w:rPr>
          <w:rFonts w:ascii="Times New Roman;Times;serif" w:hAnsi="Times New Roman;Times;serif"/>
          <w:sz w:val="20"/>
        </w:rPr>
      </w:pPr>
      <w:r>
        <w:rPr>
          <w:rFonts w:ascii="Times New Roman;Times;serif" w:hAnsi="Times New Roman;Times;serif"/>
          <w:sz w:val="20"/>
        </w:rPr>
        <w:t>The following table presents goodwill by segment as of June 27, 2026, and December 27, 2025 (in thousands):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32"/>
        <w:gridCol w:w="346"/>
        <w:gridCol w:w="211"/>
        <w:gridCol w:w="676"/>
        <w:gridCol w:w="346"/>
        <w:gridCol w:w="211"/>
        <w:gridCol w:w="781"/>
        <w:gridCol w:w="346"/>
        <w:gridCol w:w="250"/>
        <w:gridCol w:w="801"/>
        <w:gridCol w:w="346"/>
        <w:gridCol w:w="211"/>
        <w:gridCol w:w="676"/>
        <w:gridCol w:w="346"/>
        <w:gridCol w:w="329"/>
        <w:gridCol w:w="542"/>
        <w:gridCol w:w="346"/>
        <w:gridCol w:w="211"/>
        <w:gridCol w:w="898"/>
      </w:tblGrid>
      <w:tr>
        <w:trPr/>
        <w:tc>
          <w:tcPr>
            <w:tcW w:w="2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480820" cy="175260"/>
                      <wp:effectExtent l="0" t="0" r="0" b="0"/>
                      <wp:wrapNone/>
                      <wp:docPr id="249" name="Frame249"/>
                      <a:graphic xmlns:a="http://schemas.openxmlformats.org/drawingml/2006/main">
                        <a:graphicData uri="http://schemas.microsoft.com/office/word/2010/wordprocessingShape">
                          <wps:wsp>
                            <wps:cNvSpPr txBox="1"/>
                            <wps:spPr>
                              <a:xfrm>
                                <a:off x="0" y="0"/>
                                <a:ext cx="148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50"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3985" cy="175260"/>
                      <wp:effectExtent l="0" t="0" r="0" b="0"/>
                      <wp:wrapNone/>
                      <wp:docPr id="251"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29260" cy="175260"/>
                      <wp:effectExtent l="0" t="0" r="0" b="0"/>
                      <wp:wrapNone/>
                      <wp:docPr id="252" name="Frame25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3"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4"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495935" cy="175260"/>
                      <wp:effectExtent l="0" t="0" r="0" b="0"/>
                      <wp:wrapNone/>
                      <wp:docPr id="255" name="Frame25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6"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58750" cy="175260"/>
                      <wp:effectExtent l="0" t="0" r="0" b="0"/>
                      <wp:wrapNone/>
                      <wp:docPr id="257" name="Frame257"/>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508635" cy="175260"/>
                      <wp:effectExtent l="0" t="0" r="0" b="0"/>
                      <wp:wrapNone/>
                      <wp:docPr id="258" name="Frame258"/>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29260" cy="175260"/>
                      <wp:effectExtent l="0" t="0" r="0" b="0"/>
                      <wp:wrapNone/>
                      <wp:docPr id="261" name="Frame2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8915" cy="175260"/>
                      <wp:effectExtent l="0" t="0" r="0" b="0"/>
                      <wp:wrapNone/>
                      <wp:docPr id="263" name="Frame263"/>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44170" cy="175260"/>
                      <wp:effectExtent l="0" t="0" r="0" b="0"/>
                      <wp:wrapNone/>
                      <wp:docPr id="264" name="Frame264"/>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570230" cy="175260"/>
                      <wp:effectExtent l="0" t="0" r="0" b="0"/>
                      <wp:wrapNone/>
                      <wp:docPr id="267" name="Frame267"/>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Packaging</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46" w:type="dxa"/>
            <w:tcBorders/>
            <w:vAlign w:val="center"/>
          </w:tcPr>
          <w:p>
            <w:pPr>
              <w:pStyle w:val="TableContents"/>
              <w:bidi w:val="0"/>
              <w:spacing w:before="0" w:after="0"/>
              <w:ind w:left="0" w:right="0" w:hanging="0"/>
              <w:jc w:val="left"/>
              <w:rPr/>
            </w:pPr>
            <w:r>
              <w:rPr/>
              <w:t>  ​ ​ ​</w:t>
            </w:r>
          </w:p>
        </w:tc>
        <w:tc>
          <w:tcPr>
            <w:tcW w:w="87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left"/>
              <w:rPr/>
            </w:pPr>
            <w:r>
              <w:rPr/>
              <w:t>  ​ ​ ​</w:t>
            </w:r>
          </w:p>
        </w:tc>
        <w:tc>
          <w:tcPr>
            <w:tcW w:w="110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December 27, 2025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84,174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148,104</w:t>
            </w:r>
          </w:p>
        </w:tc>
        <w:tc>
          <w:tcPr>
            <w:tcW w:w="346" w:type="dxa"/>
            <w:tcBorders/>
            <w:shd w:fill="CCEEFF" w:val="clear"/>
            <w:vAlign w:val="center"/>
          </w:tcPr>
          <w:p>
            <w:pPr>
              <w:pStyle w:val="TableContents"/>
              <w:bidi w:val="0"/>
              <w:spacing w:before="0" w:after="0"/>
              <w:ind w:left="0" w:right="0" w:hanging="0"/>
              <w:jc w:val="left"/>
              <w:rPr/>
            </w:pPr>
            <w:r>
              <w:rPr/>
              <w:t> </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88,397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23,246</w:t>
            </w:r>
          </w:p>
        </w:tc>
        <w:tc>
          <w:tcPr>
            <w:tcW w:w="346" w:type="dxa"/>
            <w:tcBorders/>
            <w:shd w:fill="CCEEFF" w:val="clear"/>
            <w:vAlign w:val="center"/>
          </w:tcPr>
          <w:p>
            <w:pPr>
              <w:pStyle w:val="TableContents"/>
              <w:bidi w:val="0"/>
              <w:spacing w:before="0" w:after="0"/>
              <w:ind w:left="0" w:right="0" w:hanging="0"/>
              <w:jc w:val="righ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343,921</w:t>
            </w:r>
          </w:p>
        </w:tc>
      </w:tr>
      <w:tr>
        <w:trPr/>
        <w:tc>
          <w:tcPr>
            <w:tcW w:w="23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Acquisitions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1,678</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2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1,678</w:t>
            </w:r>
          </w:p>
        </w:tc>
      </w:tr>
      <w:tr>
        <w:trPr/>
        <w:tc>
          <w:tcPr>
            <w:tcW w:w="2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Purchase Accounting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5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r>
      <w:tr>
        <w:trPr/>
        <w:tc>
          <w:tcPr>
            <w:tcW w:w="23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Net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right"/>
              <w:rPr/>
            </w:pPr>
            <w:r>
              <w:rPr/>
              <w:t>​</w:t>
            </w:r>
          </w:p>
        </w:tc>
        <w:tc>
          <w:tcPr>
            <w:tcW w:w="329"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542"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r>
      <w:tr>
        <w:trPr/>
        <w:tc>
          <w:tcPr>
            <w:tcW w:w="2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June 27, 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84,186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149,782</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23,197</w:t>
            </w:r>
          </w:p>
        </w:tc>
        <w:tc>
          <w:tcPr>
            <w:tcW w:w="346" w:type="dxa"/>
            <w:tcBorders/>
            <w:shd w:fill="CCEEFF" w:val="clear"/>
            <w:vAlign w:val="center"/>
          </w:tcPr>
          <w:p>
            <w:pPr>
              <w:pStyle w:val="TableContents"/>
              <w:bidi w:val="0"/>
              <w:spacing w:before="0" w:after="0"/>
              <w:ind w:left="0" w:right="0" w:hanging="0"/>
              <w:jc w:val="right"/>
              <w:rPr/>
            </w:pPr>
            <w:r>
              <w:rPr/>
              <w:t>​</w:t>
            </w:r>
          </w:p>
        </w:tc>
        <w:tc>
          <w:tcPr>
            <w:tcW w:w="3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345,393</w:t>
            </w:r>
          </w:p>
        </w:tc>
      </w:tr>
    </w:tbl>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0"/>
        <w:ind w:left="0" w:right="0" w:firstLine="720"/>
        <w:jc w:val="left"/>
        <w:rPr>
          <w:rFonts w:ascii="Times New Roman;Times;serif" w:hAnsi="Times New Roman;Times;serif"/>
          <w:sz w:val="20"/>
        </w:rPr>
      </w:pPr>
      <w:bookmarkStart w:id="1269" w:name="Tc_uR_s5KGS-ki6MQ71Q0EAvw_27_11"/>
      <w:bookmarkStart w:id="1270" w:name="Tc_EIo8npo48USRghR3hG9pIg_27_8"/>
      <w:bookmarkStart w:id="1271" w:name="Tc_VLe43W1pU0ez17DyVq0_2A_27_5"/>
      <w:bookmarkStart w:id="1272" w:name="Tc_7iSzexZaiUuqLpB9Ki3QTw_27_2"/>
      <w:bookmarkStart w:id="1273" w:name="Tc_3fBmx4hxA0i3JiWxN9JbUA_27_0"/>
      <w:bookmarkStart w:id="1274" w:name="Tc_HtGSTZPML0uCHOublI3jtA_25_11"/>
      <w:bookmarkStart w:id="1275" w:name="Tc_gujfU2KUdEC4nzl3jD0VvQ_25_8"/>
      <w:bookmarkStart w:id="1276" w:name="Tc_-czfGIyl0UuFypPY5CkDCg_25_5"/>
      <w:bookmarkStart w:id="1277" w:name="Tc_8YUH6bBcmk2A39xlYC_Taw_25_2"/>
      <w:bookmarkStart w:id="1278" w:name="Tc_XXHixfOcAkK-QzHILaxkHA_25_0"/>
      <w:bookmarkStart w:id="1279" w:name="Tc_NKiJkhJDjkGyHMA2MWI3ig_23_11"/>
      <w:bookmarkStart w:id="1280" w:name="Tc_9OieB2ZYZEa5m78DIADR7w_23_8"/>
      <w:bookmarkStart w:id="1281" w:name="Tc_M36i77hP9Um6MTZVnrq_JQ_23_5"/>
      <w:bookmarkStart w:id="1282" w:name="Tc_HTsBisy_2kqfRAdxSvE2FA_23_2"/>
      <w:bookmarkStart w:id="1283" w:name="Tc_GzbHrq1PqUmvwCa7Afk-tA_23_0"/>
      <w:bookmarkStart w:id="1284" w:name="Tc_DfvasKI97EOc2tV4p6BPHQ_21_11"/>
      <w:bookmarkStart w:id="1285" w:name="Tc_vc7MQQuJwEWNrvshcp24-g_21_8"/>
      <w:bookmarkStart w:id="1286" w:name="Tc_GB74E8RDFk-WbVRMock3lw_21_5"/>
      <w:bookmarkStart w:id="1287" w:name="Tc_wQp7-eXRvUKvPW1q4oWb8g_21_2"/>
      <w:bookmarkStart w:id="1288" w:name="Tc_wA-oAtHHkkSuTNuV2CKvyg_21_0"/>
      <w:bookmarkStart w:id="1289" w:name="Tc_MpqpUDMzUUiR3npgHpe00A_20_0"/>
      <w:bookmarkStart w:id="1290" w:name="Tc_DAHiW7r6l0CkzYz1f9U26w_19_0"/>
      <w:bookmarkStart w:id="1291" w:name="Tc_6d01ts-cvkuYXCC_SMZFnA_18_0"/>
      <w:bookmarkStart w:id="1292" w:name="Tc_ftqPW27FzUSD0TzrlMBRpA_17_11"/>
      <w:bookmarkStart w:id="1293" w:name="Tc_ovbDKHGvb0-1TnQjL3-88w_17_8"/>
      <w:bookmarkStart w:id="1294" w:name="Tc_YMF4VsRzB0aFbnZIc4SrDA_17_5"/>
      <w:bookmarkStart w:id="1295" w:name="Tc_1OdGns4AeEqVOKbQGyIj7A_17_2"/>
      <w:bookmarkStart w:id="1296" w:name="Tc_mlRMa8TrgECbkFxVEcFKNw_17_0"/>
      <w:bookmarkStart w:id="1297" w:name="Tc_vPpAUox1A0OLI_ahq7A5NA_16_0"/>
      <w:bookmarkStart w:id="1298" w:name="Tc_xVJjW-cb6kW4f5nVxdPUrw_14_11"/>
      <w:bookmarkStart w:id="1299" w:name="Tc_Tr2XPeFJyEa2fn4qUPZFNQ_14_8"/>
      <w:bookmarkStart w:id="1300" w:name="Tc_tJLpit7r3UO375sqPyN4UQ_14_5"/>
      <w:bookmarkStart w:id="1301" w:name="Tc_0JVFbBt5RUyO_3tPXR2F8w_14_2"/>
      <w:bookmarkStart w:id="1302" w:name="Tc_MIHJtk8ZSE6xOi0XWO692Q_14_0"/>
      <w:bookmarkStart w:id="1303" w:name="Tc_7FGXl9SuaUigCjXGPrU9lg_13_0"/>
      <w:bookmarkStart w:id="1304" w:name="Tc_TcUopMRKiECRfY1o--6Q7A_12_0"/>
      <w:bookmarkStart w:id="1305" w:name="Tc_ILQvqtq4t0Ct-pBiMRE3Bw_11_11"/>
      <w:bookmarkStart w:id="1306" w:name="Tc_DxY4uKd4RU-dGgupsjqGWQ_11_8"/>
      <w:bookmarkStart w:id="1307" w:name="Tc_YJVK7JWmWk6YwdPy0KsReQ_11_5"/>
      <w:bookmarkStart w:id="1308" w:name="Tc_fFcVCejQzkuklc0cV3Hdng_11_2"/>
      <w:bookmarkStart w:id="1309" w:name="Tc_TfoZpVP6ZkiuaBGAKzsLCg_11_0"/>
      <w:bookmarkStart w:id="1310" w:name="Tc_sTuHzHujT0SEZwRfs9r9Fg_10_0"/>
      <w:bookmarkStart w:id="1311" w:name="Tc_iTWB77YivUe2WlyrJaXWgg_8_11"/>
      <w:bookmarkStart w:id="1312" w:name="Tc_79rtOV8_b0ao825LzOoFZQ_8_8"/>
      <w:bookmarkStart w:id="1313" w:name="Tc_c3P3w3lS3EK4fwYbFHCPXg_8_5"/>
      <w:bookmarkStart w:id="1314" w:name="Tc_dXNXRSoI30KU0D1p13nGLA_8_2"/>
      <w:bookmarkStart w:id="1315" w:name="Tc_QQVvgykWf0CqClW8pId7zA_8_0"/>
      <w:bookmarkStart w:id="1316" w:name="Tc_suF7yCHrRUaSTm_opsO7aw_7_0"/>
      <w:bookmarkStart w:id="1317" w:name="Tc_T6vH2zB7fkulqIVhzmGNYg_6_0"/>
      <w:bookmarkStart w:id="1318" w:name="Tc_SQYZAn_cakuJQeI7ERSGmg_5_11"/>
      <w:bookmarkStart w:id="1319" w:name="Tc_Y4GfyvPvk0q8c2S0fMkcFA_5_8"/>
      <w:bookmarkStart w:id="1320" w:name="Tc_5LoKKJ77UU2U2MHptBQ6dg_5_5"/>
      <w:bookmarkStart w:id="1321" w:name="Tc_RJs_MmeAqUe0rwQ8aiySCA_5_2"/>
      <w:bookmarkStart w:id="1322" w:name="Tc_--vesE6XiUm7l8ehsoTW8Q_5_0"/>
      <w:bookmarkStart w:id="1323" w:name="Tc_ihEWbYb__0uGX8eIFu0Akw_4_0"/>
      <w:bookmarkStart w:id="1324" w:name="Tc_OmwZWFZ0W0WoiJ0KQ6tAtw_3_11"/>
      <w:bookmarkStart w:id="1325" w:name="Tc_jUaAyZgJoEKHxKiesGL_2w_3_8"/>
      <w:bookmarkStart w:id="1326" w:name="Tc_X7aye1T39kWBemWl_D3yZQ_3_5"/>
      <w:bookmarkStart w:id="1327" w:name="Tc_E2hP8-03ckyWTPII9uUkEQ_3_2"/>
      <w:bookmarkStart w:id="1328" w:name="Tc_ZIM79TZJVUa57mj-GVeabg_2_11"/>
      <w:bookmarkStart w:id="1329" w:name="Tc_AJtUecXQV0KgkZgSzs31-Q_2_8"/>
      <w:bookmarkStart w:id="1330" w:name="Tc_NhES1iZddkC2QsVl_KMrnA_2_5"/>
      <w:bookmarkStart w:id="1331" w:name="Tc_ShaKMKX0bUaiuUK-c2B7mw_2_2"/>
      <w:bookmarkStart w:id="1332" w:name="Tc_4DCfuznSNkGYhnXIJBhdUg_1_8"/>
      <w:bookmarkStart w:id="1333" w:name="Tc_adW5dPp2KkiNtv7NTqttbA_1_2"/>
      <w:bookmarkStart w:id="1334" w:name="_73731c4f_abf4_4d9f_a472_8f51435c8843"/>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r>
        <w:rPr>
          <w:rFonts w:ascii="Times New Roman;Times;serif" w:hAnsi="Times New Roman;Times;serif"/>
          <w:sz w:val="20"/>
        </w:rPr>
        <w:t>The following table presents our disaggregated net sales by business unit for each segment for the three and six months ended June 27, 2026, and June 28, 2025 (in thousands).</w:t>
      </w:r>
    </w:p>
    <w:tbl>
      <w:tblPr>
        <w:tblW w:w="7693" w:type="dxa"/>
        <w:jc w:val="left"/>
        <w:tblInd w:w="0" w:type="dxa"/>
        <w:tblLayout w:type="fixed"/>
        <w:tblCellMar>
          <w:top w:w="0" w:type="dxa"/>
          <w:left w:w="0" w:type="dxa"/>
          <w:bottom w:w="0" w:type="dxa"/>
          <w:right w:w="0" w:type="dxa"/>
        </w:tblCellMar>
      </w:tblPr>
      <w:tblGrid>
        <w:gridCol w:w="1861"/>
        <w:gridCol w:w="109"/>
        <w:gridCol w:w="211"/>
        <w:gridCol w:w="931"/>
        <w:gridCol w:w="346"/>
        <w:gridCol w:w="211"/>
        <w:gridCol w:w="931"/>
        <w:gridCol w:w="346"/>
        <w:gridCol w:w="211"/>
        <w:gridCol w:w="931"/>
        <w:gridCol w:w="346"/>
        <w:gridCol w:w="211"/>
        <w:gridCol w:w="1048"/>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181735" cy="175260"/>
                      <wp:effectExtent l="0" t="0" r="0" b="0"/>
                      <wp:wrapNone/>
                      <wp:docPr id="268" name="Frame268"/>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215" cy="175260"/>
                      <wp:effectExtent l="0" t="0" r="0" b="0"/>
                      <wp:wrapNone/>
                      <wp:docPr id="269" name="Frame2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3985" cy="175260"/>
                      <wp:effectExtent l="0" t="0" r="0" b="0"/>
                      <wp:wrapNone/>
                      <wp:docPr id="270" name="Frame2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591185" cy="175260"/>
                      <wp:effectExtent l="0" t="0" r="0" b="0"/>
                      <wp:wrapNone/>
                      <wp:docPr id="271" name="Frame27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591185" cy="175260"/>
                      <wp:effectExtent l="0" t="0" r="0" b="0"/>
                      <wp:wrapNone/>
                      <wp:docPr id="274" name="Frame27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91185" cy="175260"/>
                      <wp:effectExtent l="0" t="0" r="0" b="0"/>
                      <wp:wrapNone/>
                      <wp:docPr id="277" name="Frame27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8"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260"/>
                      <wp:effectExtent l="0" t="0" r="0" b="0"/>
                      <wp:wrapNone/>
                      <wp:docPr id="279" name="Frame2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65480" cy="175260"/>
                      <wp:effectExtent l="0" t="0" r="0" b="0"/>
                      <wp:wrapNone/>
                      <wp:docPr id="280" name="Frame280"/>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3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rPr/>
            </w:pPr>
            <w:r>
              <w:rPr/>
              <w:t>​</w:t>
            </w:r>
          </w:p>
        </w:tc>
        <w:tc>
          <w:tcPr>
            <w:tcW w:w="2747"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18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46" w:type="dxa"/>
            <w:tcBorders/>
            <w:vAlign w:val="center"/>
          </w:tcPr>
          <w:p>
            <w:pPr>
              <w:pStyle w:val="TableContents"/>
              <w:bidi w:val="0"/>
              <w:spacing w:before="0" w:after="0"/>
              <w:ind w:left="0" w:right="0" w:hanging="0"/>
              <w:jc w:val="center"/>
              <w:rPr/>
            </w:pPr>
            <w:r>
              <w:rPr/>
              <w:t>​</w:t>
            </w:r>
          </w:p>
        </w:tc>
        <w:tc>
          <w:tcPr>
            <w:tcW w:w="125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r>
      <w:tr>
        <w:trPr/>
        <w:tc>
          <w:tcPr>
            <w:tcW w:w="18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5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Retail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ProWood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669,050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657,098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1,109,799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1,171,376</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Deckorators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191,347</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163,606</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UFP Edge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48,773</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60,625</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Retail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818,743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788,224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1,349,919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1,395,607</w:t>
            </w:r>
          </w:p>
        </w:tc>
      </w:tr>
      <w:tr>
        <w:trPr/>
        <w:tc>
          <w:tcPr>
            <w:tcW w:w="18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Packaging</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186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Structural Packaging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282,305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267,301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531,598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523,283</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PalletOne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278,083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276,133</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Protective Packaging</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39,261</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Packaging</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458,245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428,669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852,338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838,677</w:t>
            </w:r>
          </w:p>
        </w:tc>
      </w:tr>
      <w:tr>
        <w:trPr/>
        <w:tc>
          <w:tcPr>
            <w:tcW w:w="18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Construction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Factory Built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215,545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229,669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408,929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446,888</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Site-Built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186,405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337,275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393,030</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134,235</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Concrete Forming</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8"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93,377</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Construction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526,777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551,590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992,290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1,067,530</w:t>
            </w:r>
          </w:p>
        </w:tc>
      </w:tr>
      <w:tr>
        <w:trPr/>
        <w:tc>
          <w:tcPr>
            <w:tcW w:w="18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All Other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125,324</w:t>
            </w:r>
          </w:p>
        </w:tc>
      </w:tr>
      <w:tr>
        <w:trPr/>
        <w:tc>
          <w:tcPr>
            <w:tcW w:w="18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Corporate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3,755</w:t>
            </w:r>
          </w:p>
        </w:tc>
      </w:tr>
      <w:tr>
        <w:trPr/>
        <w:tc>
          <w:tcPr>
            <w:tcW w:w="18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8"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Net Sales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1,882,937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1,835,374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3,344,204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3,430,893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       INCOME TAXES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Effective tax rates differ from statutory federal income tax rates, primarily due to provisions for foreign, state and local income taxes and permanent tax differences. Our effective tax rate was 26.3% in the second quarter of 2026 compared to 23.6% in the same period of 2025 and was 25.3% in the first six months of 2026 compared to 22.5% for the same period in 2025.</w:t>
      </w:r>
      <w:r>
        <w:rPr>
          <w:rFonts w:ascii="Times New Roman;Times;serif" w:hAnsi="Times New Roman;Times;serif"/>
          <w:color w:val="212529"/>
          <w:sz w:val="20"/>
          <w:shd w:fill="FFFFFF" w:val="clear"/>
        </w:rPr>
        <w:t xml:space="preserve"> </w:t>
      </w:r>
      <w:r>
        <w:rPr>
          <w:rFonts w:ascii="Times New Roman;Times;serif" w:hAnsi="Times New Roman;Times;serif"/>
          <w:sz w:val="20"/>
        </w:rPr>
        <w:t xml:space="preserve">The increase in our effective tax rate for the second quarter and for the first six months of 2026 was primarily due to $3.0 million of state income tax benefits recorded as discrete items in the second quarter of 2025 resulting from an approved reduction in our tax rate in Texas and job credits in South Carolina, and a decrease in our tax deduction from stock-based compensation accounted for as a permanent difference.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hanging="0"/>
        <w:jc w:val="left"/>
        <w:rPr>
          <w:rFonts w:ascii="Times New Roman;Times;serif" w:hAnsi="Times New Roman;Times;serif"/>
          <w:b/>
          <w:sz w:val="20"/>
        </w:rPr>
      </w:pPr>
      <w:bookmarkStart w:id="1335" w:name="Tc_qflAIYq2Yk6omJNAd0gwXw_12_4"/>
      <w:bookmarkStart w:id="1336" w:name="Tc_j5LngI5G006beXqVc1Avtw_12_0"/>
      <w:bookmarkStart w:id="1337" w:name="Tc_2cEm2G8Ja0KEXochHpdgqw_10_4"/>
      <w:bookmarkStart w:id="1338" w:name="Tc_654sAmOZ10WwLuCWMFAyag_10_0"/>
      <w:bookmarkStart w:id="1339" w:name="Tc_AwjEHGTclk2Jbzectd2HGQ_9_0"/>
      <w:bookmarkStart w:id="1340" w:name="Tc_iM8Y9SLseEWV3SBreAFPuQ_8_0"/>
      <w:bookmarkStart w:id="1341" w:name="Tc_nvTaVPDq6EGuiNmmonzGoA_7_0"/>
      <w:bookmarkStart w:id="1342" w:name="Tc_tIPqlhEDzkGRLaal_mNvQw_6_0"/>
      <w:bookmarkStart w:id="1343" w:name="Tc_OYX1ljpDFE6qrI4U4PXvmA_5_0"/>
      <w:bookmarkStart w:id="1344" w:name="Tc_XpyWqNu3CEWK_5K51tymlg_3_4"/>
      <w:bookmarkStart w:id="1345" w:name="Tc_YDXezDStcUyfxV_osLNpBA_3_0"/>
      <w:bookmarkStart w:id="1346" w:name="Tc_VYWPhRaKOUm-gMz1Kjjf8g_2_5"/>
      <w:bookmarkStart w:id="1347" w:name="Tc_7Zt_XMGXikGle7sBS4CVHA_2_2"/>
      <w:bookmarkStart w:id="1348" w:name="Tc_ETMt_EcQa0aqa7cS7xoSJg_2_0"/>
      <w:bookmarkStart w:id="1349" w:name="Tc_fcJ21mB3eEK3h6S0nDb0Mw_1_2"/>
      <w:bookmarkStart w:id="1350" w:name="Tc_xypPhSV9d0Ge6NM0tn2QIQ_12_4"/>
      <w:bookmarkStart w:id="1351" w:name="Tc_U6ij0JMZNUGDrTR9sWPvPg_12_0"/>
      <w:bookmarkStart w:id="1352" w:name="Tc_EVow8z9zUUy1-n5DdHWvqQ_10_4"/>
      <w:bookmarkStart w:id="1353" w:name="Tc_vE1mVZRL7UOZfHAH2Eah0Q_10_0"/>
      <w:bookmarkStart w:id="1354" w:name="Tc_BAG9n63VCkugz6hsO8Nejg_9_0"/>
      <w:bookmarkStart w:id="1355" w:name="Tc_Ma8cUnWQlEu7FjDIsPt8nA_8_0"/>
      <w:bookmarkStart w:id="1356" w:name="Tc_GYrvnZ6nREqIV4d-gaXnHA_7_0"/>
      <w:bookmarkStart w:id="1357" w:name="Tc_6uDsUD8TpE6LTlrHpcMExw_6_0"/>
      <w:bookmarkStart w:id="1358" w:name="Tc_7p4d1eQ9qUmWWPsvJHEoWQ_5_0"/>
      <w:bookmarkStart w:id="1359" w:name="Tc_pmsBgSwKuESEYIYHeWMg1g_3_4"/>
      <w:bookmarkStart w:id="1360" w:name="Tc_5HbuAfcnrEyTfFnG1ueamQ_3_0"/>
      <w:bookmarkStart w:id="1361" w:name="Tc_9lUbXCSlQEWBBeEK4JBANw_2_5"/>
      <w:bookmarkStart w:id="1362" w:name="Tc_TE0V5VCq70iFrfGbIdlGPg_2_2"/>
      <w:bookmarkStart w:id="1363" w:name="Tc_3oitvD8AoEydh5LMrt6LhQ_2_0"/>
      <w:bookmarkStart w:id="1364" w:name="Tc_evn9t0l8nkaq2aAjgfR36A_1_2"/>
      <w:bookmarkStart w:id="1365" w:name="_12bc3907_a833_4708_afc2_ef194d1b96b6"/>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r>
        <w:rPr>
          <w:rFonts w:ascii="Times New Roman;Times;serif" w:hAnsi="Times New Roman;Times;serif"/>
          <w:b/>
          <w:sz w:val="20"/>
        </w:rPr>
        <w:t>I.       COMMON STOCK</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Below is a summary of common stock issuances for the first six months of 2026 and 2025 (in thousands, except average share price):</w:t>
      </w:r>
    </w:p>
    <w:p>
      <w:pPr>
        <w:pStyle w:val="TextBody"/>
        <w:bidi w:val="0"/>
        <w:spacing w:before="0" w:after="240"/>
        <w:ind w:left="0" w:right="0" w:firstLine="547"/>
        <w:jc w:val="left"/>
        <w:rPr/>
      </w:pPr>
      <w:r>
        <w:rPr/>
        <w:t>​</w:t>
      </w:r>
    </w:p>
    <w:tbl>
      <w:tblPr>
        <w:tblW w:w="8124" w:type="dxa"/>
        <w:jc w:val="left"/>
        <w:tblInd w:w="0" w:type="dxa"/>
        <w:tblLayout w:type="fixed"/>
        <w:tblCellMar>
          <w:top w:w="0" w:type="dxa"/>
          <w:left w:w="0" w:type="dxa"/>
          <w:bottom w:w="0" w:type="dxa"/>
          <w:right w:w="0" w:type="dxa"/>
        </w:tblCellMar>
      </w:tblPr>
      <w:tblGrid>
        <w:gridCol w:w="4591"/>
        <w:gridCol w:w="346"/>
        <w:gridCol w:w="1216"/>
        <w:gridCol w:w="109"/>
        <w:gridCol w:w="211"/>
        <w:gridCol w:w="1651"/>
      </w:tblGrid>
      <w:tr>
        <w:trPr/>
        <w:tc>
          <w:tcPr>
            <w:tcW w:w="4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915285" cy="175260"/>
                      <wp:effectExtent l="0" t="0" r="0" b="0"/>
                      <wp:wrapNone/>
                      <wp:docPr id="281" name="Frame281"/>
                      <a:graphic xmlns:a="http://schemas.openxmlformats.org/drawingml/2006/main">
                        <a:graphicData uri="http://schemas.microsoft.com/office/word/2010/wordprocessingShape">
                          <wps:wsp>
                            <wps:cNvSpPr txBox="1"/>
                            <wps:spPr>
                              <a:xfrm>
                                <a:off x="0" y="0"/>
                                <a:ext cx="2915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51" w:type="dxa"/>
            <w:tcBorders/>
            <w:vAlign w:val="center"/>
          </w:tcPr>
          <w:p>
            <w:pPr>
              <w:pStyle w:val="TableContents"/>
              <w:bidi w:val="0"/>
              <w:spacing w:before="0" w:after="1"/>
              <w:ind w:left="0" w:right="0" w:hanging="0"/>
              <w:jc w:val="left"/>
              <w:rPr/>
            </w:pPr>
            <w:r>
              <w:rPr/>
              <w:t>​</w:t>
            </w:r>
          </w:p>
        </w:tc>
      </w:tr>
      <w:tr>
        <w:trPr/>
        <w:tc>
          <w:tcPr>
            <w:tcW w:w="4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187"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 2026</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Share Issuance Activity</w:t>
            </w:r>
          </w:p>
        </w:tc>
        <w:tc>
          <w:tcPr>
            <w:tcW w:w="346" w:type="dxa"/>
            <w:tcBorders/>
            <w:vAlign w:val="center"/>
          </w:tcPr>
          <w:p>
            <w:pPr>
              <w:pStyle w:val="TableContents"/>
              <w:bidi w:val="0"/>
              <w:spacing w:before="0" w:after="1"/>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6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Share Price</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under the employee stock purchase plan</w:t>
            </w:r>
          </w:p>
        </w:tc>
        <w:tc>
          <w:tcPr>
            <w:tcW w:w="34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91.01</w:t>
            </w:r>
          </w:p>
        </w:tc>
      </w:tr>
      <w:tr>
        <w:trPr/>
        <w:tc>
          <w:tcPr>
            <w:tcW w:w="4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51" w:type="dxa"/>
            <w:tcBorders/>
            <w:vAlign w:val="center"/>
          </w:tcPr>
          <w:p>
            <w:pPr>
              <w:pStyle w:val="TableContents"/>
              <w:bidi w:val="0"/>
              <w:spacing w:before="0" w:after="1"/>
              <w:ind w:left="0" w:right="0" w:hanging="0"/>
              <w:jc w:val="center"/>
              <w:rPr/>
            </w:pPr>
            <w:r>
              <w:rPr/>
              <w:t>​</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under the employee stock gift program</w:t>
            </w:r>
          </w:p>
        </w:tc>
        <w:tc>
          <w:tcPr>
            <w:tcW w:w="34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94.11</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under the director compensation plan</w:t>
            </w:r>
          </w:p>
        </w:tc>
        <w:tc>
          <w:tcPr>
            <w:tcW w:w="34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93.99</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under the LTSIP</w:t>
            </w:r>
          </w:p>
        </w:tc>
        <w:tc>
          <w:tcPr>
            <w:tcW w:w="34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110.39</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under the executive stock match program</w:t>
            </w:r>
          </w:p>
        </w:tc>
        <w:tc>
          <w:tcPr>
            <w:tcW w:w="34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110.55</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Forfeitures</w:t>
            </w:r>
          </w:p>
        </w:tc>
        <w:tc>
          <w:tcPr>
            <w:tcW w:w="346" w:type="dxa"/>
            <w:tcBorders/>
            <w:shd w:fill="CCEEFF" w:val="clear"/>
            <w:vAlign w:val="center"/>
          </w:tcPr>
          <w:p>
            <w:pPr>
              <w:pStyle w:val="TableContents"/>
              <w:bidi w:val="0"/>
              <w:spacing w:before="0" w:after="1"/>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51" w:type="dxa"/>
            <w:tcBorders/>
            <w:shd w:fill="CCEEFF" w:val="clear"/>
            <w:vAlign w:val="center"/>
          </w:tcPr>
          <w:p>
            <w:pPr>
              <w:pStyle w:val="TableContents"/>
              <w:bidi w:val="0"/>
              <w:spacing w:before="0" w:after="1"/>
              <w:ind w:left="0" w:right="0" w:hanging="0"/>
              <w:jc w:val="center"/>
              <w:rPr/>
            </w:pPr>
            <w:r>
              <w:rPr/>
              <w:t>​</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shares issued under stock grant programs</w:t>
            </w:r>
          </w:p>
        </w:tc>
        <w:tc>
          <w:tcPr>
            <w:tcW w:w="34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110.01</w:t>
            </w:r>
          </w:p>
        </w:tc>
      </w:tr>
      <w:tr>
        <w:trPr/>
        <w:tc>
          <w:tcPr>
            <w:tcW w:w="45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51" w:type="dxa"/>
            <w:tcBorders/>
            <w:shd w:fill="CCEEFF" w:val="clear"/>
            <w:vAlign w:val="center"/>
          </w:tcPr>
          <w:p>
            <w:pPr>
              <w:pStyle w:val="TableContents"/>
              <w:bidi w:val="0"/>
              <w:spacing w:before="0" w:after="1"/>
              <w:ind w:left="0" w:right="0" w:hanging="0"/>
              <w:jc w:val="center"/>
              <w:rPr/>
            </w:pPr>
            <w:r>
              <w:rPr/>
              <w:t>​</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under the deferred compensation plan</w:t>
            </w:r>
          </w:p>
        </w:tc>
        <w:tc>
          <w:tcPr>
            <w:tcW w:w="34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106.26</w:t>
            </w:r>
          </w:p>
        </w:tc>
      </w:tr>
    </w:tbl>
    <w:p>
      <w:pPr>
        <w:pStyle w:val="TextBody"/>
        <w:bidi w:val="0"/>
        <w:spacing w:before="0" w:after="240"/>
        <w:ind w:left="0" w:right="0" w:firstLine="54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first six months of 2026, we repurchased 1,669,770 shares of our common stock at an average share price of $84.95.</w:t>
      </w:r>
    </w:p>
    <w:p>
      <w:pPr>
        <w:pStyle w:val="TextBody"/>
        <w:bidi w:val="0"/>
        <w:spacing w:before="0" w:after="0"/>
        <w:ind w:left="0" w:right="0" w:hanging="0"/>
        <w:jc w:val="left"/>
        <w:rPr/>
      </w:pPr>
      <w:r>
        <w:rPr/>
        <w:t>​</w:t>
      </w:r>
    </w:p>
    <w:tbl>
      <w:tblPr>
        <w:tblW w:w="8124" w:type="dxa"/>
        <w:jc w:val="left"/>
        <w:tblInd w:w="0" w:type="dxa"/>
        <w:tblLayout w:type="fixed"/>
        <w:tblCellMar>
          <w:top w:w="0" w:type="dxa"/>
          <w:left w:w="0" w:type="dxa"/>
          <w:bottom w:w="0" w:type="dxa"/>
          <w:right w:w="0" w:type="dxa"/>
        </w:tblCellMar>
      </w:tblPr>
      <w:tblGrid>
        <w:gridCol w:w="4591"/>
        <w:gridCol w:w="346"/>
        <w:gridCol w:w="1216"/>
        <w:gridCol w:w="109"/>
        <w:gridCol w:w="211"/>
        <w:gridCol w:w="1651"/>
      </w:tblGrid>
      <w:tr>
        <w:trPr/>
        <w:tc>
          <w:tcPr>
            <w:tcW w:w="4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915285" cy="175260"/>
                      <wp:effectExtent l="0" t="0" r="0" b="0"/>
                      <wp:wrapNone/>
                      <wp:docPr id="283" name="Frame283"/>
                      <a:graphic xmlns:a="http://schemas.openxmlformats.org/drawingml/2006/main">
                        <a:graphicData uri="http://schemas.microsoft.com/office/word/2010/wordprocessingShape">
                          <wps:wsp>
                            <wps:cNvSpPr txBox="1"/>
                            <wps:spPr>
                              <a:xfrm>
                                <a:off x="0" y="0"/>
                                <a:ext cx="2915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4"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51" w:type="dxa"/>
            <w:tcBorders/>
            <w:vAlign w:val="center"/>
          </w:tcPr>
          <w:p>
            <w:pPr>
              <w:pStyle w:val="TableContents"/>
              <w:bidi w:val="0"/>
              <w:spacing w:before="0" w:after="1"/>
              <w:ind w:left="0" w:right="0" w:hanging="0"/>
              <w:jc w:val="left"/>
              <w:rPr/>
            </w:pPr>
            <w:r>
              <w:rPr/>
              <w:t>​</w:t>
            </w:r>
          </w:p>
        </w:tc>
      </w:tr>
      <w:tr>
        <w:trPr/>
        <w:tc>
          <w:tcPr>
            <w:tcW w:w="4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187"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 2025</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Share Issuance Activity</w:t>
            </w:r>
          </w:p>
        </w:tc>
        <w:tc>
          <w:tcPr>
            <w:tcW w:w="346" w:type="dxa"/>
            <w:tcBorders/>
            <w:vAlign w:val="center"/>
          </w:tcPr>
          <w:p>
            <w:pPr>
              <w:pStyle w:val="TableContents"/>
              <w:bidi w:val="0"/>
              <w:spacing w:before="0" w:after="1"/>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6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Share Price</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under the employee stock purchase plan</w:t>
            </w:r>
          </w:p>
        </w:tc>
        <w:tc>
          <w:tcPr>
            <w:tcW w:w="34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102.96</w:t>
            </w:r>
          </w:p>
        </w:tc>
      </w:tr>
      <w:tr>
        <w:trPr/>
        <w:tc>
          <w:tcPr>
            <w:tcW w:w="4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51" w:type="dxa"/>
            <w:tcBorders/>
            <w:vAlign w:val="center"/>
          </w:tcPr>
          <w:p>
            <w:pPr>
              <w:pStyle w:val="TableContents"/>
              <w:bidi w:val="0"/>
              <w:spacing w:before="0" w:after="1"/>
              <w:ind w:left="0" w:right="0" w:hanging="0"/>
              <w:jc w:val="center"/>
              <w:rPr/>
            </w:pPr>
            <w:r>
              <w:rPr/>
              <w:t>​</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under the employee stock gift program</w:t>
            </w:r>
          </w:p>
        </w:tc>
        <w:tc>
          <w:tcPr>
            <w:tcW w:w="34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108.28</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under the director retainer stock program</w:t>
            </w:r>
          </w:p>
        </w:tc>
        <w:tc>
          <w:tcPr>
            <w:tcW w:w="34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55.10</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under the LTSIP</w:t>
            </w:r>
          </w:p>
        </w:tc>
        <w:tc>
          <w:tcPr>
            <w:tcW w:w="34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106.65</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under the executive stock match program</w:t>
            </w:r>
          </w:p>
        </w:tc>
        <w:tc>
          <w:tcPr>
            <w:tcW w:w="34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109.84</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Forfeitures</w:t>
            </w:r>
          </w:p>
        </w:tc>
        <w:tc>
          <w:tcPr>
            <w:tcW w:w="346" w:type="dxa"/>
            <w:tcBorders/>
            <w:shd w:fill="CCEEFF" w:val="clear"/>
            <w:vAlign w:val="center"/>
          </w:tcPr>
          <w:p>
            <w:pPr>
              <w:pStyle w:val="TableContents"/>
              <w:bidi w:val="0"/>
              <w:spacing w:before="0" w:after="1"/>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51" w:type="dxa"/>
            <w:tcBorders/>
            <w:shd w:fill="CCEEFF" w:val="clear"/>
            <w:vAlign w:val="center"/>
          </w:tcPr>
          <w:p>
            <w:pPr>
              <w:pStyle w:val="TableContents"/>
              <w:bidi w:val="0"/>
              <w:spacing w:before="0" w:after="1"/>
              <w:ind w:left="0" w:right="0" w:hanging="0"/>
              <w:jc w:val="center"/>
              <w:rPr/>
            </w:pPr>
            <w:r>
              <w:rPr/>
              <w:t>​</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shares issued under stock grant programs</w:t>
            </w:r>
          </w:p>
        </w:tc>
        <w:tc>
          <w:tcPr>
            <w:tcW w:w="34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259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100.22</w:t>
            </w:r>
          </w:p>
        </w:tc>
      </w:tr>
      <w:tr>
        <w:trPr/>
        <w:tc>
          <w:tcPr>
            <w:tcW w:w="45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51" w:type="dxa"/>
            <w:tcBorders/>
            <w:shd w:fill="CCEEFF" w:val="clear"/>
            <w:vAlign w:val="center"/>
          </w:tcPr>
          <w:p>
            <w:pPr>
              <w:pStyle w:val="TableContents"/>
              <w:bidi w:val="0"/>
              <w:spacing w:before="0" w:after="1"/>
              <w:ind w:left="0" w:right="0" w:hanging="0"/>
              <w:jc w:val="center"/>
              <w:rPr/>
            </w:pPr>
            <w:r>
              <w:rPr/>
              <w:t>​</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under the deferred compensation plan</w:t>
            </w:r>
          </w:p>
        </w:tc>
        <w:tc>
          <w:tcPr>
            <w:tcW w:w="34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108.47</w:t>
            </w:r>
          </w:p>
        </w:tc>
      </w:tr>
    </w:tbl>
    <w:p>
      <w:pPr>
        <w:pStyle w:val="TextBody"/>
        <w:bidi w:val="0"/>
        <w:spacing w:before="0" w:after="240"/>
        <w:ind w:left="0" w:right="0" w:hanging="0"/>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During the first six months of 2025, we repurchased approximately 2,523,339 shares of our common stock at an average share price of $103.63.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J.       INVENTORIES</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 xml:space="preserve">Inventories are stated at the lower of cost or net realizable value. The cost of inventories includes raw materials, direct labor, and manufacturing overhead and is determined using the weighted average cost method. Raw materials consist primarily of unfinished wood products and other materials expected to be manufactured or treated prior to sale, while finished goods represent various manufactured and treated wood products ready for sale. </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We write down the value of inventory, the impact of which is reflected in cost of goods sold in the Condensed Consolidated Statements of Earnings and Comprehensive Income, if the cost of specific inventory items on hand exceeds the amount we expect to realize from the ultimate sale or disposal of the inventory. These estimates are based on management's judgment regarding future demand and market conditions and analysis of historical experience.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hanging="0"/>
        <w:jc w:val="left"/>
        <w:rPr>
          <w:rFonts w:ascii="Times New Roman;Times;serif" w:hAnsi="Times New Roman;Times;serif"/>
          <w:b/>
          <w:sz w:val="20"/>
        </w:rPr>
      </w:pPr>
      <w:bookmarkStart w:id="1366" w:name="_67ade37c_975f_41f8_b248_92629ceb09a2"/>
      <w:bookmarkEnd w:id="1366"/>
      <w:r>
        <w:rPr>
          <w:rFonts w:ascii="Times New Roman;Times;serif" w:hAnsi="Times New Roman;Times;serif"/>
          <w:b/>
          <w:sz w:val="20"/>
        </w:rPr>
        <w:t>K.       SUBSEQUENT EVENTS</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val="false"/>
          <w:sz w:val="20"/>
        </w:rPr>
        <w:t>Subsequent to our reporting date, we repurchased 125,000</w:t>
      </w:r>
      <w:r>
        <w:rPr>
          <w:rFonts w:ascii="Times New Roman;Times;serif" w:hAnsi="Times New Roman;Times;serif"/>
          <w:b/>
          <w:sz w:val="20"/>
        </w:rPr>
        <w:t xml:space="preserve"> </w:t>
      </w:r>
      <w:r>
        <w:rPr>
          <w:rFonts w:ascii="Times New Roman;Times;serif" w:hAnsi="Times New Roman;Times;serif"/>
          <w:b w:val="false"/>
          <w:sz w:val="20"/>
        </w:rPr>
        <w:t>shares for $10.4</w:t>
      </w:r>
      <w:r>
        <w:rPr>
          <w:rFonts w:ascii="Times New Roman;Times;serif" w:hAnsi="Times New Roman;Times;serif"/>
          <w:b/>
          <w:sz w:val="20"/>
        </w:rPr>
        <w:t xml:space="preserve"> </w:t>
      </w:r>
      <w:r>
        <w:rPr>
          <w:rFonts w:ascii="Times New Roman;Times;serif" w:hAnsi="Times New Roman;Times;serif"/>
          <w:b w:val="false"/>
          <w:sz w:val="20"/>
        </w:rPr>
        <w:t>million, resulting in an average share price of $83.05.</w:t>
      </w:r>
      <w:r>
        <w:rPr>
          <w:rFonts w:ascii="Times New Roman;Times;serif" w:hAnsi="Times New Roman;Times;serif"/>
          <w:b/>
          <w:sz w:val="20"/>
        </w:rPr>
        <w:t xml:space="preserve"> </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120"/>
        <w:ind w:left="0" w:right="0" w:hanging="0"/>
        <w:jc w:val="left"/>
        <w:rPr>
          <w:rFonts w:ascii="Times New Roman;Times;serif" w:hAnsi="Times New Roman;Times;serif"/>
          <w:b/>
          <w:sz w:val="20"/>
        </w:rPr>
      </w:pPr>
      <w:bookmarkStart w:id="1367" w:name="_7b13059d_591e_42da_8ca1_74fb9ffd6399"/>
      <w:bookmarkEnd w:id="1367"/>
      <w:r>
        <w:rPr>
          <w:rFonts w:ascii="Times New Roman;Times;serif" w:hAnsi="Times New Roman;Times;serif"/>
          <w:b/>
          <w:sz w:val="20"/>
        </w:rPr>
        <w:t>Item 2.</w:t>
      </w:r>
    </w:p>
    <w:p>
      <w:pPr>
        <w:pStyle w:val="TextBody"/>
        <w:bidi w:val="0"/>
        <w:spacing w:before="0" w:after="120"/>
        <w:ind w:left="0" w:right="0" w:hanging="0"/>
        <w:jc w:val="center"/>
        <w:rPr>
          <w:rFonts w:ascii="Times New Roman;Times;serif" w:hAnsi="Times New Roman;Times;serif"/>
          <w:b/>
          <w:sz w:val="20"/>
        </w:rPr>
      </w:pPr>
      <w:bookmarkStart w:id="1368" w:name="MANAGEMENTSDISCUSSIONANDANALYSISOF_70241"/>
      <w:bookmarkStart w:id="1369" w:name="_89483"/>
      <w:bookmarkEnd w:id="1368"/>
      <w:bookmarkEnd w:id="1369"/>
      <w:r>
        <w:rPr>
          <w:rFonts w:ascii="Times New Roman;Times;serif" w:hAnsi="Times New Roman;Times;serif"/>
          <w:b/>
          <w:sz w:val="20"/>
        </w:rPr>
        <w:t>MANAGEMENT’S DISCUSSION AND ANALYSIS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UFP Industries, Inc. is a holding company with subsidiaries in North America, Europe, Asia, and Australia that design, manufacture, and supply products made from wood, wood and non-wood composites, and other materials to three segments: retail, packaging, and construction. We are headquartered in Grand Rapids, Michigan. Our business segments are functionally interdependent and are supported by common corporate services, such as accounting and finance, information technology, human resources, marketing, purchasing, transportation, legal and compliance, among others. We regularly invest in automation and implement best practices to improve the efficiency of our manufacturing facilities across each of the segments. The results and improvements from these investments are shared among the segments. This exchange of ideas drives faster innovation for new products, processes, and product improvements.</w:t>
      </w:r>
      <w:r>
        <w:rPr>
          <w:rFonts w:ascii="Times New Roman;Times;serif" w:hAnsi="Times New Roman;Times;serif"/>
          <w:sz w:val="20"/>
          <w:shd w:fill="FFFF00" w:val="clear"/>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Importantly, our structure allows us to evaluate market conditions and opportunities, while effectively allocating capital and resources to the appropriate segments and business units. We believe that the diversification and manner in which we operate our business segments provides an inherent hedge against the inevitable business cycles that our markets experience and over which we have little control. Accordingly, our goal is to provide stable earnings and cash flows to our shareholders. Our diversification and operating practices also mitigate the impact of volatile lumber market conditions experienced by traditional lumber companies.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We do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currency and inflation; fluctuations in the price of lumber; adverse economic conditions in the markets we serve; changes in tariffs, import/export regulations, and other trade policies; concentration of sales to customers; the success of vertical integration strategies; excess capacity or supply chain challenges; our ability to make successful business acquisitions; government regulations, particularly involving environmental and safety regulations; adverse or unusual weather conditions; inbound and outbound transportation costs; alternatives to replace treated wood products; cybersecurity breaches; artificial intelligence; and potential pandemics. Certain of these risk factors as well as other risk factors and additional information are included in our reports on Form 10-K and 10-Q on file with the Securities and Exchange Commission.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results for the second quarter of 2026 include the following highlights: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sales increased 3% compared to the second quarter of 2025, consisting of a 1% increase in organic unit sales (excluding growth from acquisitions within the last 12 months) and a 2% increase attributable to acquisitions. Organic unit sales increased 4% in our packaging segment, partially offset by a 2% decrease in our construction segment and a 1% decrease in our retail segment. Acquired businesses contributed 4%, 2%, and 1% unit increases in our packaging, retail, and construction segments, respectively. Overall selling prices were flat as higher selling prices in our ProWood business unit, driven by the pass-through of higher commodity lumber costs to customers, were offset by competitive pricing pressure in our Site Built business unit.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 decreased by $23 million, or 7%, compared to the same period of the prior year. By segment, gross profit decreased by $10 million in Construction, $10 million in Packaging, and $3 million in Corporate, while Retail increased by $1 million and All Other remained flat. The overall decrease in our gross profit is primarily due to higher transportation costs across all of the business units. The impact of weaker demand on volumes and pricing in our Site Built and Pallet One was more than offset by improvements in our other business units.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operating profits decreased $20 million, or 16%, compared to the second quarter of 2025. The overall decrease is a result of the decrease in gross profit mentioned above and a $1 million increase in selling, general, and administrative (“SG&amp;A”) expenses, partially offset by a $4 million decrease in net losses on the disposition and impairment of assets. The increase in SG&amp;A is due to acquired business and professional and legal fees associated with acquisitions.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flows from operations were $61 million in the first six months of 2026 compared to $113 million during the first six months of 2025. The $52 million decline resulted from a decrease in net earnings and non-cash expenses of $50 million and an increase in our investment in net working capital since year end that was $2 million higher in the first six months of 2026 than it was in the first six months of 2025. We anticipate that this increase in net working capital will convert to cash by early in the fourth quarter as we move past the typical seasonal peak in our net working capital.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and cash equivalents at the end of June 2026 was $597 million compared to $842 million at the end of June 2025. The decline in our cash is primarily due to share repurchase activity and recent business acquisitions. Our unused borrowing capacity under our revolving credit facility and a shelf agreement with certain lenders along with our cash resulted in total liquidity of approximately $1.9 billion at the end of the second quarter of 2026.</w:t>
            </w:r>
          </w:p>
        </w:tc>
      </w:tr>
    </w:tbl>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HISTORICAL LUMBER PRICES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experience significant fluctuations in the cost of commodity lumber products from primary producers (“Lumber Market”). The following table presents the Random Lengths framing lumber composite price:</w:t>
      </w:r>
    </w:p>
    <w:tbl>
      <w:tblPr>
        <w:tblW w:w="5433" w:type="dxa"/>
        <w:jc w:val="left"/>
        <w:tblInd w:w="0" w:type="dxa"/>
        <w:tblLayout w:type="fixed"/>
        <w:tblCellMar>
          <w:top w:w="0" w:type="dxa"/>
          <w:left w:w="0" w:type="dxa"/>
          <w:bottom w:w="0" w:type="dxa"/>
          <w:right w:w="0" w:type="dxa"/>
        </w:tblCellMar>
      </w:tblPr>
      <w:tblGrid>
        <w:gridCol w:w="2896"/>
        <w:gridCol w:w="346"/>
        <w:gridCol w:w="276"/>
        <w:gridCol w:w="552"/>
        <w:gridCol w:w="473"/>
        <w:gridCol w:w="276"/>
        <w:gridCol w:w="614"/>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838960" cy="175260"/>
                      <wp:effectExtent l="0" t="0" r="0" b="0"/>
                      <wp:wrapNone/>
                      <wp:docPr id="285" name="Frame285"/>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6"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75260" cy="175260"/>
                      <wp:effectExtent l="0" t="0" r="0" b="0"/>
                      <wp:wrapNone/>
                      <wp:docPr id="287" name="Frame287"/>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350520" cy="175260"/>
                      <wp:effectExtent l="0" t="0" r="0" b="0"/>
                      <wp:wrapNone/>
                      <wp:docPr id="288" name="Frame288"/>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300355" cy="175260"/>
                      <wp:effectExtent l="0" t="0" r="0" b="0"/>
                      <wp:wrapNone/>
                      <wp:docPr id="289" name="Frame289"/>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75260" cy="175260"/>
                      <wp:effectExtent l="0" t="0" r="0" b="0"/>
                      <wp:wrapNone/>
                      <wp:docPr id="290" name="Frame290"/>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389890" cy="175260"/>
                      <wp:effectExtent l="0" t="0" r="0" b="0"/>
                      <wp:wrapNone/>
                      <wp:docPr id="291" name="Frame291"/>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9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Random Lengths Composite</w:t>
            </w:r>
          </w:p>
        </w:tc>
      </w:tr>
      <w:tr>
        <w:trPr/>
        <w:tc>
          <w:tcPr>
            <w:tcW w:w="2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91"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$/MBF</w:t>
            </w:r>
          </w:p>
        </w:tc>
      </w:tr>
      <w:tr>
        <w:trPr/>
        <w:tc>
          <w:tcPr>
            <w:tcW w:w="2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2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73" w:type="dxa"/>
            <w:tcBorders/>
            <w:vAlign w:val="center"/>
          </w:tcPr>
          <w:p>
            <w:pPr>
              <w:pStyle w:val="TableContents"/>
              <w:bidi w:val="0"/>
              <w:spacing w:before="0" w:after="0"/>
              <w:ind w:left="0" w:right="0" w:hanging="0"/>
              <w:jc w:val="left"/>
              <w:rPr/>
            </w:pPr>
            <w:r>
              <w:rPr/>
              <w:t>  ​ ​ ​</w:t>
            </w:r>
          </w:p>
        </w:tc>
        <w:tc>
          <w:tcPr>
            <w:tcW w:w="89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473"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5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c>
          <w:tcPr>
            <w:tcW w:w="473"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c>
          <w:tcPr>
            <w:tcW w:w="473"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6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5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w:t>
            </w:r>
          </w:p>
        </w:tc>
        <w:tc>
          <w:tcPr>
            <w:tcW w:w="473"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c>
          <w:tcPr>
            <w:tcW w:w="473"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6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5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c>
          <w:tcPr>
            <w:tcW w:w="473"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r>
      <w:tr>
        <w:trPr/>
        <w:tc>
          <w:tcPr>
            <w:tcW w:w="28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552" w:type="dxa"/>
            <w:tcBorders/>
            <w:shd w:fill="CCEEFF" w:val="clear"/>
            <w:vAlign w:val="center"/>
          </w:tcPr>
          <w:p>
            <w:pPr>
              <w:pStyle w:val="TableContents"/>
              <w:bidi w:val="0"/>
              <w:spacing w:before="0" w:after="0"/>
              <w:ind w:left="0" w:right="0" w:hanging="0"/>
              <w:jc w:val="right"/>
              <w:rPr/>
            </w:pPr>
            <w:r>
              <w:rPr/>
              <w:t>​</w:t>
            </w:r>
          </w:p>
        </w:tc>
        <w:tc>
          <w:tcPr>
            <w:tcW w:w="473"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614" w:type="dxa"/>
            <w:tcBorders/>
            <w:shd w:fill="CCEEFF" w:val="clear"/>
            <w:vAlign w:val="center"/>
          </w:tcPr>
          <w:p>
            <w:pPr>
              <w:pStyle w:val="TableContents"/>
              <w:bidi w:val="0"/>
              <w:spacing w:before="0" w:after="0"/>
              <w:ind w:left="0" w:right="0" w:hanging="0"/>
              <w:jc w:val="righ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Second quarter average</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w:t>
            </w:r>
          </w:p>
        </w:tc>
        <w:tc>
          <w:tcPr>
            <w:tcW w:w="473"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Year-to-date average</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473"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w:t>
            </w:r>
          </w:p>
        </w:tc>
      </w:tr>
      <w:tr>
        <w:trPr/>
        <w:tc>
          <w:tcPr>
            <w:tcW w:w="2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Second quarter percentage change</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4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76" w:type="dxa"/>
            <w:tcBorders/>
            <w:shd w:fill="CCEEFF" w:val="clear"/>
            <w:vAlign w:val="center"/>
          </w:tcPr>
          <w:p>
            <w:pPr>
              <w:pStyle w:val="TableContents"/>
              <w:bidi w:val="0"/>
              <w:spacing w:before="0" w:after="0"/>
              <w:ind w:left="0" w:right="0" w:hanging="0"/>
              <w:jc w:val="left"/>
              <w:rPr/>
            </w:pPr>
            <w:r>
              <w:rPr/>
              <w:t> </w:t>
            </w:r>
          </w:p>
        </w:tc>
        <w:tc>
          <w:tcPr>
            <w:tcW w:w="61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Year-to-date percentage change</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5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76"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a Southern Yellow Pine (“SYP”) composite price, which we prepare and use, is presented below. Our purchases of this species comprise approximately 76% of our total lumber purchases.</w:t>
      </w:r>
    </w:p>
    <w:tbl>
      <w:tblPr>
        <w:tblW w:w="4983" w:type="dxa"/>
        <w:jc w:val="left"/>
        <w:tblInd w:w="0" w:type="dxa"/>
        <w:tblLayout w:type="fixed"/>
        <w:tblCellMar>
          <w:top w:w="0" w:type="dxa"/>
          <w:left w:w="0" w:type="dxa"/>
          <w:bottom w:w="0" w:type="dxa"/>
          <w:right w:w="0" w:type="dxa"/>
        </w:tblCellMar>
      </w:tblPr>
      <w:tblGrid>
        <w:gridCol w:w="2896"/>
        <w:gridCol w:w="346"/>
        <w:gridCol w:w="221"/>
        <w:gridCol w:w="442"/>
        <w:gridCol w:w="363"/>
        <w:gridCol w:w="221"/>
        <w:gridCol w:w="494"/>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838960" cy="175260"/>
                      <wp:effectExtent l="0" t="0" r="0" b="0"/>
                      <wp:wrapNone/>
                      <wp:docPr id="292" name="Frame292"/>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93"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40335" cy="175260"/>
                      <wp:effectExtent l="0" t="0" r="0" b="0"/>
                      <wp:wrapNone/>
                      <wp:docPr id="294" name="Frame29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80670" cy="175260"/>
                      <wp:effectExtent l="0" t="0" r="0" b="0"/>
                      <wp:wrapNone/>
                      <wp:docPr id="295" name="Frame295"/>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30505" cy="175260"/>
                      <wp:effectExtent l="0" t="0" r="0" b="0"/>
                      <wp:wrapNone/>
                      <wp:docPr id="296" name="Frame296"/>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40335" cy="175260"/>
                      <wp:effectExtent l="0" t="0" r="0" b="0"/>
                      <wp:wrapNone/>
                      <wp:docPr id="297" name="Frame297"/>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313690" cy="175260"/>
                      <wp:effectExtent l="0" t="0" r="0" b="0"/>
                      <wp:wrapNone/>
                      <wp:docPr id="298" name="Frame298"/>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741"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Random Lengths SYP</w: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741"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$/MBF</w: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63"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3" w:type="dxa"/>
            <w:tcBorders/>
            <w:vAlign w:val="center"/>
          </w:tcPr>
          <w:p>
            <w:pPr>
              <w:pStyle w:val="TableContents"/>
              <w:bidi w:val="0"/>
              <w:spacing w:before="0" w:after="1"/>
              <w:ind w:left="0" w:right="0" w:hanging="0"/>
              <w:jc w:val="left"/>
              <w:rPr/>
            </w:pPr>
            <w:r>
              <w:rPr/>
              <w:t>  ​ ​ ​</w:t>
            </w:r>
          </w:p>
        </w:tc>
        <w:tc>
          <w:tcPr>
            <w:tcW w:w="715"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January</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February</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w:t>
            </w:r>
          </w:p>
        </w:tc>
        <w:tc>
          <w:tcPr>
            <w:tcW w:w="36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4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March</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4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w:t>
            </w:r>
          </w:p>
        </w:tc>
        <w:tc>
          <w:tcPr>
            <w:tcW w:w="36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May</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4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w:t>
            </w:r>
          </w:p>
        </w:tc>
        <w:tc>
          <w:tcPr>
            <w:tcW w:w="36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w:t>
            </w:r>
          </w:p>
        </w:tc>
      </w:tr>
      <w:tr>
        <w:trPr/>
        <w:tc>
          <w:tcPr>
            <w:tcW w:w="28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494" w:type="dxa"/>
            <w:tcBorders/>
            <w:shd w:fill="CCEEFF" w:val="clear"/>
            <w:vAlign w:val="center"/>
          </w:tcPr>
          <w:p>
            <w:pPr>
              <w:pStyle w:val="TableContents"/>
              <w:bidi w:val="0"/>
              <w:spacing w:before="0" w:after="1"/>
              <w:ind w:left="0" w:right="0" w:hanging="0"/>
              <w:jc w:val="right"/>
              <w:rPr/>
            </w:pPr>
            <w:r>
              <w:rPr/>
              <w:t>​</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Second quarter average</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w:t>
            </w:r>
          </w:p>
        </w:tc>
        <w:tc>
          <w:tcPr>
            <w:tcW w:w="36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Year-to-date average</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left"/>
              <w:rPr/>
            </w:pPr>
            <w:r>
              <w:rPr/>
              <w:t>​</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Second quarter percentage change</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21" w:type="dxa"/>
            <w:tcBorders/>
            <w:shd w:fill="CCEEFF" w:val="clear"/>
            <w:vAlign w:val="center"/>
          </w:tcPr>
          <w:p>
            <w:pPr>
              <w:pStyle w:val="TableContents"/>
              <w:bidi w:val="0"/>
              <w:spacing w:before="0" w:after="1"/>
              <w:ind w:left="0" w:right="0" w:hanging="0"/>
              <w:jc w:val="left"/>
              <w:rPr/>
            </w:pPr>
            <w:r>
              <w:rPr/>
              <w:t>​</w:t>
            </w:r>
          </w:p>
        </w:tc>
        <w:tc>
          <w:tcPr>
            <w:tcW w:w="494" w:type="dxa"/>
            <w:tcBorders/>
            <w:shd w:fill="CCEEFF" w:val="clear"/>
            <w:vAlign w:val="center"/>
          </w:tcPr>
          <w:p>
            <w:pPr>
              <w:pStyle w:val="TableContents"/>
              <w:bidi w:val="0"/>
              <w:spacing w:before="0" w:after="1"/>
              <w:ind w:left="0" w:right="0" w:hanging="0"/>
              <w:jc w:val="left"/>
              <w:rPr/>
            </w:pPr>
            <w:r>
              <w:rPr/>
              <w:t>​</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Year-to-date percentage change</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21"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Finally, a Spruce Pine Fir (“SPF”) composite price, which we prepare and use, is presented below. Our purchases of this species comprise approximately 11% of our total lumber purchases.</w:t>
      </w:r>
    </w:p>
    <w:p>
      <w:pPr>
        <w:pStyle w:val="TextBody"/>
        <w:bidi w:val="0"/>
        <w:spacing w:before="0" w:after="240"/>
        <w:ind w:left="0" w:right="0" w:hanging="0"/>
        <w:jc w:val="both"/>
        <w:rPr>
          <w:shd w:fill="FFFF00" w:val="clear"/>
        </w:rPr>
      </w:pPr>
      <w:r>
        <w:rPr>
          <w:shd w:fill="FFFF00" w:val="clear"/>
        </w:rPr>
        <w:t>​</w:t>
      </w:r>
    </w:p>
    <w:tbl>
      <w:tblPr>
        <w:tblW w:w="5010" w:type="dxa"/>
        <w:jc w:val="left"/>
        <w:tblInd w:w="0" w:type="dxa"/>
        <w:tblLayout w:type="fixed"/>
        <w:tblCellMar>
          <w:top w:w="0" w:type="dxa"/>
          <w:left w:w="0" w:type="dxa"/>
          <w:bottom w:w="0" w:type="dxa"/>
          <w:right w:w="0" w:type="dxa"/>
        </w:tblCellMar>
      </w:tblPr>
      <w:tblGrid>
        <w:gridCol w:w="2896"/>
        <w:gridCol w:w="346"/>
        <w:gridCol w:w="220"/>
        <w:gridCol w:w="481"/>
        <w:gridCol w:w="360"/>
        <w:gridCol w:w="220"/>
        <w:gridCol w:w="487"/>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838960" cy="175260"/>
                      <wp:effectExtent l="0" t="0" r="0" b="0"/>
                      <wp:wrapNone/>
                      <wp:docPr id="299" name="Frame299"/>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9700" cy="175260"/>
                      <wp:effectExtent l="0" t="0" r="0" b="0"/>
                      <wp:wrapNone/>
                      <wp:docPr id="301" name="Frame301"/>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305435" cy="175260"/>
                      <wp:effectExtent l="0" t="0" r="0" b="0"/>
                      <wp:wrapNone/>
                      <wp:docPr id="302" name="Frame302"/>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28600" cy="175260"/>
                      <wp:effectExtent l="0" t="0" r="0" b="0"/>
                      <wp:wrapNone/>
                      <wp:docPr id="303" name="Frame30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9700" cy="175260"/>
                      <wp:effectExtent l="0" t="0" r="0" b="0"/>
                      <wp:wrapNone/>
                      <wp:docPr id="304" name="Frame304"/>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309245" cy="175260"/>
                      <wp:effectExtent l="0" t="0" r="0" b="0"/>
                      <wp:wrapNone/>
                      <wp:docPr id="305" name="Frame305"/>
                      <a:graphic xmlns:a="http://schemas.openxmlformats.org/drawingml/2006/main">
                        <a:graphicData uri="http://schemas.microsoft.com/office/word/2010/wordprocessingShape">
                          <wps:wsp>
                            <wps:cNvSpPr txBox="1"/>
                            <wps:spPr>
                              <a:xfrm>
                                <a:off x="0" y="0"/>
                                <a:ext cx="309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76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Random Lengths SPF</w: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768"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$/MBF</w: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01"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0" w:type="dxa"/>
            <w:tcBorders/>
            <w:vAlign w:val="center"/>
          </w:tcPr>
          <w:p>
            <w:pPr>
              <w:pStyle w:val="TableContents"/>
              <w:bidi w:val="0"/>
              <w:spacing w:before="0" w:after="1"/>
              <w:ind w:left="0" w:right="0" w:hanging="0"/>
              <w:jc w:val="left"/>
              <w:rPr/>
            </w:pPr>
            <w:r>
              <w:rPr/>
              <w:t>  ​ ​ ​</w:t>
            </w:r>
          </w:p>
        </w:tc>
        <w:tc>
          <w:tcPr>
            <w:tcW w:w="70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January</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w:t>
            </w:r>
          </w:p>
        </w:tc>
        <w:tc>
          <w:tcPr>
            <w:tcW w:w="360"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February</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w:t>
            </w:r>
          </w:p>
        </w:tc>
        <w:tc>
          <w:tcPr>
            <w:tcW w:w="360"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4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March</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w:t>
            </w:r>
          </w:p>
        </w:tc>
        <w:tc>
          <w:tcPr>
            <w:tcW w:w="360"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4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w:t>
            </w:r>
          </w:p>
        </w:tc>
        <w:tc>
          <w:tcPr>
            <w:tcW w:w="360"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May</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w:t>
            </w:r>
          </w:p>
        </w:tc>
        <w:tc>
          <w:tcPr>
            <w:tcW w:w="360"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w:t>
            </w:r>
          </w:p>
        </w:tc>
        <w:tc>
          <w:tcPr>
            <w:tcW w:w="360"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w:t>
            </w:r>
          </w:p>
        </w:tc>
      </w:tr>
      <w:tr>
        <w:trPr/>
        <w:tc>
          <w:tcPr>
            <w:tcW w:w="28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87" w:type="dxa"/>
            <w:tcBorders/>
            <w:shd w:fill="CCEEFF" w:val="clear"/>
            <w:vAlign w:val="center"/>
          </w:tcPr>
          <w:p>
            <w:pPr>
              <w:pStyle w:val="TableContents"/>
              <w:bidi w:val="0"/>
              <w:spacing w:before="0" w:after="1"/>
              <w:ind w:left="0" w:right="0" w:hanging="0"/>
              <w:jc w:val="right"/>
              <w:rPr/>
            </w:pPr>
            <w:r>
              <w:rPr/>
              <w:t>​</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Second quarter average</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w:t>
            </w:r>
          </w:p>
        </w:tc>
        <w:tc>
          <w:tcPr>
            <w:tcW w:w="360"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Year-to-date average</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w:t>
            </w:r>
          </w:p>
        </w:tc>
        <w:tc>
          <w:tcPr>
            <w:tcW w:w="360"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w: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87" w:type="dxa"/>
            <w:tcBorders/>
            <w:vAlign w:val="center"/>
          </w:tcPr>
          <w:p>
            <w:pPr>
              <w:pStyle w:val="TableContents"/>
              <w:bidi w:val="0"/>
              <w:spacing w:before="0" w:after="1"/>
              <w:ind w:left="0" w:right="0" w:hanging="0"/>
              <w:jc w:val="left"/>
              <w:rPr/>
            </w:pPr>
            <w:r>
              <w:rPr/>
              <w:t>​</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Second quarter percentage change</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87" w:type="dxa"/>
            <w:tcBorders/>
            <w:shd w:fill="CCEEFF" w:val="clear"/>
            <w:vAlign w:val="center"/>
          </w:tcPr>
          <w:p>
            <w:pPr>
              <w:pStyle w:val="TableContents"/>
              <w:bidi w:val="0"/>
              <w:spacing w:before="0" w:after="1"/>
              <w:ind w:left="0" w:right="0" w:hanging="0"/>
              <w:jc w:val="left"/>
              <w:rPr/>
            </w:pPr>
            <w:r>
              <w:rPr/>
              <w:t>​</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Year-to-date percentage change</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6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20" w:type="dxa"/>
            <w:tcBorders/>
            <w:vAlign w:val="center"/>
          </w:tcPr>
          <w:p>
            <w:pPr>
              <w:pStyle w:val="TableContents"/>
              <w:bidi w:val="0"/>
              <w:spacing w:before="0" w:after="1"/>
              <w:ind w:left="0" w:right="0" w:hanging="0"/>
              <w:jc w:val="left"/>
              <w:rPr/>
            </w:pPr>
            <w:r>
              <w:rPr/>
              <w:t>​</w:t>
            </w:r>
          </w:p>
        </w:tc>
        <w:tc>
          <w:tcPr>
            <w:tcW w:w="487"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shd w:fill="FFFF00" w:val="clear"/>
        </w:rPr>
      </w:pPr>
      <w:r>
        <w:rPr>
          <w:shd w:fill="FFFF00" w:val="clea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Lumber prices increased during the second quarter of 2026, after declining during the first quarter. Commodity lumber costs increased due to mill curtailments and higher duties on Canadian lumber, partially offset by weak overall demand resulting from lower consumer sentiment and greater economic uncertainty.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change in lumber prices impacts profitability of products sold with fixed and variable prices, as discussed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IMPACT OF THE LUMBER MARKET ON OUR OPERATING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generally price our products to pass lumber costs through to our customers so that our profitability is based on the value-added manufacturing, distribution, engineering, and other services we provide. As a result, our dollar sales levels (and working capital requirements) are impacted by the lumber costs of our products. Lumber costs were 43.7% and 42.9% of our total net sales in the first six months of 2026 and 2025,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Additionally, as explained below, product categories can be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Below is a general description of the primary ways in which our products are priced.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Products with fixed selling prices.</w:t>
            </w:r>
            <w:r>
              <w:rPr>
                <w:caps w:val="false"/>
                <w:smallCaps w:val="false"/>
              </w:rPr>
              <w:t xml:space="preserve"> </w:t>
            </w:r>
            <w:r>
              <w:rPr>
                <w:rFonts w:ascii="Times New Roman;Times;serif" w:hAnsi="Times New Roman;Times;serif"/>
                <w:b w:val="false"/>
                <w:i w:val="false"/>
                <w:caps w:val="false"/>
                <w:smallCaps w:val="false"/>
                <w:sz w:val="20"/>
              </w:rPr>
              <w:t>These products include value-added products, such as manufactured items, sold within all segments. Prices for these products are generally fixed at the time of the sales quotation for a specified period of time. In order to reduce any exposure to adverse trends in the price of component lumber products, we attempt to lock in costs with our suppliers or purchase necessary inventory for these sales commitments. The time period limitation eventually allows us to periodically re-price our products for changes in lumber costs from our suppliers.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Products with selling prices indexed to the reported Lumber Market with a fixed dollar “adder” to cover conversion costs and profit.</w:t>
            </w:r>
            <w:r>
              <w:rPr>
                <w:caps w:val="false"/>
                <w:smallCaps w:val="false"/>
              </w:rPr>
              <w:t xml:space="preserve"> </w:t>
            </w:r>
            <w:r>
              <w:rPr>
                <w:rFonts w:ascii="Times New Roman;Times;serif" w:hAnsi="Times New Roman;Times;serif"/>
                <w:b w:val="false"/>
                <w:i w:val="false"/>
                <w:caps w:val="false"/>
                <w:smallCaps w:val="false"/>
                <w:sz w:val="20"/>
              </w:rPr>
              <w:t>These products primarily include treated lumber, panel goods, other commodity-type items, and trusses sold to the manufactured housing industry. For these products, we estimate customers’ needs and carry appropriate levels of inventory. Because lumber costs are incurred in advance of final sale prices, subsequent increases or decreases in the market price of lumber impact our gross margins. We believe our sales of these products are at their highest relative level in our second quarter, primarily due to pressure-treated lumber sold in our retail segment.</w:t>
            </w:r>
          </w:p>
        </w:tc>
      </w:tr>
    </w:tbl>
    <w:p>
      <w:pPr>
        <w:pStyle w:val="TextBody"/>
        <w:bidi w:val="0"/>
        <w:spacing w:before="0" w:after="240"/>
        <w:ind w:left="540" w:right="0" w:hanging="0"/>
        <w:jc w:val="both"/>
        <w:rPr>
          <w:rFonts w:ascii="Times New Roman;Times;serif" w:hAnsi="Times New Roman;Times;serif"/>
          <w:sz w:val="20"/>
        </w:rPr>
      </w:pPr>
      <w:r>
        <w:rPr>
          <w:rFonts w:ascii="Times New Roman;Times;serif" w:hAnsi="Times New Roman;Times;serif"/>
          <w:sz w:val="20"/>
        </w:rPr>
        <w:t>For each of the product pricing categories above, our margins are exposed to changes in the trend of lumber prices. As a result of the balance in our net sales to each of our end markets, we believe our gross profit is more stable compared to our competitors who are less diversified.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greatest risk associated with changes in the trend of lumber prices is on the following products: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Products with significant inventory levels with low turnover rates, whose selling prices are indexed to the Lumber Market.</w:t>
            </w:r>
            <w:r>
              <w:rPr>
                <w:caps w:val="false"/>
                <w:smallCaps w:val="false"/>
              </w:rPr>
              <w:t xml:space="preserve"> </w:t>
            </w:r>
            <w:r>
              <w:rPr>
                <w:rFonts w:ascii="Times New Roman;Times;serif" w:hAnsi="Times New Roman;Times;serif"/>
                <w:b w:val="false"/>
                <w:i w:val="false"/>
                <w:caps w:val="false"/>
                <w:smallCaps w:val="false"/>
                <w:sz w:val="20"/>
              </w:rPr>
              <w:t>In other words, the longer the period of time these products remain in inventory, the greater the exposure to changes in the price of lumber. This includes treated lumber, which comprised approximately 22% of our total net sales in the first six months of 2026. This exposure is less significant with remanufactured lumber, panel goods, other commodity-type items, and trusses sold to the manufactured housing market due to the higher rate of inventory turnover. We attempt to mitigate the risk associated with treated lumber through managed inventory programs with our vendors. We estimate that 21% of our total purchases for the first six months of 2026 were transacted under these programs. (</w:t>
            </w:r>
            <w:r>
              <w:rPr>
                <w:rFonts w:ascii="Times New Roman;Times;serif" w:hAnsi="Times New Roman;Times;serif"/>
                <w:b w:val="false"/>
                <w:i/>
                <w:sz w:val="20"/>
              </w:rPr>
              <w:t>Please refer to the “Risk Factors” section of our annual report on form 10-K, filed with the United States Securities and Exchange Commission.</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Products with fixed selling prices sold under long-term supply arrangements, particularly those involving multi-family construction projects.</w:t>
            </w:r>
            <w:r>
              <w:rPr>
                <w:caps w:val="false"/>
                <w:smallCaps w:val="false"/>
              </w:rPr>
              <w:t xml:space="preserve"> </w:t>
            </w:r>
            <w:r>
              <w:rPr>
                <w:rFonts w:ascii="Times New Roman;Times;serif" w:hAnsi="Times New Roman;Times;serif"/>
                <w:b w:val="false"/>
                <w:i w:val="false"/>
                <w:caps w:val="false"/>
                <w:smallCaps w:val="false"/>
                <w:sz w:val="20"/>
              </w:rPr>
              <w:t>We attempt to mitigate this risk through our purchasing practices and longer vendor commitments.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impact of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tbl>
      <w:tblPr>
        <w:tblW w:w="3906" w:type="dxa"/>
        <w:jc w:val="left"/>
        <w:tblInd w:w="0" w:type="dxa"/>
        <w:tblLayout w:type="fixed"/>
        <w:tblCellMar>
          <w:top w:w="0" w:type="dxa"/>
          <w:left w:w="0" w:type="dxa"/>
          <w:bottom w:w="0" w:type="dxa"/>
          <w:right w:w="0" w:type="dxa"/>
        </w:tblCellMar>
      </w:tblPr>
      <w:tblGrid>
        <w:gridCol w:w="1441"/>
        <w:gridCol w:w="346"/>
        <w:gridCol w:w="224"/>
        <w:gridCol w:w="497"/>
        <w:gridCol w:w="361"/>
        <w:gridCol w:w="224"/>
        <w:gridCol w:w="497"/>
        <w:gridCol w:w="316"/>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915035" cy="175260"/>
                      <wp:effectExtent l="0" t="0" r="0" b="0"/>
                      <wp:wrapNone/>
                      <wp:docPr id="306" name="Frame306"/>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42240" cy="175260"/>
                      <wp:effectExtent l="0" t="0" r="0" b="0"/>
                      <wp:wrapNone/>
                      <wp:docPr id="308" name="Frame308"/>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315595" cy="175260"/>
                      <wp:effectExtent l="0" t="0" r="0" b="0"/>
                      <wp:wrapNone/>
                      <wp:docPr id="309" name="Frame309"/>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29235" cy="175260"/>
                      <wp:effectExtent l="0" t="0" r="0" b="0"/>
                      <wp:wrapNone/>
                      <wp:docPr id="310" name="Frame31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42240" cy="175260"/>
                      <wp:effectExtent l="0" t="0" r="0" b="0"/>
                      <wp:wrapNone/>
                      <wp:docPr id="311" name="Frame311"/>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315595" cy="175260"/>
                      <wp:effectExtent l="0" t="0" r="0" b="0"/>
                      <wp:wrapNone/>
                      <wp:docPr id="312" name="Frame312"/>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0660" cy="175260"/>
                      <wp:effectExtent l="0" t="0" r="0" b="0"/>
                      <wp:wrapNone/>
                      <wp:docPr id="313" name="Frame31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2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 1</w:t>
            </w:r>
          </w:p>
        </w:tc>
        <w:tc>
          <w:tcPr>
            <w:tcW w:w="361" w:type="dxa"/>
            <w:tcBorders/>
            <w:vAlign w:val="center"/>
          </w:tcPr>
          <w:p>
            <w:pPr>
              <w:pStyle w:val="TableContents"/>
              <w:bidi w:val="0"/>
              <w:spacing w:before="0" w:after="0"/>
              <w:ind w:left="0" w:right="0" w:hanging="0"/>
              <w:jc w:val="left"/>
              <w:rPr/>
            </w:pPr>
            <w:r>
              <w:rPr/>
              <w:t>  ​ ​ ​</w:t>
            </w:r>
          </w:p>
        </w:tc>
        <w:tc>
          <w:tcPr>
            <w:tcW w:w="72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 2</w:t>
            </w:r>
          </w:p>
        </w:tc>
        <w:tc>
          <w:tcPr>
            <w:tcW w:w="316" w:type="dxa"/>
            <w:tcBorders/>
            <w:vAlign w:val="center"/>
          </w:tcPr>
          <w:p>
            <w:pPr>
              <w:pStyle w:val="TableContents"/>
              <w:bidi w:val="0"/>
              <w:spacing w:before="0" w:after="0"/>
              <w:ind w:left="0" w:right="0" w:hanging="0"/>
              <w:jc w:val="center"/>
              <w:rPr/>
            </w:pPr>
            <w:r>
              <w:rPr/>
              <w:t> </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Lumber cost</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61"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cost</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49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61" w:type="dxa"/>
            <w:tcBorders/>
            <w:vAlign w:val="center"/>
          </w:tcPr>
          <w:p>
            <w:pPr>
              <w:pStyle w:val="TableContents"/>
              <w:bidi w:val="0"/>
              <w:spacing w:before="0" w:after="0"/>
              <w:ind w:left="0" w:right="0" w:hanging="0"/>
              <w:jc w:val="left"/>
              <w:rPr/>
            </w:pPr>
            <w:r>
              <w:rPr/>
              <w:t>​</w:t>
            </w:r>
          </w:p>
        </w:tc>
        <w:tc>
          <w:tcPr>
            <w:tcW w:w="224"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49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vAlign w:val="center"/>
          </w:tcPr>
          <w:p>
            <w:pPr>
              <w:pStyle w:val="TableContents"/>
              <w:bidi w:val="0"/>
              <w:spacing w:before="0" w:after="0"/>
              <w:ind w:left="0" w:right="0" w:hanging="0"/>
              <w:jc w:val="left"/>
              <w:rPr/>
            </w:pPr>
            <w:r>
              <w:rPr/>
              <w:t>​</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Product cost</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61"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Adder</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49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61" w:type="dxa"/>
            <w:tcBorders/>
            <w:vAlign w:val="center"/>
          </w:tcPr>
          <w:p>
            <w:pPr>
              <w:pStyle w:val="TableContents"/>
              <w:bidi w:val="0"/>
              <w:spacing w:before="0" w:after="0"/>
              <w:ind w:left="0" w:right="0" w:hanging="0"/>
              <w:jc w:val="left"/>
              <w:rPr/>
            </w:pPr>
            <w:r>
              <w:rPr/>
              <w:t>​</w:t>
            </w:r>
          </w:p>
        </w:tc>
        <w:tc>
          <w:tcPr>
            <w:tcW w:w="224"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49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vAlign w:val="center"/>
          </w:tcPr>
          <w:p>
            <w:pPr>
              <w:pStyle w:val="TableContents"/>
              <w:bidi w:val="0"/>
              <w:spacing w:before="0" w:after="0"/>
              <w:ind w:left="0" w:right="0" w:hanging="0"/>
              <w:jc w:val="left"/>
              <w:rPr/>
            </w:pPr>
            <w:r>
              <w:rPr/>
              <w:t>​</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Sell price</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61"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4" w:type="dxa"/>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is apparent from the preceding example, the level of lumber prices does not impact our overall profits but does impact our margins. Gross margins and operating margins are negatively impacted during periods of high lumber prices; conversely, we experience margin improvement when lumber prices are relatively low. </w:t>
      </w:r>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IMPACT OF TARIFFS ON OUR OPERATING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trade landscape continues to evolve. Since we do not own any foreign sawmills and have excellent relationships with our mill partners, we believe we are currently in a strong position to adapt quickly to tariffs without material adverse financial impact after a short adjustment period. We will continue to monitor the market and intend to make decisions quickly to minimize disruption. As of June 27, 2026, 84% of our lumber purchases were from domestic suppliers, 9% were imported from Canada, and 7% were imported from other international suppliers.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February 2026, the U.S. Supreme Court ruled that the International Emergency Economic Powers Act (“IEEPA”), which the U.S. administration relied on to impose certain tariffs, does not authorize the administration to impose tariffs. As a result of this ruling, the U.S. Court of International Trade (“CIT”) issued an order directing the U.S. Customs and Border Protection (“CBP”) agency to begin formalizing a process for refunds. As of June 27, 2026, we have received $3 million in tariff refunds and recorded a receivable of $20 million related to the expected refund of tariffs previously paid under the IEEPA, including applicable interest, with the corresponding offsets of $20 million to Cost of goods sold, $1 million to interest income, and $2 million as a reduction to the carrying value of inventory on hand. We have certain contractual obligations that will require us to refund customers certain of the tariff refunds we receive. If we collect the entire $23 million of tariffs paid pursuant to the IEEPA, we will be required to refund approximately $11 million to customers. As a result, we recorded $11 million as a liability as of June 27, 2026, with a corresponding reduction to Net sales. Of the $9 million net increase in Earnings from operations relating to these tariff refunds, $6 million related to products sold in the current quarter and $3 million related to products sold in prior quarters. Subsequent to June 27, 2026, we received approximately $18 million of the tariff refund receivable, including related interest.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IMPACT OF HIGHER TRANSPORTATION COSTS ON OUR OPERATING RESULTS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combination of macroeconomic and geopolitical events and capacity constraints in the flatbed carrier market have contributed to an increase in our input costs across the enterprise, primarily related to fuel and transportation. In the second quarter of 2026, we estimate that we incurred an additional $31 million of these costs which adversely impacted our profitability reflecting increased fuel costs and flatbed carrier rates as a result of many small carriers exiting the market. This has increased our cost in the “spot” market with market rates up over 30% excluding fuel. These market conditions have resulted in $6 million in additional fuel costs and $25 million in higher flatbed carrier costs. Our efforts to pass through these higher costs to our customers have been concentrated on fuel and through surcharges and increased product pricing, which resulted in an offset totaling approximately $4 million for the quarter. We plan to negotiate with our customers to pass through the remaining increase in our transportation costs, however, there are factors beyond our control, including contract terms and market conditions, that may impact our ability to be successful in these efforts. Please see “Risk Factors” below for more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BUSINESS COMBINATIONS AND ASSET PURCHASES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completed three business combinations in the second quarter of 2026 and two in fiscal 2025. The annual historical sales attributable to these acquisitions are approximately $183 million in aggregate. These business combinations are not significant to our quarterly results and thus proforma results for 2026 and 2025 are not presented. See Notes to the Unaudited Interim Condensed Consolidated Financial Statements, Note F, “Business Combinations” for additional information.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following table presents, for the periods indicated, the components of our Unaudited Condensed Consolidated Statements of Earnings as a percentage of net sales.</w:t>
      </w:r>
    </w:p>
    <w:tbl>
      <w:tblPr>
        <w:tblW w:w="9227" w:type="dxa"/>
        <w:jc w:val="left"/>
        <w:tblInd w:w="0" w:type="dxa"/>
        <w:tblLayout w:type="fixed"/>
        <w:tblCellMar>
          <w:top w:w="0" w:type="dxa"/>
          <w:left w:w="0" w:type="dxa"/>
          <w:bottom w:w="0" w:type="dxa"/>
          <w:right w:w="0" w:type="dxa"/>
        </w:tblCellMar>
      </w:tblPr>
      <w:tblGrid>
        <w:gridCol w:w="4636"/>
        <w:gridCol w:w="721"/>
        <w:gridCol w:w="361"/>
        <w:gridCol w:w="721"/>
        <w:gridCol w:w="361"/>
        <w:gridCol w:w="109"/>
        <w:gridCol w:w="721"/>
        <w:gridCol w:w="361"/>
        <w:gridCol w:w="721"/>
        <w:gridCol w:w="361"/>
        <w:gridCol w:w="154"/>
      </w:tblGrid>
      <w:tr>
        <w:trPr/>
        <w:tc>
          <w:tcPr>
            <w:tcW w:w="4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943860" cy="175260"/>
                      <wp:effectExtent l="0" t="0" r="0" b="0"/>
                      <wp:wrapNone/>
                      <wp:docPr id="314" name="Frame314"/>
                      <a:graphic xmlns:a="http://schemas.openxmlformats.org/drawingml/2006/main">
                        <a:graphicData uri="http://schemas.microsoft.com/office/word/2010/wordprocessingShape">
                          <wps:wsp>
                            <wps:cNvSpPr txBox="1"/>
                            <wps:spPr>
                              <a:xfrm>
                                <a:off x="0" y="0"/>
                                <a:ext cx="2943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57835" cy="175260"/>
                      <wp:effectExtent l="0" t="0" r="0" b="0"/>
                      <wp:wrapNone/>
                      <wp:docPr id="315" name="Frame31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29235" cy="175260"/>
                      <wp:effectExtent l="0" t="0" r="0" b="0"/>
                      <wp:wrapNone/>
                      <wp:docPr id="316" name="Frame31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457835" cy="175260"/>
                      <wp:effectExtent l="0" t="0" r="0" b="0"/>
                      <wp:wrapNone/>
                      <wp:docPr id="317" name="Frame31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29235" cy="175260"/>
                      <wp:effectExtent l="0" t="0" r="0" b="0"/>
                      <wp:wrapNone/>
                      <wp:docPr id="318" name="Frame31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9215" cy="175260"/>
                      <wp:effectExtent l="0" t="0" r="0" b="0"/>
                      <wp:wrapNone/>
                      <wp:docPr id="319" name="Frame3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457835" cy="175260"/>
                      <wp:effectExtent l="0" t="0" r="0" b="0"/>
                      <wp:wrapNone/>
                      <wp:docPr id="320" name="Frame32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29235" cy="175260"/>
                      <wp:effectExtent l="0" t="0" r="0" b="0"/>
                      <wp:wrapNone/>
                      <wp:docPr id="321" name="Frame32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57835" cy="175260"/>
                      <wp:effectExtent l="0" t="0" r="0" b="0"/>
                      <wp:wrapNone/>
                      <wp:docPr id="322" name="Frame32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29235" cy="175260"/>
                      <wp:effectExtent l="0" t="0" r="0" b="0"/>
                      <wp:wrapNone/>
                      <wp:docPr id="323" name="Frame32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4636" w:type="dxa"/>
            <w:tcBorders/>
            <w:vAlign w:val="center"/>
          </w:tcPr>
          <w:p>
            <w:pPr>
              <w:pStyle w:val="TableContents"/>
              <w:bidi w:val="0"/>
              <w:spacing w:before="0" w:after="1"/>
              <w:ind w:left="0" w:right="0" w:hanging="0"/>
              <w:jc w:val="left"/>
              <w:rPr/>
            </w:pPr>
            <w:r>
              <w:rPr/>
              <w:t>​</w:t>
            </w:r>
          </w:p>
        </w:tc>
        <w:tc>
          <w:tcPr>
            <w:tcW w:w="2164" w:type="dxa"/>
            <w:gridSpan w:val="4"/>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09" w:type="dxa"/>
            <w:tcBorders>
              <w:bottom w:val="single" w:sz="12" w:space="0" w:color="000000"/>
            </w:tcBorders>
            <w:tcMar>
              <w:bottom w:w="28" w:type="dxa"/>
            </w:tcMar>
            <w:vAlign w:val="center"/>
          </w:tcPr>
          <w:p>
            <w:pPr>
              <w:pStyle w:val="TableContents"/>
              <w:bidi w:val="0"/>
              <w:spacing w:before="0" w:after="1"/>
              <w:ind w:left="0" w:right="0" w:hanging="0"/>
              <w:jc w:val="center"/>
              <w:rPr/>
            </w:pPr>
            <w:r>
              <w:rPr/>
              <w:t>​</w:t>
            </w:r>
          </w:p>
        </w:tc>
        <w:tc>
          <w:tcPr>
            <w:tcW w:w="2164" w:type="dxa"/>
            <w:gridSpan w:val="4"/>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63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61" w:type="dxa"/>
            <w:tcBorders/>
            <w:vAlign w:val="center"/>
          </w:tcPr>
          <w:p>
            <w:pPr>
              <w:pStyle w:val="TableContents"/>
              <w:bidi w:val="0"/>
              <w:spacing w:before="0" w:after="1"/>
              <w:ind w:left="0" w:right="0" w:hanging="0"/>
              <w:jc w:val="left"/>
              <w:rPr/>
            </w:pPr>
            <w:r>
              <w:rPr/>
              <w:t>  ​ ​ ​</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61" w:type="dxa"/>
            <w:tcBorders/>
            <w:vAlign w:val="center"/>
          </w:tcPr>
          <w:p>
            <w:pPr>
              <w:pStyle w:val="TableContents"/>
              <w:bidi w:val="0"/>
              <w:spacing w:before="0" w:after="1"/>
              <w:ind w:left="0" w:right="0" w:hanging="0"/>
              <w:jc w:val="left"/>
              <w:rPr/>
            </w:pPr>
            <w:r>
              <w:rPr/>
              <w:t>  ​ ​ ​</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61" w:type="dxa"/>
            <w:tcBorders/>
            <w:vAlign w:val="center"/>
          </w:tcPr>
          <w:p>
            <w:pPr>
              <w:pStyle w:val="TableContents"/>
              <w:bidi w:val="0"/>
              <w:spacing w:before="0" w:after="1"/>
              <w:ind w:left="0" w:right="0" w:hanging="0"/>
              <w:jc w:val="left"/>
              <w:rPr/>
            </w:pPr>
            <w:r>
              <w:rPr/>
              <w:t>  ​ ​ ​</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61" w:type="dxa"/>
            <w:tcBorders/>
            <w:vAlign w:val="center"/>
          </w:tcPr>
          <w:p>
            <w:pPr>
              <w:pStyle w:val="TableContents"/>
              <w:bidi w:val="0"/>
              <w:spacing w:before="0" w:after="1"/>
              <w:ind w:left="0" w:right="0" w:hanging="0"/>
              <w:jc w:val="left"/>
              <w:rPr/>
            </w:pPr>
            <w:r>
              <w:rPr/>
              <w:t>  ​ ​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636" w:type="dxa"/>
            <w:tcBorders/>
            <w:vAlign w:val="center"/>
          </w:tcPr>
          <w:p>
            <w:pPr>
              <w:pStyle w:val="TableContents"/>
              <w:bidi w:val="0"/>
              <w:spacing w:before="0" w:after="1"/>
              <w:ind w:left="0" w:right="0" w:hanging="0"/>
              <w:jc w:val="left"/>
              <w:rPr/>
            </w:pPr>
            <w:r>
              <w:rPr/>
              <w:t>​</w:t>
            </w:r>
          </w:p>
        </w:tc>
        <w:tc>
          <w:tcPr>
            <w:tcW w:w="72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1"/>
              <w:ind w:left="0" w:right="0" w:hanging="0"/>
              <w:jc w:val="left"/>
              <w:rPr/>
            </w:pPr>
            <w:r>
              <w:rPr/>
              <w:t> </w:t>
            </w:r>
          </w:p>
        </w:tc>
        <w:tc>
          <w:tcPr>
            <w:tcW w:w="72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72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1"/>
              <w:ind w:left="0" w:right="0" w:hanging="0"/>
              <w:jc w:val="left"/>
              <w:rPr/>
            </w:pPr>
            <w:r>
              <w:rPr/>
              <w:t> </w:t>
            </w:r>
          </w:p>
        </w:tc>
        <w:tc>
          <w:tcPr>
            <w:tcW w:w="72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w:t>
            </w:r>
          </w:p>
        </w:tc>
        <w:tc>
          <w:tcPr>
            <w:tcW w:w="361"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83.0</w:t>
            </w:r>
          </w:p>
        </w:tc>
        <w:tc>
          <w:tcPr>
            <w:tcW w:w="36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84.3</w:t>
            </w:r>
          </w:p>
        </w:tc>
        <w:tc>
          <w:tcPr>
            <w:tcW w:w="361"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w:t>
            </w:r>
          </w:p>
        </w:tc>
        <w:tc>
          <w:tcPr>
            <w:tcW w:w="361" w:type="dxa"/>
            <w:tcBorders/>
            <w:vAlign w:val="center"/>
          </w:tcPr>
          <w:p>
            <w:pPr>
              <w:pStyle w:val="TableContents"/>
              <w:bidi w:val="0"/>
              <w:spacing w:before="0" w:after="1"/>
              <w:ind w:left="0" w:right="0" w:hanging="0"/>
              <w:jc w:val="left"/>
              <w:rPr/>
            </w:pPr>
            <w:r>
              <w:rPr/>
              <w:t>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36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61"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36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361" w:type="dxa"/>
            <w:tcBorders/>
            <w:shd w:fill="CCEEFF" w:val="clear"/>
            <w:vAlign w:val="center"/>
          </w:tcPr>
          <w:p>
            <w:pPr>
              <w:pStyle w:val="TableContents"/>
              <w:bidi w:val="0"/>
              <w:spacing w:before="0" w:after="1"/>
              <w:ind w:left="0" w:right="0" w:hanging="0"/>
              <w:jc w:val="left"/>
              <w:rPr/>
            </w:pPr>
            <w:r>
              <w:rPr/>
              <w:t>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6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36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6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61" w:type="dxa"/>
            <w:tcBorders/>
            <w:vAlign w:val="center"/>
          </w:tcPr>
          <w:p>
            <w:pPr>
              <w:pStyle w:val="TableContents"/>
              <w:bidi w:val="0"/>
              <w:spacing w:before="0" w:after="1"/>
              <w:ind w:left="0" w:right="0" w:hanging="0"/>
              <w:jc w:val="left"/>
              <w:rPr/>
            </w:pPr>
            <w:r>
              <w:rPr/>
              <w:t>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gain on disposition and impairment of assets</w:t>
            </w:r>
          </w:p>
        </w:tc>
        <w:tc>
          <w:tcPr>
            <w:tcW w:w="7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shd w:fill="CCEEFF" w:val="clear"/>
            <w:vAlign w:val="center"/>
          </w:tcPr>
          <w:p>
            <w:pPr>
              <w:pStyle w:val="TableContents"/>
              <w:bidi w:val="0"/>
              <w:spacing w:before="0" w:after="1"/>
              <w:ind w:left="0" w:right="0" w:hanging="0"/>
              <w:jc w:val="left"/>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losses (gains), net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from operations</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6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61"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6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61" w:type="dxa"/>
            <w:tcBorders/>
            <w:shd w:fill="CCEEFF" w:val="clear"/>
            <w:vAlign w:val="center"/>
          </w:tcPr>
          <w:p>
            <w:pPr>
              <w:pStyle w:val="TableContents"/>
              <w:bidi w:val="0"/>
              <w:spacing w:before="0" w:after="1"/>
              <w:ind w:left="0" w:right="0" w:hanging="0"/>
              <w:jc w:val="left"/>
              <w:rPr/>
            </w:pPr>
            <w:r>
              <w:rPr/>
              <w:t>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other</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61"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6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61" w:type="dxa"/>
            <w:tcBorders/>
            <w:vAlign w:val="center"/>
          </w:tcPr>
          <w:p>
            <w:pPr>
              <w:pStyle w:val="TableContents"/>
              <w:bidi w:val="0"/>
              <w:spacing w:before="0" w:after="1"/>
              <w:ind w:left="0" w:right="0" w:hanging="0"/>
              <w:jc w:val="left"/>
              <w:rPr/>
            </w:pPr>
            <w:r>
              <w:rPr/>
              <w:t>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before income taxes</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6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61"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6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61" w:type="dxa"/>
            <w:tcBorders/>
            <w:shd w:fill="CCEEFF" w:val="clear"/>
            <w:vAlign w:val="center"/>
          </w:tcPr>
          <w:p>
            <w:pPr>
              <w:pStyle w:val="TableContents"/>
              <w:bidi w:val="0"/>
              <w:spacing w:before="0" w:after="1"/>
              <w:ind w:left="0" w:right="0" w:hanging="0"/>
              <w:jc w:val="left"/>
              <w:rPr/>
            </w:pPr>
            <w:r>
              <w:rPr/>
              <w:t>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6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vAlign w:val="center"/>
          </w:tcPr>
          <w:p>
            <w:pPr>
              <w:pStyle w:val="TableContents"/>
              <w:bidi w:val="0"/>
              <w:spacing w:before="0" w:after="1"/>
              <w:ind w:left="0" w:right="0" w:hanging="0"/>
              <w:jc w:val="left"/>
              <w:rPr/>
            </w:pPr>
            <w:r>
              <w:rPr/>
              <w:t>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earnings</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6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61"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6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61" w:type="dxa"/>
            <w:tcBorders/>
            <w:shd w:fill="CCEEFF" w:val="clear"/>
            <w:vAlign w:val="center"/>
          </w:tcPr>
          <w:p>
            <w:pPr>
              <w:pStyle w:val="TableContents"/>
              <w:bidi w:val="0"/>
              <w:spacing w:before="0" w:after="1"/>
              <w:ind w:left="0" w:right="0" w:hanging="0"/>
              <w:jc w:val="left"/>
              <w:rPr/>
            </w:pPr>
            <w:r>
              <w:rPr/>
              <w:t>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net earnings attributable to noncontrolling interest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earnings attributable to controlling interest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60" w:after="240"/>
        <w:ind w:left="0" w:right="0" w:hanging="0"/>
        <w:jc w:val="both"/>
        <w:rPr>
          <w:rFonts w:ascii="Times New Roman;Times;serif" w:hAnsi="Times New Roman;Times;serif"/>
          <w:sz w:val="16"/>
        </w:rPr>
      </w:pPr>
      <w:r>
        <w:rPr>
          <w:rFonts w:ascii="Times New Roman;Times;serif" w:hAnsi="Times New Roman;Times;serif"/>
          <w:sz w:val="16"/>
        </w:rPr>
        <w:t>Note: Actual percentages are calculated and may not sum to total due to rounding.</w:t>
      </w:r>
    </w:p>
    <w:p>
      <w:pPr>
        <w:pStyle w:val="TextBody"/>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As a result of the impact of the level of lumber prices on the percentages displayed in the table above (see Impact of the Lumber Market on Our Operating Results), we believe it is useful to compare our change in units sold with our change in gross profit, selling, general, and administrative expenses, and operating profits as presented in the following table.</w:t>
      </w:r>
    </w:p>
    <w:tbl>
      <w:tblPr>
        <w:tblW w:w="8998" w:type="dxa"/>
        <w:jc w:val="left"/>
        <w:tblInd w:w="0" w:type="dxa"/>
        <w:tblLayout w:type="fixed"/>
        <w:tblCellMar>
          <w:top w:w="0" w:type="dxa"/>
          <w:left w:w="0" w:type="dxa"/>
          <w:bottom w:w="0" w:type="dxa"/>
          <w:right w:w="0" w:type="dxa"/>
        </w:tblCellMar>
      </w:tblPr>
      <w:tblGrid>
        <w:gridCol w:w="3781"/>
        <w:gridCol w:w="346"/>
        <w:gridCol w:w="586"/>
        <w:gridCol w:w="361"/>
        <w:gridCol w:w="346"/>
        <w:gridCol w:w="586"/>
        <w:gridCol w:w="361"/>
        <w:gridCol w:w="346"/>
        <w:gridCol w:w="586"/>
        <w:gridCol w:w="361"/>
        <w:gridCol w:w="346"/>
        <w:gridCol w:w="586"/>
        <w:gridCol w:w="406"/>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400935" cy="175260"/>
                      <wp:effectExtent l="0" t="0" r="0" b="0"/>
                      <wp:wrapNone/>
                      <wp:docPr id="324" name="Frame324"/>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9710" cy="175260"/>
                      <wp:effectExtent l="0" t="0" r="0" b="0"/>
                      <wp:wrapNone/>
                      <wp:docPr id="325" name="Frame3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372110" cy="175260"/>
                      <wp:effectExtent l="0" t="0" r="0" b="0"/>
                      <wp:wrapNone/>
                      <wp:docPr id="326" name="Frame32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29235" cy="175260"/>
                      <wp:effectExtent l="0" t="0" r="0" b="0"/>
                      <wp:wrapNone/>
                      <wp:docPr id="327" name="Frame32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8" name="Frame3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372110" cy="175260"/>
                      <wp:effectExtent l="0" t="0" r="0" b="0"/>
                      <wp:wrapNone/>
                      <wp:docPr id="329" name="Frame32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29235" cy="175260"/>
                      <wp:effectExtent l="0" t="0" r="0" b="0"/>
                      <wp:wrapNone/>
                      <wp:docPr id="330" name="Frame33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9710" cy="175260"/>
                      <wp:effectExtent l="0" t="0" r="0" b="0"/>
                      <wp:wrapNone/>
                      <wp:docPr id="331" name="Frame3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372110" cy="175260"/>
                      <wp:effectExtent l="0" t="0" r="0" b="0"/>
                      <wp:wrapNone/>
                      <wp:docPr id="332" name="Frame33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29235" cy="175260"/>
                      <wp:effectExtent l="0" t="0" r="0" b="0"/>
                      <wp:wrapNone/>
                      <wp:docPr id="333" name="Frame33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4"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372110" cy="175260"/>
                      <wp:effectExtent l="0" t="0" r="0" b="0"/>
                      <wp:wrapNone/>
                      <wp:docPr id="335" name="Frame33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57810" cy="175260"/>
                      <wp:effectExtent l="0" t="0" r="0" b="0"/>
                      <wp:wrapNone/>
                      <wp:docPr id="336" name="Frame33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r>
      <w:tr>
        <w:trPr/>
        <w:tc>
          <w:tcPr>
            <w:tcW w:w="3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40"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Change</w:t>
            </w:r>
          </w:p>
        </w:tc>
        <w:tc>
          <w:tcPr>
            <w:tcW w:w="3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285"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Change</w:t>
            </w:r>
          </w:p>
        </w:tc>
      </w:tr>
      <w:tr>
        <w:trPr/>
        <w:tc>
          <w:tcPr>
            <w:tcW w:w="3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40"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1"/>
              <w:ind w:left="0" w:right="0" w:hanging="0"/>
              <w:jc w:val="left"/>
              <w:rPr/>
            </w:pPr>
            <w:r>
              <w:rPr/>
              <w:t>​</w:t>
            </w:r>
          </w:p>
        </w:tc>
        <w:tc>
          <w:tcPr>
            <w:tcW w:w="2285"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3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46" w:type="dxa"/>
            <w:tcBorders/>
            <w:vAlign w:val="center"/>
          </w:tcPr>
          <w:p>
            <w:pPr>
              <w:pStyle w:val="TableContents"/>
              <w:bidi w:val="0"/>
              <w:spacing w:before="0" w:after="1"/>
              <w:ind w:left="0" w:right="0" w:hanging="0"/>
              <w:jc w:val="left"/>
              <w:rPr/>
            </w:pPr>
            <w:r>
              <w:rPr/>
              <w:t>​</w:t>
            </w:r>
          </w:p>
        </w:tc>
        <w:tc>
          <w:tcPr>
            <w:tcW w:w="9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46" w:type="dxa"/>
            <w:tcBorders/>
            <w:vAlign w:val="center"/>
          </w:tcPr>
          <w:p>
            <w:pPr>
              <w:pStyle w:val="TableContents"/>
              <w:bidi w:val="0"/>
              <w:spacing w:before="0" w:after="1"/>
              <w:ind w:left="0" w:right="0" w:hanging="0"/>
              <w:jc w:val="left"/>
              <w:rPr/>
            </w:pPr>
            <w:r>
              <w:rPr/>
              <w:t>​</w:t>
            </w:r>
          </w:p>
        </w:tc>
        <w:tc>
          <w:tcPr>
            <w:tcW w:w="9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w:t>
            </w:r>
          </w:p>
        </w:tc>
      </w:tr>
      <w:tr>
        <w:trPr/>
        <w:tc>
          <w:tcPr>
            <w:tcW w:w="3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Units sold</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406" w:type="dxa"/>
            <w:tcBorders/>
            <w:vAlign w:val="center"/>
          </w:tcPr>
          <w:p>
            <w:pPr>
              <w:pStyle w:val="TableContents"/>
              <w:bidi w:val="0"/>
              <w:spacing w:before="0" w:after="1"/>
              <w:ind w:left="0" w:right="0" w:hanging="0"/>
              <w:jc w:val="left"/>
              <w:rPr/>
            </w:pPr>
            <w:r>
              <w:rPr/>
              <w:t>​</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from operations</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c>
          <w:tcPr>
            <w:tcW w:w="406" w:type="dxa"/>
            <w:tcBorders/>
            <w:vAlign w:val="center"/>
          </w:tcPr>
          <w:p>
            <w:pPr>
              <w:pStyle w:val="TableContents"/>
              <w:bidi w:val="0"/>
              <w:spacing w:before="0" w:after="1"/>
              <w:ind w:left="0" w:right="0" w:hanging="0"/>
              <w:jc w:val="left"/>
              <w:rPr/>
            </w:pPr>
            <w:r>
              <w:rPr/>
              <w:t>​</w:t>
            </w:r>
          </w:p>
        </w:tc>
      </w:tr>
    </w:tbl>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The following table presents, for the periods indicated, our selling, general, and administrative (SG&amp;A) costs as a percentage of gross profit. Over time, we believe this ratio provides an enhanced view of our effectiveness in managing these costs given our strategies to enhance our capabilities and improve our value-added product offering and recognizing the higher relative level of SG&amp;A these strategies require. This ratio also mitigates the impact of changing lumber prices. The increase in the ratio of SG&amp;A as a percentage of gross profit from the prior year is primarily due to the impact of weak consumer demand reflecting lower selling prices as well as higher transportation costs, which have reduced our gross profit.</w:t>
      </w:r>
    </w:p>
    <w:tbl>
      <w:tblPr>
        <w:tblW w:w="8661" w:type="dxa"/>
        <w:jc w:val="left"/>
        <w:tblInd w:w="0" w:type="dxa"/>
        <w:tblLayout w:type="fixed"/>
        <w:tblCellMar>
          <w:top w:w="0" w:type="dxa"/>
          <w:left w:w="0" w:type="dxa"/>
          <w:bottom w:w="0" w:type="dxa"/>
          <w:right w:w="0" w:type="dxa"/>
        </w:tblCellMar>
      </w:tblPr>
      <w:tblGrid>
        <w:gridCol w:w="3781"/>
        <w:gridCol w:w="346"/>
        <w:gridCol w:w="781"/>
        <w:gridCol w:w="109"/>
        <w:gridCol w:w="346"/>
        <w:gridCol w:w="781"/>
        <w:gridCol w:w="109"/>
        <w:gridCol w:w="346"/>
        <w:gridCol w:w="781"/>
        <w:gridCol w:w="109"/>
        <w:gridCol w:w="346"/>
        <w:gridCol w:w="826"/>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400935" cy="175260"/>
                      <wp:effectExtent l="0" t="0" r="0" b="0"/>
                      <wp:wrapNone/>
                      <wp:docPr id="337" name="Frame337"/>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8"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95935" cy="175260"/>
                      <wp:effectExtent l="0" t="0" r="0" b="0"/>
                      <wp:wrapNone/>
                      <wp:docPr id="339" name="Frame3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9215" cy="175260"/>
                      <wp:effectExtent l="0" t="0" r="0" b="0"/>
                      <wp:wrapNone/>
                      <wp:docPr id="340" name="Frame3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41"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95935" cy="175260"/>
                      <wp:effectExtent l="0" t="0" r="0" b="0"/>
                      <wp:wrapNone/>
                      <wp:docPr id="342" name="Frame34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9215" cy="175260"/>
                      <wp:effectExtent l="0" t="0" r="0" b="0"/>
                      <wp:wrapNone/>
                      <wp:docPr id="343" name="Frame3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710" cy="175260"/>
                      <wp:effectExtent l="0" t="0" r="0" b="0"/>
                      <wp:wrapNone/>
                      <wp:docPr id="344" name="Frame3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95935" cy="175260"/>
                      <wp:effectExtent l="0" t="0" r="0" b="0"/>
                      <wp:wrapNone/>
                      <wp:docPr id="345" name="Frame3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9215" cy="175260"/>
                      <wp:effectExtent l="0" t="0" r="0" b="0"/>
                      <wp:wrapNone/>
                      <wp:docPr id="346" name="Frame3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47" name="Frame3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24510" cy="175260"/>
                      <wp:effectExtent l="0" t="0" r="0" b="0"/>
                      <wp:wrapNone/>
                      <wp:docPr id="348" name="Frame34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62" w:type="dxa"/>
            <w:gridSpan w:val="4"/>
            <w:tcBorders/>
            <w:vAlign w:val="center"/>
          </w:tcPr>
          <w:p>
            <w:pPr>
              <w:pStyle w:val="TableContents"/>
              <w:bidi w:val="0"/>
              <w:spacing w:before="0" w:after="1"/>
              <w:ind w:left="0" w:right="0" w:hanging="0"/>
              <w:jc w:val="center"/>
              <w:rPr/>
            </w:pPr>
            <w:r>
              <w:rPr/>
              <w:t>​</w:t>
            </w:r>
          </w:p>
        </w:tc>
      </w:tr>
      <w:tr>
        <w:trPr/>
        <w:tc>
          <w:tcPr>
            <w:tcW w:w="3781" w:type="dxa"/>
            <w:tcBorders/>
            <w:vAlign w:val="center"/>
          </w:tcPr>
          <w:p>
            <w:pPr>
              <w:pStyle w:val="TableContents"/>
              <w:bidi w:val="0"/>
              <w:spacing w:before="0" w:after="1"/>
              <w:ind w:left="0" w:right="0" w:hanging="0"/>
              <w:jc w:val="left"/>
              <w:rPr/>
            </w:pPr>
            <w:r>
              <w:rPr/>
              <w:t>​</w:t>
            </w:r>
          </w:p>
        </w:tc>
        <w:tc>
          <w:tcPr>
            <w:tcW w:w="2363"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09" w:type="dxa"/>
            <w:tcBorders/>
            <w:vAlign w:val="center"/>
          </w:tcPr>
          <w:p>
            <w:pPr>
              <w:pStyle w:val="TableContents"/>
              <w:bidi w:val="0"/>
              <w:spacing w:before="0" w:after="1"/>
              <w:ind w:left="0" w:right="0" w:hanging="0"/>
              <w:jc w:val="center"/>
              <w:rPr/>
            </w:pPr>
            <w:r>
              <w:rPr/>
              <w:t>​</w:t>
            </w:r>
          </w:p>
        </w:tc>
        <w:tc>
          <w:tcPr>
            <w:tcW w:w="2408"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3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1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1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1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w:t>
            </w:r>
          </w:p>
        </w:tc>
      </w:tr>
      <w:tr>
        <w:trPr/>
        <w:tc>
          <w:tcPr>
            <w:tcW w:w="3781" w:type="dxa"/>
            <w:tcBorders/>
            <w:vAlign w:val="center"/>
          </w:tcPr>
          <w:p>
            <w:pPr>
              <w:pStyle w:val="TableContents"/>
              <w:bidi w:val="0"/>
              <w:spacing w:before="0" w:after="1"/>
              <w:ind w:left="0" w:right="0" w:hanging="0"/>
              <w:jc w:val="left"/>
              <w:rPr/>
            </w:pPr>
            <w:r>
              <w:rPr/>
              <w:t>​</w:t>
            </w:r>
          </w:p>
        </w:tc>
        <w:tc>
          <w:tcPr>
            <w:tcW w:w="34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center"/>
              <w:rPr/>
            </w:pPr>
            <w:r>
              <w:rPr/>
              <w:t>​</w:t>
            </w:r>
          </w:p>
        </w:tc>
        <w:tc>
          <w:tcPr>
            <w:tcW w:w="34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34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center"/>
              <w:rPr/>
            </w:pPr>
            <w:r>
              <w:rPr/>
              <w:t>​</w:t>
            </w:r>
          </w:p>
        </w:tc>
        <w:tc>
          <w:tcPr>
            <w:tcW w:w="34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290,235</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312,734</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526,124</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580,930</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185,720</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184,995</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358,603</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361,249</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SG&amp;A as percentage of gross profit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62.2%</w:t>
            </w:r>
          </w:p>
        </w:tc>
      </w:tr>
    </w:tbl>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Operating Results by Segment: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business segments consist of Retail, Packaging and Construction, and align with the end markets we serve. Among other advantages, this structure allows for a specialized and consistent sales approach, more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The exception to this market-centered reporting and management structure is our International segment, which comprises our packaging operations in Mexico, Canada, Spain, India, and Australia and sales and buying offices in other parts of the world. Our International segment and Ardellis (our insurance captive) are included in “All Other” in the table below. The “Corporate” segment includes purchasing, transportation, corporate ventures, and administrative functions that serve our operating segments. Operating results of Corporate primarily consists of over (under) allocated costs and net sales to external customers initiated by UFP Purchasing, which manages supplier relationships and purchases lumber and other materials, UFP Transportation, which owns, leases and operates transportation equipment, and UFP Real Estate, which owns and leases real estate. Inter-company lease and service charges are assessed to our operating segments for the use of these assets and services at fair market value rates.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following tables present our operating results, for the periods indicated, by segment (in thousands). </w:t>
      </w:r>
    </w:p>
    <w:tbl>
      <w:tblPr>
        <w:tblW w:w="10205" w:type="dxa"/>
        <w:jc w:val="left"/>
        <w:tblInd w:w="0" w:type="dxa"/>
        <w:tblLayout w:type="fixed"/>
        <w:tblCellMar>
          <w:top w:w="0" w:type="dxa"/>
          <w:left w:w="0" w:type="dxa"/>
          <w:bottom w:w="0" w:type="dxa"/>
          <w:right w:w="0" w:type="dxa"/>
        </w:tblCellMar>
      </w:tblPr>
      <w:tblGrid>
        <w:gridCol w:w="2600"/>
        <w:gridCol w:w="346"/>
        <w:gridCol w:w="211"/>
        <w:gridCol w:w="781"/>
        <w:gridCol w:w="346"/>
        <w:gridCol w:w="211"/>
        <w:gridCol w:w="781"/>
        <w:gridCol w:w="346"/>
        <w:gridCol w:w="223"/>
        <w:gridCol w:w="828"/>
        <w:gridCol w:w="109"/>
        <w:gridCol w:w="211"/>
        <w:gridCol w:w="676"/>
        <w:gridCol w:w="109"/>
        <w:gridCol w:w="211"/>
        <w:gridCol w:w="682"/>
        <w:gridCol w:w="346"/>
        <w:gridCol w:w="211"/>
        <w:gridCol w:w="977"/>
      </w:tblGrid>
      <w:tr>
        <w:trPr/>
        <w:tc>
          <w:tcPr>
            <w:tcW w:w="2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651000" cy="175260"/>
                      <wp:effectExtent l="0" t="0" r="0" b="0"/>
                      <wp:wrapNone/>
                      <wp:docPr id="349" name="Frame349"/>
                      <a:graphic xmlns:a="http://schemas.openxmlformats.org/drawingml/2006/main">
                        <a:graphicData uri="http://schemas.microsoft.com/office/word/2010/wordprocessingShape">
                          <wps:wsp>
                            <wps:cNvSpPr txBox="1"/>
                            <wps:spPr>
                              <a:xfrm>
                                <a:off x="0" y="0"/>
                                <a:ext cx="1651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50"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3985" cy="175260"/>
                      <wp:effectExtent l="0" t="0" r="0" b="0"/>
                      <wp:wrapNone/>
                      <wp:docPr id="351" name="Frame3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495935" cy="175260"/>
                      <wp:effectExtent l="0" t="0" r="0" b="0"/>
                      <wp:wrapNone/>
                      <wp:docPr id="352" name="Frame35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53" name="Frame3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33985" cy="175260"/>
                      <wp:effectExtent l="0" t="0" r="0" b="0"/>
                      <wp:wrapNone/>
                      <wp:docPr id="354" name="Frame3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95935" cy="175260"/>
                      <wp:effectExtent l="0" t="0" r="0" b="0"/>
                      <wp:wrapNone/>
                      <wp:docPr id="355" name="Frame35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6"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41605" cy="175260"/>
                      <wp:effectExtent l="0" t="0" r="0" b="0"/>
                      <wp:wrapNone/>
                      <wp:docPr id="357" name="Frame357"/>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525780" cy="175260"/>
                      <wp:effectExtent l="0" t="0" r="0" b="0"/>
                      <wp:wrapNone/>
                      <wp:docPr id="358" name="Frame358"/>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9215" cy="175260"/>
                      <wp:effectExtent l="0" t="0" r="0" b="0"/>
                      <wp:wrapNone/>
                      <wp:docPr id="359" name="Frame3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3985" cy="175260"/>
                      <wp:effectExtent l="0" t="0" r="0" b="0"/>
                      <wp:wrapNone/>
                      <wp:docPr id="360" name="Frame3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429260" cy="175260"/>
                      <wp:effectExtent l="0" t="0" r="0" b="0"/>
                      <wp:wrapNone/>
                      <wp:docPr id="361" name="Frame3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9215" cy="175260"/>
                      <wp:effectExtent l="0" t="0" r="0" b="0"/>
                      <wp:wrapNone/>
                      <wp:docPr id="362" name="Frame3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33985" cy="175260"/>
                      <wp:effectExtent l="0" t="0" r="0" b="0"/>
                      <wp:wrapNone/>
                      <wp:docPr id="363" name="Frame3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433070" cy="175260"/>
                      <wp:effectExtent l="0" t="0" r="0" b="0"/>
                      <wp:wrapNone/>
                      <wp:docPr id="364" name="Frame364"/>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9710" cy="175260"/>
                      <wp:effectExtent l="0" t="0" r="0" b="0"/>
                      <wp:wrapNone/>
                      <wp:docPr id="365" name="Frame3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33985" cy="175260"/>
                      <wp:effectExtent l="0" t="0" r="0" b="0"/>
                      <wp:wrapNone/>
                      <wp:docPr id="366" name="Frame3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20395" cy="175260"/>
                      <wp:effectExtent l="0" t="0" r="0" b="0"/>
                      <wp:wrapNone/>
                      <wp:docPr id="367" name="Frame367"/>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259" w:type="dxa"/>
            <w:gridSpan w:val="17"/>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27, 2026</w:t>
            </w:r>
          </w:p>
        </w:tc>
      </w:tr>
      <w:tr>
        <w:trPr/>
        <w:tc>
          <w:tcPr>
            <w:tcW w:w="260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5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8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188" w:type="dxa"/>
            <w:gridSpan w:val="2"/>
            <w:tcBorders/>
            <w:vAlign w:val="center"/>
          </w:tcPr>
          <w:p>
            <w:pPr>
              <w:pStyle w:val="TableContents"/>
              <w:bidi w:val="0"/>
              <w:spacing w:before="0" w:after="1"/>
              <w:ind w:left="0" w:right="0" w:hanging="0"/>
              <w:jc w:val="center"/>
              <w:rPr/>
            </w:pPr>
            <w:r>
              <w:rPr/>
              <w:t>​</w:t>
            </w:r>
          </w:p>
        </w:tc>
      </w:tr>
      <w:tr>
        <w:trPr/>
        <w:tc>
          <w:tcPr>
            <w:tcW w:w="26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Packaging</w:t>
            </w:r>
          </w:p>
        </w:tc>
        <w:tc>
          <w:tcPr>
            <w:tcW w:w="346" w:type="dxa"/>
            <w:tcBorders/>
            <w:vAlign w:val="center"/>
          </w:tcPr>
          <w:p>
            <w:pPr>
              <w:pStyle w:val="TableContents"/>
              <w:bidi w:val="0"/>
              <w:spacing w:before="0" w:after="1"/>
              <w:ind w:left="0" w:right="0" w:hanging="0"/>
              <w:jc w:val="left"/>
              <w:rPr/>
            </w:pPr>
            <w:r>
              <w:rPr/>
              <w:t>​</w:t>
            </w:r>
          </w:p>
        </w:tc>
        <w:tc>
          <w:tcPr>
            <w:tcW w:w="1051"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109" w:type="dxa"/>
            <w:tcBorders/>
            <w:vAlign w:val="center"/>
          </w:tcPr>
          <w:p>
            <w:pPr>
              <w:pStyle w:val="TableContents"/>
              <w:bidi w:val="0"/>
              <w:spacing w:before="0" w:after="1"/>
              <w:ind w:left="0" w:right="0" w:hanging="0"/>
              <w:jc w:val="center"/>
              <w:rPr/>
            </w:pPr>
            <w:r>
              <w:rPr/>
              <w:t>​</w:t>
            </w:r>
          </w:p>
        </w:tc>
        <w:tc>
          <w:tcPr>
            <w:tcW w:w="893"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1"/>
              <w:ind w:left="0" w:right="0" w:hanging="0"/>
              <w:jc w:val="center"/>
              <w:rPr/>
            </w:pPr>
            <w:r>
              <w:rPr/>
              <w:t>​</w:t>
            </w:r>
          </w:p>
        </w:tc>
        <w:tc>
          <w:tcPr>
            <w:tcW w:w="1188"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818,743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458,245</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526,777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76,927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1,882,937</w:t>
            </w:r>
          </w:p>
        </w:tc>
      </w:tr>
      <w:tr>
        <w:trPr/>
        <w:tc>
          <w:tcPr>
            <w:tcW w:w="2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704,096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397,886</w:t>
            </w:r>
          </w:p>
        </w:tc>
        <w:tc>
          <w:tcPr>
            <w:tcW w:w="346" w:type="dxa"/>
            <w:tcBorders/>
            <w:vAlign w:val="center"/>
          </w:tcPr>
          <w:p>
            <w:pPr>
              <w:pStyle w:val="TableContents"/>
              <w:bidi w:val="0"/>
              <w:spacing w:before="0" w:after="1"/>
              <w:ind w:left="0" w:right="0" w:hanging="0"/>
              <w:jc w:val="left"/>
              <w:rPr/>
            </w:pPr>
            <w:r>
              <w:rPr/>
              <w:t>​</w:t>
            </w:r>
          </w:p>
        </w:tc>
        <w:tc>
          <w:tcPr>
            <w:tcW w:w="223"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28"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436,449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64,058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682"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77"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1,592,702</w:t>
            </w:r>
          </w:p>
        </w:tc>
      </w:tr>
      <w:tr>
        <w:trPr/>
        <w:tc>
          <w:tcPr>
            <w:tcW w:w="2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60,359</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90,328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12,869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290,235</w:t>
            </w:r>
          </w:p>
        </w:tc>
      </w:tr>
      <w:tr>
        <w:trPr/>
        <w:tc>
          <w:tcPr>
            <w:tcW w:w="2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administrative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62,717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45,580</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63,930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10,088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185,720</w:t>
            </w:r>
          </w:p>
        </w:tc>
      </w:tr>
      <w:tr>
        <w:trPr/>
        <w:tc>
          <w:tcPr>
            <w:tcW w:w="2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(gain) on disposition and impairment of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r>
      <w:tr>
        <w:trPr/>
        <w:tc>
          <w:tcPr>
            <w:tcW w:w="2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losses,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3"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828"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682"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77"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797</w:t>
            </w:r>
          </w:p>
        </w:tc>
      </w:tr>
      <w:tr>
        <w:trPr/>
        <w:tc>
          <w:tcPr>
            <w:tcW w:w="2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14,673</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26,232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single" w:sz="12"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103,416</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521"/>
        <w:gridCol w:w="346"/>
        <w:gridCol w:w="211"/>
        <w:gridCol w:w="781"/>
        <w:gridCol w:w="346"/>
        <w:gridCol w:w="211"/>
        <w:gridCol w:w="781"/>
        <w:gridCol w:w="346"/>
        <w:gridCol w:w="223"/>
        <w:gridCol w:w="828"/>
        <w:gridCol w:w="109"/>
        <w:gridCol w:w="211"/>
        <w:gridCol w:w="676"/>
        <w:gridCol w:w="109"/>
        <w:gridCol w:w="211"/>
        <w:gridCol w:w="761"/>
        <w:gridCol w:w="346"/>
        <w:gridCol w:w="211"/>
        <w:gridCol w:w="977"/>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600835" cy="175260"/>
                      <wp:effectExtent l="0" t="0" r="0" b="0"/>
                      <wp:wrapNone/>
                      <wp:docPr id="368" name="Frame368"/>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69"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33985" cy="175260"/>
                      <wp:effectExtent l="0" t="0" r="0" b="0"/>
                      <wp:wrapNone/>
                      <wp:docPr id="370" name="Frame3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495935" cy="175260"/>
                      <wp:effectExtent l="0" t="0" r="0" b="0"/>
                      <wp:wrapNone/>
                      <wp:docPr id="371" name="Frame3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72"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3985" cy="175260"/>
                      <wp:effectExtent l="0" t="0" r="0" b="0"/>
                      <wp:wrapNone/>
                      <wp:docPr id="373" name="Frame3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495935" cy="175260"/>
                      <wp:effectExtent l="0" t="0" r="0" b="0"/>
                      <wp:wrapNone/>
                      <wp:docPr id="374" name="Frame3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9710" cy="175260"/>
                      <wp:effectExtent l="0" t="0" r="0" b="0"/>
                      <wp:wrapNone/>
                      <wp:docPr id="375" name="Frame3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41605" cy="175260"/>
                      <wp:effectExtent l="0" t="0" r="0" b="0"/>
                      <wp:wrapNone/>
                      <wp:docPr id="376" name="Frame37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525780" cy="175260"/>
                      <wp:effectExtent l="0" t="0" r="0" b="0"/>
                      <wp:wrapNone/>
                      <wp:docPr id="377" name="Frame377"/>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9215" cy="175260"/>
                      <wp:effectExtent l="0" t="0" r="0" b="0"/>
                      <wp:wrapNone/>
                      <wp:docPr id="378" name="Frame3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33985" cy="175260"/>
                      <wp:effectExtent l="0" t="0" r="0" b="0"/>
                      <wp:wrapNone/>
                      <wp:docPr id="379" name="Frame3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429260" cy="175260"/>
                      <wp:effectExtent l="0" t="0" r="0" b="0"/>
                      <wp:wrapNone/>
                      <wp:docPr id="380" name="Frame38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9215" cy="175260"/>
                      <wp:effectExtent l="0" t="0" r="0" b="0"/>
                      <wp:wrapNone/>
                      <wp:docPr id="381" name="Frame3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3985" cy="175260"/>
                      <wp:effectExtent l="0" t="0" r="0" b="0"/>
                      <wp:wrapNone/>
                      <wp:docPr id="382" name="Frame3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483235" cy="175260"/>
                      <wp:effectExtent l="0" t="0" r="0" b="0"/>
                      <wp:wrapNone/>
                      <wp:docPr id="383" name="Frame383"/>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19710" cy="175260"/>
                      <wp:effectExtent l="0" t="0" r="0" b="0"/>
                      <wp:wrapNone/>
                      <wp:docPr id="384" name="Frame3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33985" cy="175260"/>
                      <wp:effectExtent l="0" t="0" r="0" b="0"/>
                      <wp:wrapNone/>
                      <wp:docPr id="385" name="Frame3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20395" cy="175260"/>
                      <wp:effectExtent l="0" t="0" r="0" b="0"/>
                      <wp:wrapNone/>
                      <wp:docPr id="386" name="Frame386"/>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338" w:type="dxa"/>
            <w:gridSpan w:val="17"/>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28, 2025</w:t>
            </w:r>
          </w:p>
        </w:tc>
      </w:tr>
      <w:tr>
        <w:trPr/>
        <w:tc>
          <w:tcPr>
            <w:tcW w:w="2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5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188" w:type="dxa"/>
            <w:gridSpan w:val="2"/>
            <w:tcBorders/>
            <w:vAlign w:val="center"/>
          </w:tcPr>
          <w:p>
            <w:pPr>
              <w:pStyle w:val="TableContents"/>
              <w:bidi w:val="0"/>
              <w:spacing w:before="0" w:after="1"/>
              <w:ind w:left="0" w:right="0" w:hanging="0"/>
              <w:jc w:val="center"/>
              <w:rPr/>
            </w:pPr>
            <w:r>
              <w:rPr/>
              <w:t>​</w:t>
            </w:r>
          </w:p>
        </w:tc>
      </w:tr>
      <w:tr>
        <w:trPr/>
        <w:tc>
          <w:tcPr>
            <w:tcW w:w="2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Packaging</w:t>
            </w:r>
          </w:p>
        </w:tc>
        <w:tc>
          <w:tcPr>
            <w:tcW w:w="346" w:type="dxa"/>
            <w:tcBorders/>
            <w:vAlign w:val="center"/>
          </w:tcPr>
          <w:p>
            <w:pPr>
              <w:pStyle w:val="TableContents"/>
              <w:bidi w:val="0"/>
              <w:spacing w:before="0" w:after="1"/>
              <w:ind w:left="0" w:right="0" w:hanging="0"/>
              <w:jc w:val="left"/>
              <w:rPr/>
            </w:pPr>
            <w:r>
              <w:rPr/>
              <w:t>​</w:t>
            </w:r>
          </w:p>
        </w:tc>
        <w:tc>
          <w:tcPr>
            <w:tcW w:w="1051"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109" w:type="dxa"/>
            <w:tcBorders/>
            <w:vAlign w:val="center"/>
          </w:tcPr>
          <w:p>
            <w:pPr>
              <w:pStyle w:val="TableContents"/>
              <w:bidi w:val="0"/>
              <w:spacing w:before="0" w:after="1"/>
              <w:ind w:left="0" w:right="0" w:hanging="0"/>
              <w:jc w:val="center"/>
              <w:rPr/>
            </w:pPr>
            <w:r>
              <w:rPr/>
              <w:t>​</w:t>
            </w:r>
          </w:p>
        </w:tc>
        <w:tc>
          <w:tcPr>
            <w:tcW w:w="97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1"/>
              <w:ind w:left="0" w:right="0" w:hanging="0"/>
              <w:jc w:val="center"/>
              <w:rPr/>
            </w:pPr>
            <w:r>
              <w:rPr/>
              <w:t>​</w:t>
            </w:r>
          </w:p>
        </w:tc>
        <w:tc>
          <w:tcPr>
            <w:tcW w:w="1188"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788,224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428,669</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551,590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1,835,374</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674,484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358,087</w:t>
            </w:r>
          </w:p>
        </w:tc>
        <w:tc>
          <w:tcPr>
            <w:tcW w:w="346" w:type="dxa"/>
            <w:tcBorders/>
            <w:vAlign w:val="center"/>
          </w:tcPr>
          <w:p>
            <w:pPr>
              <w:pStyle w:val="TableContents"/>
              <w:bidi w:val="0"/>
              <w:spacing w:before="0" w:after="1"/>
              <w:ind w:left="0" w:right="0" w:hanging="0"/>
              <w:jc w:val="left"/>
              <w:rPr/>
            </w:pPr>
            <w:r>
              <w:rPr/>
              <w:t>​</w:t>
            </w:r>
          </w:p>
        </w:tc>
        <w:tc>
          <w:tcPr>
            <w:tcW w:w="223"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28"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451,401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51,789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6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(13,121)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77"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1,522,640</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113,740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70,582</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100,189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13,237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312,734</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administrative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43,148</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63,727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10,398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9,080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184,995</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(gain) on disposition and impairment of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1,225</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3,830</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losses (gains),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3"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828"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6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77"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(loss)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53,479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26,209</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36,060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single" w:sz="12"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123,091</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tbl>
      <w:tblPr>
        <w:tblW w:w="10205" w:type="dxa"/>
        <w:jc w:val="left"/>
        <w:tblInd w:w="0" w:type="dxa"/>
        <w:tblLayout w:type="fixed"/>
        <w:tblCellMar>
          <w:top w:w="0" w:type="dxa"/>
          <w:left w:w="0" w:type="dxa"/>
          <w:bottom w:w="0" w:type="dxa"/>
          <w:right w:w="0" w:type="dxa"/>
        </w:tblCellMar>
      </w:tblPr>
      <w:tblGrid>
        <w:gridCol w:w="3203"/>
        <w:gridCol w:w="109"/>
        <w:gridCol w:w="211"/>
        <w:gridCol w:w="931"/>
        <w:gridCol w:w="109"/>
        <w:gridCol w:w="211"/>
        <w:gridCol w:w="781"/>
        <w:gridCol w:w="109"/>
        <w:gridCol w:w="223"/>
        <w:gridCol w:w="828"/>
        <w:gridCol w:w="109"/>
        <w:gridCol w:w="211"/>
        <w:gridCol w:w="781"/>
        <w:gridCol w:w="109"/>
        <w:gridCol w:w="211"/>
        <w:gridCol w:w="772"/>
        <w:gridCol w:w="109"/>
        <w:gridCol w:w="211"/>
        <w:gridCol w:w="977"/>
      </w:tblGrid>
      <w:tr>
        <w:trPr/>
        <w:tc>
          <w:tcPr>
            <w:tcW w:w="3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33905" cy="175260"/>
                      <wp:effectExtent l="0" t="0" r="0" b="0"/>
                      <wp:wrapNone/>
                      <wp:docPr id="387" name="Frame387"/>
                      <a:graphic xmlns:a="http://schemas.openxmlformats.org/drawingml/2006/main">
                        <a:graphicData uri="http://schemas.microsoft.com/office/word/2010/wordprocessingShape">
                          <wps:wsp>
                            <wps:cNvSpPr txBox="1"/>
                            <wps:spPr>
                              <a:xfrm>
                                <a:off x="0" y="0"/>
                                <a:ext cx="2033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9215" cy="175260"/>
                      <wp:effectExtent l="0" t="0" r="0" b="0"/>
                      <wp:wrapNone/>
                      <wp:docPr id="388" name="Frame3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33985" cy="175260"/>
                      <wp:effectExtent l="0" t="0" r="0" b="0"/>
                      <wp:wrapNone/>
                      <wp:docPr id="389" name="Frame3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591185" cy="175260"/>
                      <wp:effectExtent l="0" t="0" r="0" b="0"/>
                      <wp:wrapNone/>
                      <wp:docPr id="390" name="Frame39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9215" cy="175260"/>
                      <wp:effectExtent l="0" t="0" r="0" b="0"/>
                      <wp:wrapNone/>
                      <wp:docPr id="391" name="Frame3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33985" cy="175260"/>
                      <wp:effectExtent l="0" t="0" r="0" b="0"/>
                      <wp:wrapNone/>
                      <wp:docPr id="392" name="Frame3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495935" cy="175260"/>
                      <wp:effectExtent l="0" t="0" r="0" b="0"/>
                      <wp:wrapNone/>
                      <wp:docPr id="393" name="Frame39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9215" cy="175260"/>
                      <wp:effectExtent l="0" t="0" r="0" b="0"/>
                      <wp:wrapNone/>
                      <wp:docPr id="394" name="Frame3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41605" cy="175260"/>
                      <wp:effectExtent l="0" t="0" r="0" b="0"/>
                      <wp:wrapNone/>
                      <wp:docPr id="395" name="Frame395"/>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525780" cy="175260"/>
                      <wp:effectExtent l="0" t="0" r="0" b="0"/>
                      <wp:wrapNone/>
                      <wp:docPr id="396" name="Frame396"/>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9215" cy="175260"/>
                      <wp:effectExtent l="0" t="0" r="0" b="0"/>
                      <wp:wrapNone/>
                      <wp:docPr id="397" name="Frame3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3985" cy="175260"/>
                      <wp:effectExtent l="0" t="0" r="0" b="0"/>
                      <wp:wrapNone/>
                      <wp:docPr id="398" name="Frame3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95935" cy="175260"/>
                      <wp:effectExtent l="0" t="0" r="0" b="0"/>
                      <wp:wrapNone/>
                      <wp:docPr id="399" name="Frame39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9215" cy="175260"/>
                      <wp:effectExtent l="0" t="0" r="0" b="0"/>
                      <wp:wrapNone/>
                      <wp:docPr id="400" name="Frame4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33985" cy="175260"/>
                      <wp:effectExtent l="0" t="0" r="0" b="0"/>
                      <wp:wrapNone/>
                      <wp:docPr id="401" name="Frame4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490220" cy="175260"/>
                      <wp:effectExtent l="0" t="0" r="0" b="0"/>
                      <wp:wrapNone/>
                      <wp:docPr id="402" name="Frame402"/>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9215" cy="175260"/>
                      <wp:effectExtent l="0" t="0" r="0" b="0"/>
                      <wp:wrapNone/>
                      <wp:docPr id="403" name="Frame4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85" cy="175260"/>
                      <wp:effectExtent l="0" t="0" r="0" b="0"/>
                      <wp:wrapNone/>
                      <wp:docPr id="404" name="Frame4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20395" cy="175260"/>
                      <wp:effectExtent l="0" t="0" r="0" b="0"/>
                      <wp:wrapNone/>
                      <wp:docPr id="405" name="Frame405"/>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0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893" w:type="dxa"/>
            <w:gridSpan w:val="17"/>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27, 2026</w:t>
            </w:r>
          </w:p>
        </w:tc>
      </w:tr>
      <w:tr>
        <w:trPr/>
        <w:tc>
          <w:tcPr>
            <w:tcW w:w="320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72"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188" w:type="dxa"/>
            <w:gridSpan w:val="2"/>
            <w:tcBorders/>
            <w:vAlign w:val="center"/>
          </w:tcPr>
          <w:p>
            <w:pPr>
              <w:pStyle w:val="TableContents"/>
              <w:bidi w:val="0"/>
              <w:spacing w:before="0" w:after="1"/>
              <w:ind w:left="0" w:right="0" w:hanging="0"/>
              <w:jc w:val="center"/>
              <w:rPr/>
            </w:pPr>
            <w:r>
              <w:rPr/>
              <w:t>​</w:t>
            </w:r>
          </w:p>
        </w:tc>
      </w:tr>
      <w:tr>
        <w:trPr/>
        <w:tc>
          <w:tcPr>
            <w:tcW w:w="320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Packaging</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109" w:type="dxa"/>
            <w:tcBorders/>
            <w:vAlign w:val="center"/>
          </w:tcPr>
          <w:p>
            <w:pPr>
              <w:pStyle w:val="TableContents"/>
              <w:bidi w:val="0"/>
              <w:spacing w:before="0" w:after="1"/>
              <w:ind w:left="0" w:right="0" w:hanging="0"/>
              <w:jc w:val="center"/>
              <w:rPr/>
            </w:pPr>
            <w:r>
              <w:rPr/>
              <w:t>​</w:t>
            </w:r>
          </w:p>
        </w:tc>
        <w:tc>
          <w:tcPr>
            <w:tcW w:w="983"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109" w:type="dxa"/>
            <w:tcBorders/>
            <w:vAlign w:val="center"/>
          </w:tcPr>
          <w:p>
            <w:pPr>
              <w:pStyle w:val="TableContents"/>
              <w:bidi w:val="0"/>
              <w:spacing w:before="0" w:after="1"/>
              <w:ind w:left="0" w:right="0" w:hanging="0"/>
              <w:jc w:val="center"/>
              <w:rPr/>
            </w:pPr>
            <w:r>
              <w:rPr/>
              <w:t>​</w:t>
            </w:r>
          </w:p>
        </w:tc>
        <w:tc>
          <w:tcPr>
            <w:tcW w:w="1188"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1,349,919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852,338</w:t>
            </w:r>
          </w:p>
        </w:tc>
        <w:tc>
          <w:tcPr>
            <w:tcW w:w="109"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992,290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145,432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3,344,204</w:t>
            </w:r>
          </w:p>
        </w:tc>
      </w:tr>
      <w:tr>
        <w:trPr/>
        <w:tc>
          <w:tcPr>
            <w:tcW w:w="320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1,154,710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731,631</w:t>
            </w:r>
          </w:p>
        </w:tc>
        <w:tc>
          <w:tcPr>
            <w:tcW w:w="109" w:type="dxa"/>
            <w:tcBorders/>
            <w:vAlign w:val="center"/>
          </w:tcPr>
          <w:p>
            <w:pPr>
              <w:pStyle w:val="TableContents"/>
              <w:bidi w:val="0"/>
              <w:spacing w:before="0" w:after="1"/>
              <w:ind w:left="0" w:right="0" w:hanging="0"/>
              <w:jc w:val="left"/>
              <w:rPr/>
            </w:pPr>
            <w:r>
              <w:rPr/>
              <w:t>​</w:t>
            </w:r>
          </w:p>
        </w:tc>
        <w:tc>
          <w:tcPr>
            <w:tcW w:w="223"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28"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824,345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120,840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72"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(13,446)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77"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2,818,080</w:t>
            </w:r>
          </w:p>
        </w:tc>
      </w:tr>
      <w:tr>
        <w:trPr/>
        <w:tc>
          <w:tcPr>
            <w:tcW w:w="32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195,209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120,707</w:t>
            </w:r>
          </w:p>
        </w:tc>
        <w:tc>
          <w:tcPr>
            <w:tcW w:w="109"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167,945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24,592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17,671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526,124</w:t>
            </w:r>
          </w:p>
        </w:tc>
      </w:tr>
      <w:tr>
        <w:trPr/>
        <w:tc>
          <w:tcPr>
            <w:tcW w:w="320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administrative expenses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118,763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90,783</w:t>
            </w:r>
          </w:p>
        </w:tc>
        <w:tc>
          <w:tcPr>
            <w:tcW w:w="109"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125,756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19,066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358,603</w:t>
            </w:r>
          </w:p>
        </w:tc>
      </w:tr>
      <w:tr>
        <w:trPr/>
        <w:tc>
          <w:tcPr>
            <w:tcW w:w="32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(gain) on disposition and impairment of 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109"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(1,350)</w:t>
            </w:r>
          </w:p>
        </w:tc>
      </w:tr>
      <w:tr>
        <w:trPr/>
        <w:tc>
          <w:tcPr>
            <w:tcW w:w="320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losses, net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3"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828"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72"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77"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1,374</w:t>
            </w:r>
          </w:p>
        </w:tc>
      </w:tr>
      <w:tr>
        <w:trPr/>
        <w:tc>
          <w:tcPr>
            <w:tcW w:w="32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from operations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74,139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29,988</w:t>
            </w:r>
          </w:p>
        </w:tc>
        <w:tc>
          <w:tcPr>
            <w:tcW w:w="109"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41,587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16,681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single" w:sz="12"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167,497</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113"/>
        <w:gridCol w:w="109"/>
        <w:gridCol w:w="211"/>
        <w:gridCol w:w="931"/>
        <w:gridCol w:w="109"/>
        <w:gridCol w:w="211"/>
        <w:gridCol w:w="781"/>
        <w:gridCol w:w="109"/>
        <w:gridCol w:w="211"/>
        <w:gridCol w:w="931"/>
        <w:gridCol w:w="109"/>
        <w:gridCol w:w="211"/>
        <w:gridCol w:w="781"/>
        <w:gridCol w:w="109"/>
        <w:gridCol w:w="211"/>
        <w:gridCol w:w="771"/>
        <w:gridCol w:w="109"/>
        <w:gridCol w:w="211"/>
        <w:gridCol w:w="977"/>
      </w:tblGrid>
      <w:tr>
        <w:trPr/>
        <w:tc>
          <w:tcPr>
            <w:tcW w:w="3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976755" cy="175260"/>
                      <wp:effectExtent l="0" t="0" r="0" b="0"/>
                      <wp:wrapNone/>
                      <wp:docPr id="406" name="Frame406"/>
                      <a:graphic xmlns:a="http://schemas.openxmlformats.org/drawingml/2006/main">
                        <a:graphicData uri="http://schemas.microsoft.com/office/word/2010/wordprocessingShape">
                          <wps:wsp>
                            <wps:cNvSpPr txBox="1"/>
                            <wps:spPr>
                              <a:xfrm>
                                <a:off x="0" y="0"/>
                                <a:ext cx="1976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9215" cy="175260"/>
                      <wp:effectExtent l="0" t="0" r="0" b="0"/>
                      <wp:wrapNone/>
                      <wp:docPr id="407" name="Frame4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33985" cy="175260"/>
                      <wp:effectExtent l="0" t="0" r="0" b="0"/>
                      <wp:wrapNone/>
                      <wp:docPr id="408" name="Frame4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591185" cy="175260"/>
                      <wp:effectExtent l="0" t="0" r="0" b="0"/>
                      <wp:wrapNone/>
                      <wp:docPr id="409" name="Frame40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9215" cy="175260"/>
                      <wp:effectExtent l="0" t="0" r="0" b="0"/>
                      <wp:wrapNone/>
                      <wp:docPr id="410" name="Frame4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33985" cy="175260"/>
                      <wp:effectExtent l="0" t="0" r="0" b="0"/>
                      <wp:wrapNone/>
                      <wp:docPr id="411" name="Frame4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495935" cy="175260"/>
                      <wp:effectExtent l="0" t="0" r="0" b="0"/>
                      <wp:wrapNone/>
                      <wp:docPr id="412" name="Frame4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9215" cy="175260"/>
                      <wp:effectExtent l="0" t="0" r="0" b="0"/>
                      <wp:wrapNone/>
                      <wp:docPr id="413" name="Frame4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33985" cy="175260"/>
                      <wp:effectExtent l="0" t="0" r="0" b="0"/>
                      <wp:wrapNone/>
                      <wp:docPr id="414" name="Frame4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591185" cy="175260"/>
                      <wp:effectExtent l="0" t="0" r="0" b="0"/>
                      <wp:wrapNone/>
                      <wp:docPr id="415" name="Frame41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9215" cy="175260"/>
                      <wp:effectExtent l="0" t="0" r="0" b="0"/>
                      <wp:wrapNone/>
                      <wp:docPr id="416" name="Frame4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33985" cy="175260"/>
                      <wp:effectExtent l="0" t="0" r="0" b="0"/>
                      <wp:wrapNone/>
                      <wp:docPr id="417" name="Frame4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495935" cy="175260"/>
                      <wp:effectExtent l="0" t="0" r="0" b="0"/>
                      <wp:wrapNone/>
                      <wp:docPr id="418" name="Frame4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9215" cy="175260"/>
                      <wp:effectExtent l="0" t="0" r="0" b="0"/>
                      <wp:wrapNone/>
                      <wp:docPr id="419" name="Frame4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33985" cy="175260"/>
                      <wp:effectExtent l="0" t="0" r="0" b="0"/>
                      <wp:wrapNone/>
                      <wp:docPr id="420" name="Frame4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489585" cy="175260"/>
                      <wp:effectExtent l="0" t="0" r="0" b="0"/>
                      <wp:wrapNone/>
                      <wp:docPr id="421" name="Frame421"/>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9215" cy="175260"/>
                      <wp:effectExtent l="0" t="0" r="0" b="0"/>
                      <wp:wrapNone/>
                      <wp:docPr id="422" name="Frame4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33985" cy="175260"/>
                      <wp:effectExtent l="0" t="0" r="0" b="0"/>
                      <wp:wrapNone/>
                      <wp:docPr id="423" name="Frame4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20395" cy="175260"/>
                      <wp:effectExtent l="0" t="0" r="0" b="0"/>
                      <wp:wrapNone/>
                      <wp:docPr id="424" name="Frame424"/>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1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983" w:type="dxa"/>
            <w:gridSpan w:val="17"/>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28, 2025</w:t>
            </w:r>
          </w:p>
        </w:tc>
      </w:tr>
      <w:tr>
        <w:trPr/>
        <w:tc>
          <w:tcPr>
            <w:tcW w:w="311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7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188" w:type="dxa"/>
            <w:gridSpan w:val="2"/>
            <w:tcBorders/>
            <w:vAlign w:val="center"/>
          </w:tcPr>
          <w:p>
            <w:pPr>
              <w:pStyle w:val="TableContents"/>
              <w:bidi w:val="0"/>
              <w:spacing w:before="0" w:after="1"/>
              <w:ind w:left="0" w:right="0" w:hanging="0"/>
              <w:jc w:val="center"/>
              <w:rPr/>
            </w:pPr>
            <w:r>
              <w:rPr/>
              <w:t>​</w:t>
            </w:r>
          </w:p>
        </w:tc>
      </w:tr>
      <w:tr>
        <w:trPr/>
        <w:tc>
          <w:tcPr>
            <w:tcW w:w="311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Packaging</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109" w:type="dxa"/>
            <w:tcBorders/>
            <w:vAlign w:val="center"/>
          </w:tcPr>
          <w:p>
            <w:pPr>
              <w:pStyle w:val="TableContents"/>
              <w:bidi w:val="0"/>
              <w:spacing w:before="0" w:after="1"/>
              <w:ind w:left="0" w:right="0" w:hanging="0"/>
              <w:jc w:val="center"/>
              <w:rPr/>
            </w:pPr>
            <w:r>
              <w:rPr/>
              <w:t>​</w:t>
            </w:r>
          </w:p>
        </w:tc>
        <w:tc>
          <w:tcPr>
            <w:tcW w:w="98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109" w:type="dxa"/>
            <w:tcBorders/>
            <w:vAlign w:val="center"/>
          </w:tcPr>
          <w:p>
            <w:pPr>
              <w:pStyle w:val="TableContents"/>
              <w:bidi w:val="0"/>
              <w:spacing w:before="0" w:after="1"/>
              <w:ind w:left="0" w:right="0" w:hanging="0"/>
              <w:jc w:val="center"/>
              <w:rPr/>
            </w:pPr>
            <w:r>
              <w:rPr/>
              <w:t>​</w:t>
            </w:r>
          </w:p>
        </w:tc>
        <w:tc>
          <w:tcPr>
            <w:tcW w:w="1188"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1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1,395,607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838,677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1,067,530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125,324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3,430,893</w:t>
            </w:r>
          </w:p>
        </w:tc>
      </w:tr>
      <w:tr>
        <w:trPr/>
        <w:tc>
          <w:tcPr>
            <w:tcW w:w="31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1,200,572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698,521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876,541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101,455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7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(27,126)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77"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2,849,963</w:t>
            </w:r>
          </w:p>
        </w:tc>
      </w:tr>
      <w:tr>
        <w:trPr/>
        <w:tc>
          <w:tcPr>
            <w:tcW w:w="31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195,035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140,156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190,989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23,869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30,881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580,930</w:t>
            </w:r>
          </w:p>
        </w:tc>
      </w:tr>
      <w:tr>
        <w:trPr/>
        <w:tc>
          <w:tcPr>
            <w:tcW w:w="31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administrative expenses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113,997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90,917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126,511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18,860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10,964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361,249</w:t>
            </w:r>
          </w:p>
        </w:tc>
      </w:tr>
      <w:tr>
        <w:trPr/>
        <w:tc>
          <w:tcPr>
            <w:tcW w:w="31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(gain) on disposition and impairment of 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3,754</w:t>
            </w:r>
          </w:p>
        </w:tc>
      </w:tr>
      <w:tr>
        <w:trPr/>
        <w:tc>
          <w:tcPr>
            <w:tcW w:w="31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losses (gains), net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7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77"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584</w:t>
            </w:r>
          </w:p>
        </w:tc>
      </w:tr>
      <w:tr>
        <w:trPr/>
        <w:tc>
          <w:tcPr>
            <w:tcW w:w="31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from operations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79,613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47,982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63,876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21,727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single" w:sz="12"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215,343</w:t>
            </w:r>
          </w:p>
        </w:tc>
      </w:tr>
    </w:tbl>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The following tables present the components of our operating results, for the periods indicated, as a percentage of net sales by segment.</w:t>
      </w:r>
    </w:p>
    <w:tbl>
      <w:tblPr>
        <w:tblW w:w="10205" w:type="dxa"/>
        <w:jc w:val="left"/>
        <w:tblInd w:w="0" w:type="dxa"/>
        <w:tblLayout w:type="fixed"/>
        <w:tblCellMar>
          <w:top w:w="0" w:type="dxa"/>
          <w:left w:w="0" w:type="dxa"/>
          <w:bottom w:w="0" w:type="dxa"/>
          <w:right w:w="0" w:type="dxa"/>
        </w:tblCellMar>
      </w:tblPr>
      <w:tblGrid>
        <w:gridCol w:w="3406"/>
        <w:gridCol w:w="346"/>
        <w:gridCol w:w="601"/>
        <w:gridCol w:w="346"/>
        <w:gridCol w:w="871"/>
        <w:gridCol w:w="346"/>
        <w:gridCol w:w="1051"/>
        <w:gridCol w:w="271"/>
        <w:gridCol w:w="722"/>
        <w:gridCol w:w="271"/>
        <w:gridCol w:w="871"/>
        <w:gridCol w:w="109"/>
        <w:gridCol w:w="601"/>
        <w:gridCol w:w="393"/>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162810" cy="175260"/>
                      <wp:effectExtent l="0" t="0" r="0" b="0"/>
                      <wp:wrapNone/>
                      <wp:docPr id="425" name="Frame425"/>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19710" cy="175260"/>
                      <wp:effectExtent l="0" t="0" r="0" b="0"/>
                      <wp:wrapNone/>
                      <wp:docPr id="426" name="Frame4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381635" cy="175260"/>
                      <wp:effectExtent l="0" t="0" r="0" b="0"/>
                      <wp:wrapNone/>
                      <wp:docPr id="427" name="Frame42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19710" cy="175260"/>
                      <wp:effectExtent l="0" t="0" r="0" b="0"/>
                      <wp:wrapNone/>
                      <wp:docPr id="428" name="Frame4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553085" cy="175260"/>
                      <wp:effectExtent l="0" t="0" r="0" b="0"/>
                      <wp:wrapNone/>
                      <wp:docPr id="429" name="Frame42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19710" cy="175260"/>
                      <wp:effectExtent l="0" t="0" r="0" b="0"/>
                      <wp:wrapNone/>
                      <wp:docPr id="430" name="Frame4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67385" cy="175260"/>
                      <wp:effectExtent l="0" t="0" r="0" b="0"/>
                      <wp:wrapNone/>
                      <wp:docPr id="431" name="Frame43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72085" cy="175260"/>
                      <wp:effectExtent l="0" t="0" r="0" b="0"/>
                      <wp:wrapNone/>
                      <wp:docPr id="432" name="Frame43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458470" cy="175260"/>
                      <wp:effectExtent l="0" t="0" r="0" b="0"/>
                      <wp:wrapNone/>
                      <wp:docPr id="433" name="Frame433"/>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72085" cy="175260"/>
                      <wp:effectExtent l="0" t="0" r="0" b="0"/>
                      <wp:wrapNone/>
                      <wp:docPr id="434" name="Frame43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553085" cy="175260"/>
                      <wp:effectExtent l="0" t="0" r="0" b="0"/>
                      <wp:wrapNone/>
                      <wp:docPr id="435" name="Frame43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9215" cy="175260"/>
                      <wp:effectExtent l="0" t="0" r="0" b="0"/>
                      <wp:wrapNone/>
                      <wp:docPr id="436" name="Frame4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381635" cy="175260"/>
                      <wp:effectExtent l="0" t="0" r="0" b="0"/>
                      <wp:wrapNone/>
                      <wp:docPr id="437" name="Frame43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49555" cy="175260"/>
                      <wp:effectExtent l="0" t="0" r="0" b="0"/>
                      <wp:wrapNone/>
                      <wp:docPr id="438" name="Frame438"/>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060" w:type="dxa"/>
            <w:gridSpan w:val="11"/>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27, 2026</w:t>
            </w:r>
          </w:p>
        </w:tc>
        <w:tc>
          <w:tcPr>
            <w:tcW w:w="393"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r>
      <w:tr>
        <w:trPr/>
        <w:tc>
          <w:tcPr>
            <w:tcW w:w="34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51" w:type="dxa"/>
            <w:tcBorders/>
            <w:vAlign w:val="center"/>
          </w:tcPr>
          <w:p>
            <w:pPr>
              <w:pStyle w:val="TableContents"/>
              <w:bidi w:val="0"/>
              <w:spacing w:before="0" w:after="1"/>
              <w:ind w:left="0" w:right="0" w:hanging="0"/>
              <w:jc w:val="center"/>
              <w:rPr/>
            </w:pPr>
            <w:r>
              <w:rPr/>
              <w:t>​</w:t>
            </w:r>
          </w:p>
        </w:tc>
        <w:tc>
          <w:tcPr>
            <w:tcW w:w="271" w:type="dxa"/>
            <w:tcBorders/>
            <w:vAlign w:val="center"/>
          </w:tcPr>
          <w:p>
            <w:pPr>
              <w:pStyle w:val="TableContents"/>
              <w:bidi w:val="0"/>
              <w:spacing w:before="0" w:after="1"/>
              <w:ind w:left="0" w:right="0" w:hanging="0"/>
              <w:jc w:val="center"/>
              <w:rPr/>
            </w:pPr>
            <w:r>
              <w:rPr/>
              <w:t>​</w:t>
            </w:r>
          </w:p>
        </w:tc>
        <w:tc>
          <w:tcPr>
            <w:tcW w:w="722" w:type="dxa"/>
            <w:tcBorders/>
            <w:vAlign w:val="center"/>
          </w:tcPr>
          <w:p>
            <w:pPr>
              <w:pStyle w:val="TableContents"/>
              <w:bidi w:val="0"/>
              <w:spacing w:before="0" w:after="1"/>
              <w:ind w:left="0" w:right="0" w:hanging="0"/>
              <w:jc w:val="center"/>
              <w:rPr/>
            </w:pPr>
            <w:r>
              <w:rPr/>
              <w:t>​</w:t>
            </w:r>
          </w:p>
        </w:tc>
        <w:tc>
          <w:tcPr>
            <w:tcW w:w="271"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93" w:type="dxa"/>
            <w:tcBorders/>
            <w:vAlign w:val="center"/>
          </w:tcPr>
          <w:p>
            <w:pPr>
              <w:pStyle w:val="TableContents"/>
              <w:bidi w:val="0"/>
              <w:spacing w:before="0" w:after="1"/>
              <w:ind w:left="0" w:right="0" w:hanging="0"/>
              <w:jc w:val="left"/>
              <w:rPr/>
            </w:pPr>
            <w:r>
              <w:rPr/>
              <w:t>  ​ ​ ​</w:t>
            </w:r>
          </w:p>
        </w:tc>
      </w:tr>
      <w:tr>
        <w:trPr/>
        <w:tc>
          <w:tcPr>
            <w:tcW w:w="34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Packaging</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271" w:type="dxa"/>
            <w:tcBorders/>
            <w:vAlign w:val="center"/>
          </w:tcPr>
          <w:p>
            <w:pPr>
              <w:pStyle w:val="TableContents"/>
              <w:bidi w:val="0"/>
              <w:spacing w:before="0" w:after="1"/>
              <w:ind w:left="0" w:right="0" w:hanging="0"/>
              <w:jc w:val="center"/>
              <w:rPr/>
            </w:pPr>
            <w:r>
              <w:rPr/>
              <w:t>​</w:t>
            </w:r>
          </w:p>
        </w:tc>
        <w:tc>
          <w:tcPr>
            <w:tcW w:w="722"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271" w:type="dxa"/>
            <w:tcBorders/>
            <w:vAlign w:val="center"/>
          </w:tcPr>
          <w:p>
            <w:pPr>
              <w:pStyle w:val="TableContents"/>
              <w:bidi w:val="0"/>
              <w:spacing w:before="0" w:after="1"/>
              <w:ind w:left="0" w:right="0" w:hanging="0"/>
              <w:jc w:val="center"/>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109" w:type="dxa"/>
            <w:tcBorders/>
            <w:vAlign w:val="center"/>
          </w:tcPr>
          <w:p>
            <w:pPr>
              <w:pStyle w:val="TableContents"/>
              <w:bidi w:val="0"/>
              <w:spacing w:before="0" w:after="1"/>
              <w:ind w:left="0" w:right="0" w:hanging="0"/>
              <w:jc w:val="center"/>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93" w:type="dxa"/>
            <w:tcBorders/>
            <w:vAlign w:val="center"/>
          </w:tcPr>
          <w:p>
            <w:pPr>
              <w:pStyle w:val="TableContents"/>
              <w:bidi w:val="0"/>
              <w:spacing w:before="0" w:after="1"/>
              <w:ind w:left="0" w:right="0" w:hanging="0"/>
              <w:jc w:val="center"/>
              <w:rPr/>
            </w:pPr>
            <w:r>
              <w:rPr/>
              <w:t>​</w:t>
            </w:r>
          </w:p>
        </w:tc>
      </w:tr>
      <w:tr>
        <w:trPr/>
        <w:tc>
          <w:tcPr>
            <w:tcW w:w="3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1"/>
              <w:ind w:left="0" w:right="0" w:hanging="0"/>
              <w:jc w:val="lef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86.0 </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86.8 </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82.9 </w:t>
            </w:r>
          </w:p>
        </w:tc>
        <w:tc>
          <w:tcPr>
            <w:tcW w:w="271" w:type="dxa"/>
            <w:tcBorders/>
            <w:vAlign w:val="center"/>
          </w:tcPr>
          <w:p>
            <w:pPr>
              <w:pStyle w:val="TableContents"/>
              <w:bidi w:val="0"/>
              <w:spacing w:before="0" w:after="1"/>
              <w:ind w:left="0" w:right="0" w:hanging="0"/>
              <w:jc w:val="left"/>
              <w:rPr/>
            </w:pPr>
            <w:r>
              <w:rPr/>
              <w:t>​</w:t>
            </w:r>
          </w:p>
        </w:tc>
        <w:tc>
          <w:tcPr>
            <w:tcW w:w="722"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83.3 </w:t>
            </w:r>
          </w:p>
        </w:tc>
        <w:tc>
          <w:tcPr>
            <w:tcW w:w="271" w:type="dxa"/>
            <w:tcBorders/>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84.6 </w:t>
            </w:r>
          </w:p>
        </w:tc>
        <w:tc>
          <w:tcPr>
            <w:tcW w:w="393" w:type="dxa"/>
            <w:tcBorders/>
            <w:vAlign w:val="center"/>
          </w:tcPr>
          <w:p>
            <w:pPr>
              <w:pStyle w:val="TableContents"/>
              <w:bidi w:val="0"/>
              <w:spacing w:before="0" w:after="1"/>
              <w:ind w:left="0" w:right="0" w:hanging="0"/>
              <w:jc w:val="left"/>
              <w:rPr/>
            </w:pPr>
            <w:r>
              <w:rPr/>
              <w:t>​</w:t>
            </w:r>
          </w:p>
        </w:tc>
      </w:tr>
      <w:tr>
        <w:trPr/>
        <w:tc>
          <w:tcPr>
            <w:tcW w:w="3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14.0 </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13.2 </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17.1 </w:t>
            </w:r>
          </w:p>
        </w:tc>
        <w:tc>
          <w:tcPr>
            <w:tcW w:w="271"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16.7 </w:t>
            </w:r>
          </w:p>
        </w:tc>
        <w:tc>
          <w:tcPr>
            <w:tcW w:w="271"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15.4 </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3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administrative expenses</w:t>
            </w:r>
          </w:p>
        </w:tc>
        <w:tc>
          <w:tcPr>
            <w:tcW w:w="34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7.7 </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9.9 </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12.1 </w:t>
            </w:r>
          </w:p>
        </w:tc>
        <w:tc>
          <w:tcPr>
            <w:tcW w:w="271"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13.1 </w:t>
            </w:r>
          </w:p>
        </w:tc>
        <w:tc>
          <w:tcPr>
            <w:tcW w:w="271"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9.9 </w:t>
            </w:r>
          </w:p>
        </w:tc>
        <w:tc>
          <w:tcPr>
            <w:tcW w:w="393" w:type="dxa"/>
            <w:tcBorders/>
            <w:vAlign w:val="center"/>
          </w:tcPr>
          <w:p>
            <w:pPr>
              <w:pStyle w:val="TableContents"/>
              <w:bidi w:val="0"/>
              <w:spacing w:before="0" w:after="1"/>
              <w:ind w:left="0" w:right="0" w:hanging="0"/>
              <w:jc w:val="left"/>
              <w:rPr/>
            </w:pPr>
            <w:r>
              <w:rPr/>
              <w:t>​</w:t>
            </w:r>
          </w:p>
        </w:tc>
      </w:tr>
      <w:tr>
        <w:trPr/>
        <w:tc>
          <w:tcPr>
            <w:tcW w:w="3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(gain) on disposition and impairment of assets</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0.2 </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3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losses, net</w:t>
            </w:r>
          </w:p>
        </w:tc>
        <w:tc>
          <w:tcPr>
            <w:tcW w:w="346" w:type="dxa"/>
            <w:tcBorders/>
            <w:vAlign w:val="center"/>
          </w:tcPr>
          <w:p>
            <w:pPr>
              <w:pStyle w:val="TableContents"/>
              <w:bidi w:val="0"/>
              <w:spacing w:before="0" w:after="1"/>
              <w:ind w:left="0" w:right="0" w:hanging="0"/>
              <w:jc w:val="lef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271" w:type="dxa"/>
            <w:tcBorders/>
            <w:vAlign w:val="center"/>
          </w:tcPr>
          <w:p>
            <w:pPr>
              <w:pStyle w:val="TableContents"/>
              <w:bidi w:val="0"/>
              <w:spacing w:before="0" w:after="1"/>
              <w:ind w:left="0" w:right="0" w:hanging="0"/>
              <w:jc w:val="left"/>
              <w:rPr/>
            </w:pPr>
            <w:r>
              <w:rPr/>
              <w:t>​</w:t>
            </w:r>
          </w:p>
        </w:tc>
        <w:tc>
          <w:tcPr>
            <w:tcW w:w="722"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0.3 </w:t>
            </w:r>
          </w:p>
        </w:tc>
        <w:tc>
          <w:tcPr>
            <w:tcW w:w="271" w:type="dxa"/>
            <w:tcBorders/>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3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6.1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3.2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5.0 </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3.2 </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5.5 </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60" w:after="240"/>
        <w:ind w:left="0" w:right="0" w:hanging="0"/>
        <w:jc w:val="both"/>
        <w:rPr>
          <w:rFonts w:ascii="Times New Roman;Times;serif" w:hAnsi="Times New Roman;Times;serif"/>
          <w:sz w:val="16"/>
        </w:rPr>
      </w:pPr>
      <w:r>
        <w:rPr>
          <w:rFonts w:ascii="Times New Roman;Times;serif" w:hAnsi="Times New Roman;Times;serif"/>
          <w:sz w:val="16"/>
        </w:rPr>
        <w:t>Note: Actual percentages are calculated and may not sum to total due to rounding.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tbl>
      <w:tblPr>
        <w:tblW w:w="10205" w:type="dxa"/>
        <w:jc w:val="left"/>
        <w:tblInd w:w="0" w:type="dxa"/>
        <w:tblLayout w:type="fixed"/>
        <w:tblCellMar>
          <w:top w:w="0" w:type="dxa"/>
          <w:left w:w="0" w:type="dxa"/>
          <w:bottom w:w="0" w:type="dxa"/>
          <w:right w:w="0" w:type="dxa"/>
        </w:tblCellMar>
      </w:tblPr>
      <w:tblGrid>
        <w:gridCol w:w="3406"/>
        <w:gridCol w:w="346"/>
        <w:gridCol w:w="601"/>
        <w:gridCol w:w="346"/>
        <w:gridCol w:w="871"/>
        <w:gridCol w:w="346"/>
        <w:gridCol w:w="1051"/>
        <w:gridCol w:w="271"/>
        <w:gridCol w:w="722"/>
        <w:gridCol w:w="271"/>
        <w:gridCol w:w="871"/>
        <w:gridCol w:w="109"/>
        <w:gridCol w:w="601"/>
        <w:gridCol w:w="393"/>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162810" cy="175260"/>
                      <wp:effectExtent l="0" t="0" r="0" b="0"/>
                      <wp:wrapNone/>
                      <wp:docPr id="439" name="Frame439"/>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440" name="Frame4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381635" cy="175260"/>
                      <wp:effectExtent l="0" t="0" r="0" b="0"/>
                      <wp:wrapNone/>
                      <wp:docPr id="441" name="Frame44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19710" cy="175260"/>
                      <wp:effectExtent l="0" t="0" r="0" b="0"/>
                      <wp:wrapNone/>
                      <wp:docPr id="442" name="Frame4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553085" cy="175260"/>
                      <wp:effectExtent l="0" t="0" r="0" b="0"/>
                      <wp:wrapNone/>
                      <wp:docPr id="443" name="Frame44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19710" cy="175260"/>
                      <wp:effectExtent l="0" t="0" r="0" b="0"/>
                      <wp:wrapNone/>
                      <wp:docPr id="444" name="Frame4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67385" cy="175260"/>
                      <wp:effectExtent l="0" t="0" r="0" b="0"/>
                      <wp:wrapNone/>
                      <wp:docPr id="445" name="Frame44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72085" cy="175260"/>
                      <wp:effectExtent l="0" t="0" r="0" b="0"/>
                      <wp:wrapNone/>
                      <wp:docPr id="446" name="Frame44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458470" cy="175260"/>
                      <wp:effectExtent l="0" t="0" r="0" b="0"/>
                      <wp:wrapNone/>
                      <wp:docPr id="447" name="Frame447"/>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72085" cy="175260"/>
                      <wp:effectExtent l="0" t="0" r="0" b="0"/>
                      <wp:wrapNone/>
                      <wp:docPr id="448" name="Frame44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553085" cy="175260"/>
                      <wp:effectExtent l="0" t="0" r="0" b="0"/>
                      <wp:wrapNone/>
                      <wp:docPr id="449" name="Frame44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9215" cy="175260"/>
                      <wp:effectExtent l="0" t="0" r="0" b="0"/>
                      <wp:wrapNone/>
                      <wp:docPr id="450" name="Frame4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381635" cy="175260"/>
                      <wp:effectExtent l="0" t="0" r="0" b="0"/>
                      <wp:wrapNone/>
                      <wp:docPr id="451" name="Frame45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49555" cy="175260"/>
                      <wp:effectExtent l="0" t="0" r="0" b="0"/>
                      <wp:wrapNone/>
                      <wp:docPr id="452" name="Frame452"/>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060" w:type="dxa"/>
            <w:gridSpan w:val="11"/>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28, 2025</w:t>
            </w:r>
          </w:p>
        </w:tc>
        <w:tc>
          <w:tcPr>
            <w:tcW w:w="393"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r>
      <w:tr>
        <w:trPr/>
        <w:tc>
          <w:tcPr>
            <w:tcW w:w="34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8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51" w:type="dxa"/>
            <w:tcBorders/>
            <w:vAlign w:val="center"/>
          </w:tcPr>
          <w:p>
            <w:pPr>
              <w:pStyle w:val="TableContents"/>
              <w:bidi w:val="0"/>
              <w:spacing w:before="0" w:after="1"/>
              <w:ind w:left="0" w:right="0" w:hanging="0"/>
              <w:jc w:val="center"/>
              <w:rPr/>
            </w:pPr>
            <w:r>
              <w:rPr/>
              <w:t>​</w:t>
            </w:r>
          </w:p>
        </w:tc>
        <w:tc>
          <w:tcPr>
            <w:tcW w:w="271" w:type="dxa"/>
            <w:tcBorders/>
            <w:vAlign w:val="center"/>
          </w:tcPr>
          <w:p>
            <w:pPr>
              <w:pStyle w:val="TableContents"/>
              <w:bidi w:val="0"/>
              <w:spacing w:before="0" w:after="1"/>
              <w:ind w:left="0" w:right="0" w:hanging="0"/>
              <w:jc w:val="center"/>
              <w:rPr/>
            </w:pPr>
            <w:r>
              <w:rPr/>
              <w:t>​</w:t>
            </w:r>
          </w:p>
        </w:tc>
        <w:tc>
          <w:tcPr>
            <w:tcW w:w="722" w:type="dxa"/>
            <w:tcBorders/>
            <w:vAlign w:val="center"/>
          </w:tcPr>
          <w:p>
            <w:pPr>
              <w:pStyle w:val="TableContents"/>
              <w:bidi w:val="0"/>
              <w:spacing w:before="0" w:after="1"/>
              <w:ind w:left="0" w:right="0" w:hanging="0"/>
              <w:jc w:val="center"/>
              <w:rPr/>
            </w:pPr>
            <w:r>
              <w:rPr/>
              <w:t>​</w:t>
            </w:r>
          </w:p>
        </w:tc>
        <w:tc>
          <w:tcPr>
            <w:tcW w:w="271"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93" w:type="dxa"/>
            <w:tcBorders/>
            <w:vAlign w:val="center"/>
          </w:tcPr>
          <w:p>
            <w:pPr>
              <w:pStyle w:val="TableContents"/>
              <w:bidi w:val="0"/>
              <w:spacing w:before="0" w:after="1"/>
              <w:ind w:left="0" w:right="0" w:hanging="0"/>
              <w:jc w:val="left"/>
              <w:rPr/>
            </w:pPr>
            <w:r>
              <w:rPr/>
              <w:t>  ​ ​ ​</w:t>
            </w:r>
          </w:p>
        </w:tc>
      </w:tr>
      <w:tr>
        <w:trPr/>
        <w:tc>
          <w:tcPr>
            <w:tcW w:w="34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Packaging</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271" w:type="dxa"/>
            <w:tcBorders/>
            <w:vAlign w:val="center"/>
          </w:tcPr>
          <w:p>
            <w:pPr>
              <w:pStyle w:val="TableContents"/>
              <w:bidi w:val="0"/>
              <w:spacing w:before="0" w:after="1"/>
              <w:ind w:left="0" w:right="0" w:hanging="0"/>
              <w:jc w:val="center"/>
              <w:rPr/>
            </w:pPr>
            <w:r>
              <w:rPr/>
              <w:t>​</w:t>
            </w:r>
          </w:p>
        </w:tc>
        <w:tc>
          <w:tcPr>
            <w:tcW w:w="722"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271" w:type="dxa"/>
            <w:tcBorders/>
            <w:vAlign w:val="center"/>
          </w:tcPr>
          <w:p>
            <w:pPr>
              <w:pStyle w:val="TableContents"/>
              <w:bidi w:val="0"/>
              <w:spacing w:before="0" w:after="1"/>
              <w:ind w:left="0" w:right="0" w:hanging="0"/>
              <w:jc w:val="center"/>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109" w:type="dxa"/>
            <w:tcBorders/>
            <w:vAlign w:val="center"/>
          </w:tcPr>
          <w:p>
            <w:pPr>
              <w:pStyle w:val="TableContents"/>
              <w:bidi w:val="0"/>
              <w:spacing w:before="0" w:after="1"/>
              <w:ind w:left="0" w:right="0" w:hanging="0"/>
              <w:jc w:val="center"/>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93" w:type="dxa"/>
            <w:tcBorders/>
            <w:vAlign w:val="center"/>
          </w:tcPr>
          <w:p>
            <w:pPr>
              <w:pStyle w:val="TableContents"/>
              <w:bidi w:val="0"/>
              <w:spacing w:before="0" w:after="1"/>
              <w:ind w:left="0" w:right="0" w:hanging="0"/>
              <w:jc w:val="center"/>
              <w:rPr/>
            </w:pPr>
            <w:r>
              <w:rPr/>
              <w:t>​</w:t>
            </w:r>
          </w:p>
        </w:tc>
      </w:tr>
      <w:tr>
        <w:trPr/>
        <w:tc>
          <w:tcPr>
            <w:tcW w:w="3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1"/>
              <w:ind w:left="0" w:right="0" w:hanging="0"/>
              <w:jc w:val="lef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85.6 </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83.5 </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81.8 </w:t>
            </w:r>
          </w:p>
        </w:tc>
        <w:tc>
          <w:tcPr>
            <w:tcW w:w="271" w:type="dxa"/>
            <w:tcBorders/>
            <w:vAlign w:val="center"/>
          </w:tcPr>
          <w:p>
            <w:pPr>
              <w:pStyle w:val="TableContents"/>
              <w:bidi w:val="0"/>
              <w:spacing w:before="0" w:after="1"/>
              <w:ind w:left="0" w:right="0" w:hanging="0"/>
              <w:jc w:val="right"/>
              <w:rPr/>
            </w:pPr>
            <w:r>
              <w:rPr/>
              <w:t>​</w:t>
            </w:r>
          </w:p>
        </w:tc>
        <w:tc>
          <w:tcPr>
            <w:tcW w:w="722"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79.6 </w:t>
            </w:r>
          </w:p>
        </w:tc>
        <w:tc>
          <w:tcPr>
            <w:tcW w:w="271" w:type="dxa"/>
            <w:tcBorders/>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83.0 </w:t>
            </w:r>
          </w:p>
        </w:tc>
        <w:tc>
          <w:tcPr>
            <w:tcW w:w="393" w:type="dxa"/>
            <w:tcBorders/>
            <w:vAlign w:val="center"/>
          </w:tcPr>
          <w:p>
            <w:pPr>
              <w:pStyle w:val="TableContents"/>
              <w:bidi w:val="0"/>
              <w:spacing w:before="0" w:after="1"/>
              <w:ind w:left="0" w:right="0" w:hanging="0"/>
              <w:jc w:val="left"/>
              <w:rPr/>
            </w:pPr>
            <w:r>
              <w:rPr/>
              <w:t>​</w:t>
            </w:r>
          </w:p>
        </w:tc>
      </w:tr>
      <w:tr>
        <w:trPr/>
        <w:tc>
          <w:tcPr>
            <w:tcW w:w="3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14.4 </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16.5 </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18.2 </w:t>
            </w:r>
          </w:p>
        </w:tc>
        <w:tc>
          <w:tcPr>
            <w:tcW w:w="271" w:type="dxa"/>
            <w:tcBorders/>
            <w:shd w:fill="CCEEFF" w:val="clear"/>
            <w:vAlign w:val="center"/>
          </w:tcPr>
          <w:p>
            <w:pPr>
              <w:pStyle w:val="TableContents"/>
              <w:bidi w:val="0"/>
              <w:spacing w:before="0" w:after="1"/>
              <w:ind w:left="0" w:right="0" w:hanging="0"/>
              <w:jc w:val="right"/>
              <w:rPr/>
            </w:pPr>
            <w:r>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20.4 </w:t>
            </w:r>
          </w:p>
        </w:tc>
        <w:tc>
          <w:tcPr>
            <w:tcW w:w="271"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17.0 </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3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administrative expenses</w:t>
            </w:r>
          </w:p>
        </w:tc>
        <w:tc>
          <w:tcPr>
            <w:tcW w:w="34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7.4 </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10.1 </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11.6 </w:t>
            </w:r>
          </w:p>
        </w:tc>
        <w:tc>
          <w:tcPr>
            <w:tcW w:w="271" w:type="dxa"/>
            <w:tcBorders/>
            <w:vAlign w:val="center"/>
          </w:tcPr>
          <w:p>
            <w:pPr>
              <w:pStyle w:val="TableContents"/>
              <w:bidi w:val="0"/>
              <w:spacing w:before="0" w:after="1"/>
              <w:ind w:left="0" w:right="0" w:hanging="0"/>
              <w:jc w:val="right"/>
              <w:rPr/>
            </w:pPr>
            <w:r>
              <w:rPr/>
              <w:t>​</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16.0 </w:t>
            </w:r>
          </w:p>
        </w:tc>
        <w:tc>
          <w:tcPr>
            <w:tcW w:w="271"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10.1 </w:t>
            </w:r>
          </w:p>
        </w:tc>
        <w:tc>
          <w:tcPr>
            <w:tcW w:w="393" w:type="dxa"/>
            <w:tcBorders/>
            <w:vAlign w:val="center"/>
          </w:tcPr>
          <w:p>
            <w:pPr>
              <w:pStyle w:val="TableContents"/>
              <w:bidi w:val="0"/>
              <w:spacing w:before="0" w:after="1"/>
              <w:ind w:left="0" w:right="0" w:hanging="0"/>
              <w:jc w:val="left"/>
              <w:rPr/>
            </w:pPr>
            <w:r>
              <w:rPr/>
              <w:t>​</w:t>
            </w:r>
          </w:p>
        </w:tc>
      </w:tr>
      <w:tr>
        <w:trPr/>
        <w:tc>
          <w:tcPr>
            <w:tcW w:w="3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(gain) on disposition and impairment of assets</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1"/>
              <w:ind w:left="0" w:right="0" w:hanging="0"/>
              <w:jc w:val="righ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right"/>
              <w:rPr/>
            </w:pPr>
            <w:r>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271" w:type="dxa"/>
            <w:tcBorders/>
            <w:shd w:fill="CCEEFF" w:val="clear"/>
            <w:vAlign w:val="center"/>
          </w:tcPr>
          <w:p>
            <w:pPr>
              <w:pStyle w:val="TableContents"/>
              <w:bidi w:val="0"/>
              <w:spacing w:before="0" w:after="1"/>
              <w:ind w:left="0" w:right="0" w:hanging="0"/>
              <w:jc w:val="righ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3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losses (gains), net</w:t>
            </w:r>
          </w:p>
        </w:tc>
        <w:tc>
          <w:tcPr>
            <w:tcW w:w="346" w:type="dxa"/>
            <w:tcBorders/>
            <w:vAlign w:val="center"/>
          </w:tcPr>
          <w:p>
            <w:pPr>
              <w:pStyle w:val="TableContents"/>
              <w:bidi w:val="0"/>
              <w:spacing w:before="0" w:after="1"/>
              <w:ind w:left="0" w:right="0" w:hanging="0"/>
              <w:jc w:val="lef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271" w:type="dxa"/>
            <w:tcBorders/>
            <w:vAlign w:val="center"/>
          </w:tcPr>
          <w:p>
            <w:pPr>
              <w:pStyle w:val="TableContents"/>
              <w:bidi w:val="0"/>
              <w:spacing w:before="0" w:after="1"/>
              <w:ind w:left="0" w:right="0" w:hanging="0"/>
              <w:jc w:val="right"/>
              <w:rPr/>
            </w:pPr>
            <w:r>
              <w:rPr/>
              <w:t>​</w:t>
            </w:r>
          </w:p>
        </w:tc>
        <w:tc>
          <w:tcPr>
            <w:tcW w:w="722"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0.5 </w:t>
            </w:r>
          </w:p>
        </w:tc>
        <w:tc>
          <w:tcPr>
            <w:tcW w:w="271" w:type="dxa"/>
            <w:tcBorders/>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3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(loss)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6.8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6.1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6.5 </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6.7 </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60" w:after="80"/>
        <w:ind w:left="0" w:right="0" w:hanging="0"/>
        <w:jc w:val="both"/>
        <w:rPr>
          <w:rFonts w:ascii="Times New Roman;Times;serif" w:hAnsi="Times New Roman;Times;serif"/>
          <w:sz w:val="16"/>
        </w:rPr>
      </w:pPr>
      <w:r>
        <w:rPr>
          <w:rFonts w:ascii="Times New Roman;Times;serif" w:hAnsi="Times New Roman;Times;serif"/>
          <w:sz w:val="16"/>
        </w:rPr>
        <w:t>Note: Actual percentages are calculated and may not sum to total due to rounding.</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06"/>
        <w:gridCol w:w="346"/>
        <w:gridCol w:w="601"/>
        <w:gridCol w:w="346"/>
        <w:gridCol w:w="871"/>
        <w:gridCol w:w="346"/>
        <w:gridCol w:w="1051"/>
        <w:gridCol w:w="271"/>
        <w:gridCol w:w="722"/>
        <w:gridCol w:w="271"/>
        <w:gridCol w:w="871"/>
        <w:gridCol w:w="109"/>
        <w:gridCol w:w="601"/>
        <w:gridCol w:w="393"/>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162810" cy="175260"/>
                      <wp:effectExtent l="0" t="0" r="0" b="0"/>
                      <wp:wrapNone/>
                      <wp:docPr id="453" name="Frame453"/>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19710" cy="175260"/>
                      <wp:effectExtent l="0" t="0" r="0" b="0"/>
                      <wp:wrapNone/>
                      <wp:docPr id="454" name="Frame4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381635" cy="175260"/>
                      <wp:effectExtent l="0" t="0" r="0" b="0"/>
                      <wp:wrapNone/>
                      <wp:docPr id="455" name="Frame45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19710" cy="175260"/>
                      <wp:effectExtent l="0" t="0" r="0" b="0"/>
                      <wp:wrapNone/>
                      <wp:docPr id="456" name="Frame4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553085" cy="175260"/>
                      <wp:effectExtent l="0" t="0" r="0" b="0"/>
                      <wp:wrapNone/>
                      <wp:docPr id="457" name="Frame45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19710" cy="175260"/>
                      <wp:effectExtent l="0" t="0" r="0" b="0"/>
                      <wp:wrapNone/>
                      <wp:docPr id="458" name="Frame4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67385" cy="175260"/>
                      <wp:effectExtent l="0" t="0" r="0" b="0"/>
                      <wp:wrapNone/>
                      <wp:docPr id="459" name="Frame45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72085" cy="175260"/>
                      <wp:effectExtent l="0" t="0" r="0" b="0"/>
                      <wp:wrapNone/>
                      <wp:docPr id="460" name="Frame46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458470" cy="175260"/>
                      <wp:effectExtent l="0" t="0" r="0" b="0"/>
                      <wp:wrapNone/>
                      <wp:docPr id="461" name="Frame461"/>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72085" cy="175260"/>
                      <wp:effectExtent l="0" t="0" r="0" b="0"/>
                      <wp:wrapNone/>
                      <wp:docPr id="462" name="Frame46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553085" cy="175260"/>
                      <wp:effectExtent l="0" t="0" r="0" b="0"/>
                      <wp:wrapNone/>
                      <wp:docPr id="463" name="Frame46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9215" cy="175260"/>
                      <wp:effectExtent l="0" t="0" r="0" b="0"/>
                      <wp:wrapNone/>
                      <wp:docPr id="464" name="Frame4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381635" cy="175260"/>
                      <wp:effectExtent l="0" t="0" r="0" b="0"/>
                      <wp:wrapNone/>
                      <wp:docPr id="465" name="Frame46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49555" cy="175260"/>
                      <wp:effectExtent l="0" t="0" r="0" b="0"/>
                      <wp:wrapNone/>
                      <wp:docPr id="466" name="Frame466"/>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060" w:type="dxa"/>
            <w:gridSpan w:val="11"/>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27, 2026</w:t>
            </w:r>
          </w:p>
        </w:tc>
        <w:tc>
          <w:tcPr>
            <w:tcW w:w="393"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r>
      <w:tr>
        <w:trPr/>
        <w:tc>
          <w:tcPr>
            <w:tcW w:w="34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51" w:type="dxa"/>
            <w:tcBorders/>
            <w:vAlign w:val="center"/>
          </w:tcPr>
          <w:p>
            <w:pPr>
              <w:pStyle w:val="TableContents"/>
              <w:bidi w:val="0"/>
              <w:spacing w:before="0" w:after="1"/>
              <w:ind w:left="0" w:right="0" w:hanging="0"/>
              <w:jc w:val="center"/>
              <w:rPr/>
            </w:pPr>
            <w:r>
              <w:rPr/>
              <w:t>​</w:t>
            </w:r>
          </w:p>
        </w:tc>
        <w:tc>
          <w:tcPr>
            <w:tcW w:w="271" w:type="dxa"/>
            <w:tcBorders/>
            <w:vAlign w:val="center"/>
          </w:tcPr>
          <w:p>
            <w:pPr>
              <w:pStyle w:val="TableContents"/>
              <w:bidi w:val="0"/>
              <w:spacing w:before="0" w:after="1"/>
              <w:ind w:left="0" w:right="0" w:hanging="0"/>
              <w:jc w:val="center"/>
              <w:rPr/>
            </w:pPr>
            <w:r>
              <w:rPr/>
              <w:t>​</w:t>
            </w:r>
          </w:p>
        </w:tc>
        <w:tc>
          <w:tcPr>
            <w:tcW w:w="722" w:type="dxa"/>
            <w:tcBorders/>
            <w:vAlign w:val="center"/>
          </w:tcPr>
          <w:p>
            <w:pPr>
              <w:pStyle w:val="TableContents"/>
              <w:bidi w:val="0"/>
              <w:spacing w:before="0" w:after="1"/>
              <w:ind w:left="0" w:right="0" w:hanging="0"/>
              <w:jc w:val="center"/>
              <w:rPr/>
            </w:pPr>
            <w:r>
              <w:rPr/>
              <w:t>​</w:t>
            </w:r>
          </w:p>
        </w:tc>
        <w:tc>
          <w:tcPr>
            <w:tcW w:w="271"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93" w:type="dxa"/>
            <w:tcBorders/>
            <w:vAlign w:val="center"/>
          </w:tcPr>
          <w:p>
            <w:pPr>
              <w:pStyle w:val="TableContents"/>
              <w:bidi w:val="0"/>
              <w:spacing w:before="0" w:after="1"/>
              <w:ind w:left="0" w:right="0" w:hanging="0"/>
              <w:jc w:val="left"/>
              <w:rPr/>
            </w:pPr>
            <w:r>
              <w:rPr/>
              <w:t>  ​ ​ ​</w:t>
            </w:r>
          </w:p>
        </w:tc>
      </w:tr>
      <w:tr>
        <w:trPr/>
        <w:tc>
          <w:tcPr>
            <w:tcW w:w="34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Packaging</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271" w:type="dxa"/>
            <w:tcBorders/>
            <w:vAlign w:val="center"/>
          </w:tcPr>
          <w:p>
            <w:pPr>
              <w:pStyle w:val="TableContents"/>
              <w:bidi w:val="0"/>
              <w:spacing w:before="0" w:after="1"/>
              <w:ind w:left="0" w:right="0" w:hanging="0"/>
              <w:jc w:val="center"/>
              <w:rPr/>
            </w:pPr>
            <w:r>
              <w:rPr/>
              <w:t>​</w:t>
            </w:r>
          </w:p>
        </w:tc>
        <w:tc>
          <w:tcPr>
            <w:tcW w:w="722"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271" w:type="dxa"/>
            <w:tcBorders/>
            <w:vAlign w:val="center"/>
          </w:tcPr>
          <w:p>
            <w:pPr>
              <w:pStyle w:val="TableContents"/>
              <w:bidi w:val="0"/>
              <w:spacing w:before="0" w:after="1"/>
              <w:ind w:left="0" w:right="0" w:hanging="0"/>
              <w:jc w:val="center"/>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109" w:type="dxa"/>
            <w:tcBorders/>
            <w:vAlign w:val="center"/>
          </w:tcPr>
          <w:p>
            <w:pPr>
              <w:pStyle w:val="TableContents"/>
              <w:bidi w:val="0"/>
              <w:spacing w:before="0" w:after="1"/>
              <w:ind w:left="0" w:right="0" w:hanging="0"/>
              <w:jc w:val="center"/>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93" w:type="dxa"/>
            <w:tcBorders/>
            <w:vAlign w:val="center"/>
          </w:tcPr>
          <w:p>
            <w:pPr>
              <w:pStyle w:val="TableContents"/>
              <w:bidi w:val="0"/>
              <w:spacing w:before="0" w:after="1"/>
              <w:ind w:left="0" w:right="0" w:hanging="0"/>
              <w:jc w:val="center"/>
              <w:rPr/>
            </w:pPr>
            <w:r>
              <w:rPr/>
              <w:t>​</w:t>
            </w:r>
          </w:p>
        </w:tc>
      </w:tr>
      <w:tr>
        <w:trPr/>
        <w:tc>
          <w:tcPr>
            <w:tcW w:w="3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1"/>
              <w:ind w:left="0" w:right="0" w:hanging="0"/>
              <w:jc w:val="lef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85.5 </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85.8 </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83.1 </w:t>
            </w:r>
          </w:p>
        </w:tc>
        <w:tc>
          <w:tcPr>
            <w:tcW w:w="271" w:type="dxa"/>
            <w:tcBorders/>
            <w:vAlign w:val="center"/>
          </w:tcPr>
          <w:p>
            <w:pPr>
              <w:pStyle w:val="TableContents"/>
              <w:bidi w:val="0"/>
              <w:spacing w:before="0" w:after="1"/>
              <w:ind w:left="0" w:right="0" w:hanging="0"/>
              <w:jc w:val="left"/>
              <w:rPr/>
            </w:pPr>
            <w:r>
              <w:rPr/>
              <w:t>​</w:t>
            </w:r>
          </w:p>
        </w:tc>
        <w:tc>
          <w:tcPr>
            <w:tcW w:w="722"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83.1 </w:t>
            </w:r>
          </w:p>
        </w:tc>
        <w:tc>
          <w:tcPr>
            <w:tcW w:w="271" w:type="dxa"/>
            <w:tcBorders/>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84.3 </w:t>
            </w:r>
          </w:p>
        </w:tc>
        <w:tc>
          <w:tcPr>
            <w:tcW w:w="393" w:type="dxa"/>
            <w:tcBorders/>
            <w:vAlign w:val="center"/>
          </w:tcPr>
          <w:p>
            <w:pPr>
              <w:pStyle w:val="TableContents"/>
              <w:bidi w:val="0"/>
              <w:spacing w:before="0" w:after="1"/>
              <w:ind w:left="0" w:right="0" w:hanging="0"/>
              <w:jc w:val="left"/>
              <w:rPr/>
            </w:pPr>
            <w:r>
              <w:rPr/>
              <w:t>​</w:t>
            </w:r>
          </w:p>
        </w:tc>
      </w:tr>
      <w:tr>
        <w:trPr/>
        <w:tc>
          <w:tcPr>
            <w:tcW w:w="3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14.5 </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14.2 </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16.9 </w:t>
            </w:r>
          </w:p>
        </w:tc>
        <w:tc>
          <w:tcPr>
            <w:tcW w:w="271"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16.9 </w:t>
            </w:r>
          </w:p>
        </w:tc>
        <w:tc>
          <w:tcPr>
            <w:tcW w:w="271"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15.7 </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3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administrative expenses</w:t>
            </w:r>
          </w:p>
        </w:tc>
        <w:tc>
          <w:tcPr>
            <w:tcW w:w="34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8.8 </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10.7 </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12.7 </w:t>
            </w:r>
          </w:p>
        </w:tc>
        <w:tc>
          <w:tcPr>
            <w:tcW w:w="271"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13.1 </w:t>
            </w:r>
          </w:p>
        </w:tc>
        <w:tc>
          <w:tcPr>
            <w:tcW w:w="271"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10.7 </w:t>
            </w:r>
          </w:p>
        </w:tc>
        <w:tc>
          <w:tcPr>
            <w:tcW w:w="393" w:type="dxa"/>
            <w:tcBorders/>
            <w:vAlign w:val="center"/>
          </w:tcPr>
          <w:p>
            <w:pPr>
              <w:pStyle w:val="TableContents"/>
              <w:bidi w:val="0"/>
              <w:spacing w:before="0" w:after="1"/>
              <w:ind w:left="0" w:right="0" w:hanging="0"/>
              <w:jc w:val="left"/>
              <w:rPr/>
            </w:pPr>
            <w:r>
              <w:rPr/>
              <w:t>​</w:t>
            </w:r>
          </w:p>
        </w:tc>
      </w:tr>
      <w:tr>
        <w:trPr/>
        <w:tc>
          <w:tcPr>
            <w:tcW w:w="3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(gain) on disposition and impairment of assets</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0.1 </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0.1 </w:t>
            </w:r>
          </w:p>
        </w:tc>
        <w:tc>
          <w:tcPr>
            <w:tcW w:w="271"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3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losses, net</w:t>
            </w:r>
          </w:p>
        </w:tc>
        <w:tc>
          <w:tcPr>
            <w:tcW w:w="346" w:type="dxa"/>
            <w:tcBorders/>
            <w:vAlign w:val="center"/>
          </w:tcPr>
          <w:p>
            <w:pPr>
              <w:pStyle w:val="TableContents"/>
              <w:bidi w:val="0"/>
              <w:spacing w:before="0" w:after="1"/>
              <w:ind w:left="0" w:right="0" w:hanging="0"/>
              <w:jc w:val="lef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vAlign w:val="center"/>
          </w:tcPr>
          <w:p>
            <w:pPr>
              <w:pStyle w:val="TableContents"/>
              <w:bidi w:val="0"/>
              <w:spacing w:before="0" w:after="1"/>
              <w:ind w:left="0" w:right="0" w:hanging="0"/>
              <w:jc w:val="left"/>
              <w:rPr/>
            </w:pPr>
            <w:r>
              <w:rPr/>
              <w:t>​</w:t>
            </w:r>
          </w:p>
        </w:tc>
        <w:tc>
          <w:tcPr>
            <w:tcW w:w="722"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0.2 </w:t>
            </w:r>
          </w:p>
        </w:tc>
        <w:tc>
          <w:tcPr>
            <w:tcW w:w="271" w:type="dxa"/>
            <w:tcBorders/>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3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5.5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3.5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4.2 </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3.5 </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5.0 </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60" w:after="80"/>
        <w:ind w:left="0" w:right="0" w:hanging="0"/>
        <w:jc w:val="both"/>
        <w:rPr>
          <w:rFonts w:ascii="Times New Roman;Times;serif" w:hAnsi="Times New Roman;Times;serif"/>
          <w:sz w:val="16"/>
        </w:rPr>
      </w:pPr>
      <w:r>
        <w:rPr>
          <w:rFonts w:ascii="Times New Roman;Times;serif" w:hAnsi="Times New Roman;Times;serif"/>
          <w:sz w:val="16"/>
        </w:rPr>
        <w:t>Note: Actual percentages are calculated and may not sum to total due to rounding.</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06"/>
        <w:gridCol w:w="346"/>
        <w:gridCol w:w="601"/>
        <w:gridCol w:w="346"/>
        <w:gridCol w:w="871"/>
        <w:gridCol w:w="346"/>
        <w:gridCol w:w="1051"/>
        <w:gridCol w:w="271"/>
        <w:gridCol w:w="722"/>
        <w:gridCol w:w="271"/>
        <w:gridCol w:w="871"/>
        <w:gridCol w:w="109"/>
        <w:gridCol w:w="601"/>
        <w:gridCol w:w="393"/>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162810" cy="175260"/>
                      <wp:effectExtent l="0" t="0" r="0" b="0"/>
                      <wp:wrapNone/>
                      <wp:docPr id="467" name="Frame467"/>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19710" cy="175260"/>
                      <wp:effectExtent l="0" t="0" r="0" b="0"/>
                      <wp:wrapNone/>
                      <wp:docPr id="468" name="Frame4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381635" cy="175260"/>
                      <wp:effectExtent l="0" t="0" r="0" b="0"/>
                      <wp:wrapNone/>
                      <wp:docPr id="469" name="Frame46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19710" cy="175260"/>
                      <wp:effectExtent l="0" t="0" r="0" b="0"/>
                      <wp:wrapNone/>
                      <wp:docPr id="470" name="Frame4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553085" cy="175260"/>
                      <wp:effectExtent l="0" t="0" r="0" b="0"/>
                      <wp:wrapNone/>
                      <wp:docPr id="471" name="Frame47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19710" cy="175260"/>
                      <wp:effectExtent l="0" t="0" r="0" b="0"/>
                      <wp:wrapNone/>
                      <wp:docPr id="472" name="Frame4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67385" cy="175260"/>
                      <wp:effectExtent l="0" t="0" r="0" b="0"/>
                      <wp:wrapNone/>
                      <wp:docPr id="473" name="Frame47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72085" cy="175260"/>
                      <wp:effectExtent l="0" t="0" r="0" b="0"/>
                      <wp:wrapNone/>
                      <wp:docPr id="474" name="Frame47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458470" cy="175260"/>
                      <wp:effectExtent l="0" t="0" r="0" b="0"/>
                      <wp:wrapNone/>
                      <wp:docPr id="475" name="Frame475"/>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72085" cy="175260"/>
                      <wp:effectExtent l="0" t="0" r="0" b="0"/>
                      <wp:wrapNone/>
                      <wp:docPr id="476" name="Frame47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553085" cy="175260"/>
                      <wp:effectExtent l="0" t="0" r="0" b="0"/>
                      <wp:wrapNone/>
                      <wp:docPr id="477" name="Frame47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9215" cy="175260"/>
                      <wp:effectExtent l="0" t="0" r="0" b="0"/>
                      <wp:wrapNone/>
                      <wp:docPr id="478" name="Frame4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381635" cy="175260"/>
                      <wp:effectExtent l="0" t="0" r="0" b="0"/>
                      <wp:wrapNone/>
                      <wp:docPr id="479" name="Frame47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49555" cy="175260"/>
                      <wp:effectExtent l="0" t="0" r="0" b="0"/>
                      <wp:wrapNone/>
                      <wp:docPr id="480" name="Frame480"/>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060" w:type="dxa"/>
            <w:gridSpan w:val="11"/>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28, 2025</w:t>
            </w:r>
          </w:p>
        </w:tc>
        <w:tc>
          <w:tcPr>
            <w:tcW w:w="393"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r>
      <w:tr>
        <w:trPr/>
        <w:tc>
          <w:tcPr>
            <w:tcW w:w="34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8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51" w:type="dxa"/>
            <w:tcBorders/>
            <w:vAlign w:val="center"/>
          </w:tcPr>
          <w:p>
            <w:pPr>
              <w:pStyle w:val="TableContents"/>
              <w:bidi w:val="0"/>
              <w:spacing w:before="0" w:after="1"/>
              <w:ind w:left="0" w:right="0" w:hanging="0"/>
              <w:jc w:val="center"/>
              <w:rPr/>
            </w:pPr>
            <w:r>
              <w:rPr/>
              <w:t>​</w:t>
            </w:r>
          </w:p>
        </w:tc>
        <w:tc>
          <w:tcPr>
            <w:tcW w:w="271" w:type="dxa"/>
            <w:tcBorders/>
            <w:vAlign w:val="center"/>
          </w:tcPr>
          <w:p>
            <w:pPr>
              <w:pStyle w:val="TableContents"/>
              <w:bidi w:val="0"/>
              <w:spacing w:before="0" w:after="1"/>
              <w:ind w:left="0" w:right="0" w:hanging="0"/>
              <w:jc w:val="center"/>
              <w:rPr/>
            </w:pPr>
            <w:r>
              <w:rPr/>
              <w:t>​</w:t>
            </w:r>
          </w:p>
        </w:tc>
        <w:tc>
          <w:tcPr>
            <w:tcW w:w="722" w:type="dxa"/>
            <w:tcBorders/>
            <w:vAlign w:val="center"/>
          </w:tcPr>
          <w:p>
            <w:pPr>
              <w:pStyle w:val="TableContents"/>
              <w:bidi w:val="0"/>
              <w:spacing w:before="0" w:after="1"/>
              <w:ind w:left="0" w:right="0" w:hanging="0"/>
              <w:jc w:val="center"/>
              <w:rPr/>
            </w:pPr>
            <w:r>
              <w:rPr/>
              <w:t>​</w:t>
            </w:r>
          </w:p>
        </w:tc>
        <w:tc>
          <w:tcPr>
            <w:tcW w:w="271"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93" w:type="dxa"/>
            <w:tcBorders/>
            <w:vAlign w:val="center"/>
          </w:tcPr>
          <w:p>
            <w:pPr>
              <w:pStyle w:val="TableContents"/>
              <w:bidi w:val="0"/>
              <w:spacing w:before="0" w:after="1"/>
              <w:ind w:left="0" w:right="0" w:hanging="0"/>
              <w:jc w:val="left"/>
              <w:rPr/>
            </w:pPr>
            <w:r>
              <w:rPr/>
              <w:t>  ​ ​ ​</w:t>
            </w:r>
          </w:p>
        </w:tc>
      </w:tr>
      <w:tr>
        <w:trPr/>
        <w:tc>
          <w:tcPr>
            <w:tcW w:w="34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Packaging</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271" w:type="dxa"/>
            <w:tcBorders/>
            <w:vAlign w:val="center"/>
          </w:tcPr>
          <w:p>
            <w:pPr>
              <w:pStyle w:val="TableContents"/>
              <w:bidi w:val="0"/>
              <w:spacing w:before="0" w:after="1"/>
              <w:ind w:left="0" w:right="0" w:hanging="0"/>
              <w:jc w:val="center"/>
              <w:rPr/>
            </w:pPr>
            <w:r>
              <w:rPr/>
              <w:t>​</w:t>
            </w:r>
          </w:p>
        </w:tc>
        <w:tc>
          <w:tcPr>
            <w:tcW w:w="722"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271" w:type="dxa"/>
            <w:tcBorders/>
            <w:vAlign w:val="center"/>
          </w:tcPr>
          <w:p>
            <w:pPr>
              <w:pStyle w:val="TableContents"/>
              <w:bidi w:val="0"/>
              <w:spacing w:before="0" w:after="1"/>
              <w:ind w:left="0" w:right="0" w:hanging="0"/>
              <w:jc w:val="center"/>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109" w:type="dxa"/>
            <w:tcBorders/>
            <w:vAlign w:val="center"/>
          </w:tcPr>
          <w:p>
            <w:pPr>
              <w:pStyle w:val="TableContents"/>
              <w:bidi w:val="0"/>
              <w:spacing w:before="0" w:after="1"/>
              <w:ind w:left="0" w:right="0" w:hanging="0"/>
              <w:jc w:val="center"/>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93" w:type="dxa"/>
            <w:tcBorders/>
            <w:vAlign w:val="center"/>
          </w:tcPr>
          <w:p>
            <w:pPr>
              <w:pStyle w:val="TableContents"/>
              <w:bidi w:val="0"/>
              <w:spacing w:before="0" w:after="1"/>
              <w:ind w:left="0" w:right="0" w:hanging="0"/>
              <w:jc w:val="center"/>
              <w:rPr/>
            </w:pPr>
            <w:r>
              <w:rPr/>
              <w:t>​</w:t>
            </w:r>
          </w:p>
        </w:tc>
      </w:tr>
      <w:tr>
        <w:trPr/>
        <w:tc>
          <w:tcPr>
            <w:tcW w:w="3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1"/>
              <w:ind w:left="0" w:right="0" w:hanging="0"/>
              <w:jc w:val="lef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86.0 </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83.3 </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82.1 </w:t>
            </w:r>
          </w:p>
        </w:tc>
        <w:tc>
          <w:tcPr>
            <w:tcW w:w="271" w:type="dxa"/>
            <w:tcBorders/>
            <w:vAlign w:val="center"/>
          </w:tcPr>
          <w:p>
            <w:pPr>
              <w:pStyle w:val="TableContents"/>
              <w:bidi w:val="0"/>
              <w:spacing w:before="0" w:after="1"/>
              <w:ind w:left="0" w:right="0" w:hanging="0"/>
              <w:jc w:val="left"/>
              <w:rPr/>
            </w:pPr>
            <w:r>
              <w:rPr/>
              <w:t>​</w:t>
            </w:r>
          </w:p>
        </w:tc>
        <w:tc>
          <w:tcPr>
            <w:tcW w:w="722"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81.0 </w:t>
            </w:r>
          </w:p>
        </w:tc>
        <w:tc>
          <w:tcPr>
            <w:tcW w:w="271" w:type="dxa"/>
            <w:tcBorders/>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83.1 </w:t>
            </w:r>
          </w:p>
        </w:tc>
        <w:tc>
          <w:tcPr>
            <w:tcW w:w="393" w:type="dxa"/>
            <w:tcBorders/>
            <w:vAlign w:val="center"/>
          </w:tcPr>
          <w:p>
            <w:pPr>
              <w:pStyle w:val="TableContents"/>
              <w:bidi w:val="0"/>
              <w:spacing w:before="0" w:after="1"/>
              <w:ind w:left="0" w:right="0" w:hanging="0"/>
              <w:jc w:val="left"/>
              <w:rPr/>
            </w:pPr>
            <w:r>
              <w:rPr/>
              <w:t>​</w:t>
            </w:r>
          </w:p>
        </w:tc>
      </w:tr>
      <w:tr>
        <w:trPr/>
        <w:tc>
          <w:tcPr>
            <w:tcW w:w="3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14.0 </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16.7 </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17.9 </w:t>
            </w:r>
          </w:p>
        </w:tc>
        <w:tc>
          <w:tcPr>
            <w:tcW w:w="271"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19.0 </w:t>
            </w:r>
          </w:p>
        </w:tc>
        <w:tc>
          <w:tcPr>
            <w:tcW w:w="271"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16.9 </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3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administrative expenses</w:t>
            </w:r>
          </w:p>
        </w:tc>
        <w:tc>
          <w:tcPr>
            <w:tcW w:w="34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8.2 </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10.8 </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11.9 </w:t>
            </w:r>
          </w:p>
        </w:tc>
        <w:tc>
          <w:tcPr>
            <w:tcW w:w="271"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15.0 </w:t>
            </w:r>
          </w:p>
        </w:tc>
        <w:tc>
          <w:tcPr>
            <w:tcW w:w="271"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10.5 </w:t>
            </w:r>
          </w:p>
        </w:tc>
        <w:tc>
          <w:tcPr>
            <w:tcW w:w="393" w:type="dxa"/>
            <w:tcBorders/>
            <w:vAlign w:val="center"/>
          </w:tcPr>
          <w:p>
            <w:pPr>
              <w:pStyle w:val="TableContents"/>
              <w:bidi w:val="0"/>
              <w:spacing w:before="0" w:after="1"/>
              <w:ind w:left="0" w:right="0" w:hanging="0"/>
              <w:jc w:val="left"/>
              <w:rPr/>
            </w:pPr>
            <w:r>
              <w:rPr/>
              <w:t>​</w:t>
            </w:r>
          </w:p>
        </w:tc>
      </w:tr>
      <w:tr>
        <w:trPr/>
        <w:tc>
          <w:tcPr>
            <w:tcW w:w="3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(gain) on disposition and impairment of assets</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1"/>
              <w:ind w:left="0" w:right="0" w:hanging="0"/>
              <w:jc w:val="righ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right"/>
              <w:rPr/>
            </w:pPr>
            <w:r>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271" w:type="dxa"/>
            <w:tcBorders/>
            <w:shd w:fill="CCEEFF" w:val="clear"/>
            <w:vAlign w:val="center"/>
          </w:tcPr>
          <w:p>
            <w:pPr>
              <w:pStyle w:val="TableContents"/>
              <w:bidi w:val="0"/>
              <w:spacing w:before="0" w:after="1"/>
              <w:ind w:left="0" w:right="0" w:hanging="0"/>
              <w:jc w:val="righ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3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losses (gains), net</w:t>
            </w:r>
          </w:p>
        </w:tc>
        <w:tc>
          <w:tcPr>
            <w:tcW w:w="346" w:type="dxa"/>
            <w:tcBorders/>
            <w:vAlign w:val="center"/>
          </w:tcPr>
          <w:p>
            <w:pPr>
              <w:pStyle w:val="TableContents"/>
              <w:bidi w:val="0"/>
              <w:spacing w:before="0" w:after="1"/>
              <w:ind w:left="0" w:right="0" w:hanging="0"/>
              <w:jc w:val="lef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271" w:type="dxa"/>
            <w:tcBorders/>
            <w:vAlign w:val="center"/>
          </w:tcPr>
          <w:p>
            <w:pPr>
              <w:pStyle w:val="TableContents"/>
              <w:bidi w:val="0"/>
              <w:spacing w:before="0" w:after="1"/>
              <w:ind w:left="0" w:right="0" w:hanging="0"/>
              <w:jc w:val="left"/>
              <w:rPr/>
            </w:pPr>
            <w:r>
              <w:rPr/>
              <w:t>​</w:t>
            </w:r>
          </w:p>
        </w:tc>
        <w:tc>
          <w:tcPr>
            <w:tcW w:w="722"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0.2 </w:t>
            </w:r>
          </w:p>
        </w:tc>
        <w:tc>
          <w:tcPr>
            <w:tcW w:w="271" w:type="dxa"/>
            <w:tcBorders/>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3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5.7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5.7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6.0 </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1.7 </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6.3 </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60" w:after="80"/>
        <w:ind w:left="0" w:right="0" w:hanging="0"/>
        <w:jc w:val="both"/>
        <w:rPr>
          <w:rFonts w:ascii="Times New Roman;Times;serif" w:hAnsi="Times New Roman;Times;serif"/>
          <w:sz w:val="16"/>
        </w:rPr>
      </w:pPr>
      <w:r>
        <w:rPr>
          <w:rFonts w:ascii="Times New Roman;Times;serif" w:hAnsi="Times New Roman;Times;serif"/>
          <w:sz w:val="16"/>
        </w:rPr>
        <w:t>Note: Actual percentages are calculated and may not sum to total due to rounding.</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NET SALES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design, manufacture and market wood and wood-alternative products, primarily used to enhance outdoor living environments; for national home centers and other retailers; for engineered wood components, structural lumber, and other products for factory-built and site-built residential and commercial construction; customized interior fixtures used in a variety of retail stores, commercial, and other structures; and structural wood packaging, components and packing materials for various industries. Our strategic long-term sales objectives include:</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Maximizing unit sales growth while achieving return on investment goals.</w:t>
            </w:r>
            <w:r>
              <w:rPr>
                <w:caps w:val="false"/>
                <w:smallCaps w:val="false"/>
              </w:rPr>
              <w:t xml:space="preserve"> </w:t>
            </w:r>
            <w:r>
              <w:rPr>
                <w:rFonts w:ascii="Times New Roman;Times;serif" w:hAnsi="Times New Roman;Times;serif"/>
                <w:b w:val="false"/>
                <w:i w:val="false"/>
                <w:caps w:val="false"/>
                <w:smallCaps w:val="false"/>
                <w:sz w:val="20"/>
              </w:rPr>
              <w:t>The following table presents estimates, for the periods indicated, of our percentage change in net sales attributable to changes in overall selling prices versus changes in units shipped by segment.</w:t>
            </w:r>
          </w:p>
        </w:tc>
      </w:tr>
    </w:tbl>
    <w:tbl>
      <w:tblPr>
        <w:tblW w:w="9151" w:type="dxa"/>
        <w:jc w:val="left"/>
        <w:tblInd w:w="0" w:type="dxa"/>
        <w:tblLayout w:type="fixed"/>
        <w:tblCellMar>
          <w:top w:w="0" w:type="dxa"/>
          <w:left w:w="0" w:type="dxa"/>
          <w:bottom w:w="0" w:type="dxa"/>
          <w:right w:w="0" w:type="dxa"/>
        </w:tblCellMar>
      </w:tblPr>
      <w:tblGrid>
        <w:gridCol w:w="1186"/>
        <w:gridCol w:w="346"/>
        <w:gridCol w:w="646"/>
        <w:gridCol w:w="361"/>
        <w:gridCol w:w="811"/>
        <w:gridCol w:w="361"/>
        <w:gridCol w:w="661"/>
        <w:gridCol w:w="361"/>
        <w:gridCol w:w="1876"/>
        <w:gridCol w:w="361"/>
        <w:gridCol w:w="1666"/>
        <w:gridCol w:w="361"/>
        <w:gridCol w:w="154"/>
      </w:tblGrid>
      <w:tr>
        <w:trPr/>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753110" cy="175260"/>
                      <wp:effectExtent l="0" t="0" r="0" b="0"/>
                      <wp:wrapNone/>
                      <wp:docPr id="481" name="Frame481"/>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19710" cy="175260"/>
                      <wp:effectExtent l="0" t="0" r="0" b="0"/>
                      <wp:wrapNone/>
                      <wp:docPr id="482" name="Frame4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410210" cy="175260"/>
                      <wp:effectExtent l="0" t="0" r="0" b="0"/>
                      <wp:wrapNone/>
                      <wp:docPr id="483" name="Frame483"/>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29235" cy="175260"/>
                      <wp:effectExtent l="0" t="0" r="0" b="0"/>
                      <wp:wrapNone/>
                      <wp:docPr id="484" name="Frame48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514985" cy="175260"/>
                      <wp:effectExtent l="0" t="0" r="0" b="0"/>
                      <wp:wrapNone/>
                      <wp:docPr id="485" name="Frame48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29235" cy="175260"/>
                      <wp:effectExtent l="0" t="0" r="0" b="0"/>
                      <wp:wrapNone/>
                      <wp:docPr id="486" name="Frame48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419735" cy="175260"/>
                      <wp:effectExtent l="0" t="0" r="0" b="0"/>
                      <wp:wrapNone/>
                      <wp:docPr id="487" name="Frame487"/>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29235" cy="175260"/>
                      <wp:effectExtent l="0" t="0" r="0" b="0"/>
                      <wp:wrapNone/>
                      <wp:docPr id="488" name="Frame48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191260" cy="175260"/>
                      <wp:effectExtent l="0" t="0" r="0" b="0"/>
                      <wp:wrapNone/>
                      <wp:docPr id="489" name="Frame489"/>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29235" cy="175260"/>
                      <wp:effectExtent l="0" t="0" r="0" b="0"/>
                      <wp:wrapNone/>
                      <wp:docPr id="490" name="Frame49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057910" cy="175260"/>
                      <wp:effectExtent l="0" t="0" r="0" b="0"/>
                      <wp:wrapNone/>
                      <wp:docPr id="491" name="Frame491"/>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29235" cy="175260"/>
                      <wp:effectExtent l="0" t="0" r="0" b="0"/>
                      <wp:wrapNone/>
                      <wp:docPr id="492" name="Frame49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19" w:type="dxa"/>
            <w:gridSpan w:val="11"/>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19" w:type="dxa"/>
            <w:gridSpan w:val="11"/>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Second Quarter 2026 versus Second Quarter 2025</w:t>
            </w:r>
          </w:p>
        </w:tc>
      </w:tr>
      <w:tr>
        <w:trPr/>
        <w:tc>
          <w:tcPr>
            <w:tcW w:w="1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4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Sales</w:t>
            </w:r>
          </w:p>
        </w:tc>
        <w:tc>
          <w:tcPr>
            <w:tcW w:w="361" w:type="dxa"/>
            <w:tcBorders/>
            <w:vAlign w:val="center"/>
          </w:tcPr>
          <w:p>
            <w:pPr>
              <w:pStyle w:val="TableContents"/>
              <w:bidi w:val="0"/>
              <w:spacing w:before="0" w:after="0"/>
              <w:ind w:left="0" w:right="0" w:hanging="0"/>
              <w:jc w:val="left"/>
              <w:rPr/>
            </w:pPr>
            <w:r>
              <w:rPr/>
              <w:t>  ​ ​ ​</w:t>
            </w:r>
          </w:p>
        </w:tc>
        <w:tc>
          <w:tcPr>
            <w:tcW w:w="81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Selling </w:t>
              <w:br/>
              <w:t>Prices</w:t>
            </w:r>
          </w:p>
        </w:tc>
        <w:tc>
          <w:tcPr>
            <w:tcW w:w="361" w:type="dxa"/>
            <w:tcBorders/>
            <w:vAlign w:val="center"/>
          </w:tcPr>
          <w:p>
            <w:pPr>
              <w:pStyle w:val="TableContents"/>
              <w:bidi w:val="0"/>
              <w:spacing w:before="0" w:after="0"/>
              <w:ind w:left="0" w:right="0" w:hanging="0"/>
              <w:jc w:val="left"/>
              <w:rPr/>
            </w:pPr>
            <w:r>
              <w:rPr/>
              <w:t>  ​ ​ ​</w:t>
            </w:r>
          </w:p>
        </w:tc>
        <w:tc>
          <w:tcPr>
            <w:tcW w:w="66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Units</w:t>
            </w:r>
          </w:p>
        </w:tc>
        <w:tc>
          <w:tcPr>
            <w:tcW w:w="361" w:type="dxa"/>
            <w:tcBorders/>
            <w:vAlign w:val="center"/>
          </w:tcPr>
          <w:p>
            <w:pPr>
              <w:pStyle w:val="TableContents"/>
              <w:bidi w:val="0"/>
              <w:spacing w:before="0" w:after="0"/>
              <w:ind w:left="0" w:right="0" w:hanging="0"/>
              <w:jc w:val="left"/>
              <w:rPr/>
            </w:pPr>
            <w:r>
              <w:rPr/>
              <w:t>  ​ ​ ​</w:t>
            </w:r>
          </w:p>
        </w:tc>
        <w:tc>
          <w:tcPr>
            <w:tcW w:w="187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Acquisition Unit Change</w:t>
            </w:r>
          </w:p>
        </w:tc>
        <w:tc>
          <w:tcPr>
            <w:tcW w:w="361" w:type="dxa"/>
            <w:tcBorders/>
            <w:vAlign w:val="center"/>
          </w:tcPr>
          <w:p>
            <w:pPr>
              <w:pStyle w:val="TableContents"/>
              <w:bidi w:val="0"/>
              <w:spacing w:before="0" w:after="0"/>
              <w:ind w:left="0" w:right="0" w:hanging="0"/>
              <w:jc w:val="left"/>
              <w:rPr/>
            </w:pPr>
            <w:r>
              <w:rPr/>
              <w:t>  ​ ​ ​</w:t>
            </w:r>
          </w:p>
        </w:tc>
        <w:tc>
          <w:tcPr>
            <w:tcW w:w="166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Organic Unit Change</w:t>
            </w:r>
          </w:p>
        </w:tc>
        <w:tc>
          <w:tcPr>
            <w:tcW w:w="361" w:type="dxa"/>
            <w:tcBorders/>
            <w:vAlign w:val="center"/>
          </w:tcPr>
          <w:p>
            <w:pPr>
              <w:pStyle w:val="TableContents"/>
              <w:bidi w:val="0"/>
              <w:spacing w:before="0" w:after="0"/>
              <w:ind w:left="0" w:right="0" w:hanging="0"/>
              <w:jc w:val="left"/>
              <w:rPr/>
            </w:pPr>
            <w:r>
              <w:rPr/>
              <w:t>  ​ ​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Packaging</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87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87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Sales</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87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19" w:type="dxa"/>
            <w:gridSpan w:val="11"/>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19" w:type="dxa"/>
            <w:gridSpan w:val="11"/>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Year-to-Date 2026 versus Year-to-Date 2025</w:t>
            </w:r>
          </w:p>
        </w:tc>
      </w:tr>
      <w:tr>
        <w:trPr/>
        <w:tc>
          <w:tcPr>
            <w:tcW w:w="1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Sales</w:t>
            </w:r>
          </w:p>
        </w:tc>
        <w:tc>
          <w:tcPr>
            <w:tcW w:w="361" w:type="dxa"/>
            <w:tcBorders/>
            <w:vAlign w:val="center"/>
          </w:tcPr>
          <w:p>
            <w:pPr>
              <w:pStyle w:val="TableContents"/>
              <w:bidi w:val="0"/>
              <w:spacing w:before="0" w:after="0"/>
              <w:ind w:left="0" w:right="0" w:hanging="0"/>
              <w:jc w:val="left"/>
              <w:rPr/>
            </w:pPr>
            <w:r>
              <w:rPr/>
              <w:t>  ​ ​ ​</w:t>
            </w:r>
          </w:p>
        </w:tc>
        <w:tc>
          <w:tcPr>
            <w:tcW w:w="81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Selling </w:t>
              <w:br/>
              <w:t>Prices</w:t>
            </w:r>
          </w:p>
        </w:tc>
        <w:tc>
          <w:tcPr>
            <w:tcW w:w="361" w:type="dxa"/>
            <w:tcBorders/>
            <w:vAlign w:val="center"/>
          </w:tcPr>
          <w:p>
            <w:pPr>
              <w:pStyle w:val="TableContents"/>
              <w:bidi w:val="0"/>
              <w:spacing w:before="0" w:after="0"/>
              <w:ind w:left="0" w:right="0" w:hanging="0"/>
              <w:jc w:val="left"/>
              <w:rPr/>
            </w:pPr>
            <w:r>
              <w:rPr/>
              <w:t>  ​ ​ ​</w:t>
            </w:r>
          </w:p>
        </w:tc>
        <w:tc>
          <w:tcPr>
            <w:tcW w:w="66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Units</w:t>
            </w:r>
          </w:p>
        </w:tc>
        <w:tc>
          <w:tcPr>
            <w:tcW w:w="361" w:type="dxa"/>
            <w:tcBorders/>
            <w:vAlign w:val="center"/>
          </w:tcPr>
          <w:p>
            <w:pPr>
              <w:pStyle w:val="TableContents"/>
              <w:bidi w:val="0"/>
              <w:spacing w:before="0" w:after="0"/>
              <w:ind w:left="0" w:right="0" w:hanging="0"/>
              <w:jc w:val="left"/>
              <w:rPr/>
            </w:pPr>
            <w:r>
              <w:rPr/>
              <w:t>  ​ ​ ​</w:t>
            </w:r>
          </w:p>
        </w:tc>
        <w:tc>
          <w:tcPr>
            <w:tcW w:w="187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Acquisition Unit Change</w:t>
            </w:r>
          </w:p>
        </w:tc>
        <w:tc>
          <w:tcPr>
            <w:tcW w:w="361" w:type="dxa"/>
            <w:tcBorders/>
            <w:vAlign w:val="center"/>
          </w:tcPr>
          <w:p>
            <w:pPr>
              <w:pStyle w:val="TableContents"/>
              <w:bidi w:val="0"/>
              <w:spacing w:before="0" w:after="0"/>
              <w:ind w:left="0" w:right="0" w:hanging="0"/>
              <w:jc w:val="left"/>
              <w:rPr/>
            </w:pPr>
            <w:r>
              <w:rPr/>
              <w:t>  ​ ​ ​</w:t>
            </w:r>
          </w:p>
        </w:tc>
        <w:tc>
          <w:tcPr>
            <w:tcW w:w="166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Organic Unit Change</w:t>
            </w:r>
          </w:p>
        </w:tc>
        <w:tc>
          <w:tcPr>
            <w:tcW w:w="361" w:type="dxa"/>
            <w:tcBorders/>
            <w:vAlign w:val="center"/>
          </w:tcPr>
          <w:p>
            <w:pPr>
              <w:pStyle w:val="TableContents"/>
              <w:bidi w:val="0"/>
              <w:spacing w:before="0" w:after="0"/>
              <w:ind w:left="0" w:right="0" w:hanging="0"/>
              <w:jc w:val="left"/>
              <w:rPr/>
            </w:pPr>
            <w:r>
              <w:rPr/>
              <w:t>  ​ ​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Packaging</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66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87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87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Sales</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tbl>
      <w:tblPr>
        <w:tblW w:w="5642" w:type="dxa"/>
        <w:jc w:val="left"/>
        <w:tblInd w:w="0" w:type="dxa"/>
        <w:tblLayout w:type="fixed"/>
        <w:tblCellMar>
          <w:top w:w="0" w:type="dxa"/>
          <w:left w:w="0" w:type="dxa"/>
          <w:bottom w:w="0" w:type="dxa"/>
          <w:right w:w="0" w:type="dxa"/>
        </w:tblCellMar>
      </w:tblPr>
      <w:tblGrid>
        <w:gridCol w:w="271"/>
        <w:gridCol w:w="5371"/>
      </w:tblGrid>
      <w:tr>
        <w:trPr/>
        <w:tc>
          <w:tcPr>
            <w:tcW w:w="271" w:type="dxa"/>
            <w:tcBorders/>
            <w:vAlign w:val="center"/>
          </w:tcPr>
          <w:p>
            <w:pPr>
              <w:pStyle w:val="TableContents"/>
              <w:bidi w:val="0"/>
              <w:spacing w:before="0" w:after="283"/>
              <w:jc w:val="left"/>
              <w:rPr/>
            </w:pPr>
            <w:r>
              <w:rPr/>
              <w:t>●</w:t>
            </w:r>
          </w:p>
        </w:tc>
        <w:tc>
          <w:tcPr>
            <w:tcW w:w="5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geographically in our higher margin core businesses.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Increasing our sales of “value-added” products and enhancing our product offering with new or improved products.</w:t>
            </w:r>
            <w:r>
              <w:rPr>
                <w:caps w:val="false"/>
                <w:smallCaps w:val="false"/>
              </w:rPr>
              <w:t xml:space="preserve"> </w:t>
            </w:r>
            <w:r>
              <w:rPr>
                <w:rFonts w:ascii="Times New Roman;Times;serif" w:hAnsi="Times New Roman;Times;serif"/>
                <w:b w:val="false"/>
                <w:i w:val="false"/>
                <w:caps w:val="false"/>
                <w:smallCaps w:val="false"/>
                <w:sz w:val="20"/>
              </w:rPr>
              <w:t>Value-added products generally consist of fencing, decking, lattice, and other specialty products sold in the Retail segment; structural and protective packaging and machine-built pallets sold in the Packaging segment; engineered wood components, customized interior fixtures, manufactured and assembled concrete forms sold in the Construction segment; and “wood alternative” products. Engineered wood components include roof trusses, wall panels, and floor systems. Wood-alternative products consist of products manufactured with wood and non-wood composites, metals and plastics sold in each of our segments. Although we consider the treatment of dimensional lumber and panels with certain chemical preservatives a value-added process, treated lumber is not presently included in the value-added sales totals. Remanufactured lumber and panels that are components of finished goods are also generally categorized as “commodity-based” products. We estimate that approximately 80% of our sales consist of products we manufacture at our locations, while 20% of our sales consist of products manufactured by suppliers that we inventory and distribute to customers.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following table presents, for the periods indicated, our percentage of value-added and commodity-based sales to total sales by our segments:</w:t>
      </w:r>
    </w:p>
    <w:tbl>
      <w:tblPr>
        <w:tblW w:w="10205" w:type="dxa"/>
        <w:jc w:val="left"/>
        <w:tblInd w:w="0" w:type="dxa"/>
        <w:tblLayout w:type="fixed"/>
        <w:tblCellMar>
          <w:top w:w="0" w:type="dxa"/>
          <w:left w:w="0" w:type="dxa"/>
          <w:bottom w:w="0" w:type="dxa"/>
          <w:right w:w="0" w:type="dxa"/>
        </w:tblCellMar>
      </w:tblPr>
      <w:tblGrid>
        <w:gridCol w:w="1354"/>
        <w:gridCol w:w="394"/>
        <w:gridCol w:w="1083"/>
        <w:gridCol w:w="571"/>
        <w:gridCol w:w="394"/>
        <w:gridCol w:w="531"/>
        <w:gridCol w:w="1174"/>
        <w:gridCol w:w="394"/>
        <w:gridCol w:w="1083"/>
        <w:gridCol w:w="571"/>
        <w:gridCol w:w="394"/>
        <w:gridCol w:w="531"/>
        <w:gridCol w:w="1174"/>
        <w:gridCol w:w="394"/>
        <w:gridCol w:w="163"/>
      </w:tblGrid>
      <w:tr>
        <w:trPr/>
        <w:tc>
          <w:tcPr>
            <w:tcW w:w="1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859790" cy="175260"/>
                      <wp:effectExtent l="0" t="0" r="0" b="0"/>
                      <wp:wrapNone/>
                      <wp:docPr id="493" name="Frame493"/>
                      <a:graphic xmlns:a="http://schemas.openxmlformats.org/drawingml/2006/main">
                        <a:graphicData uri="http://schemas.microsoft.com/office/word/2010/wordprocessingShape">
                          <wps:wsp>
                            <wps:cNvSpPr txBox="1"/>
                            <wps:spPr>
                              <a:xfrm>
                                <a:off x="0" y="0"/>
                                <a:ext cx="859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50190" cy="175260"/>
                      <wp:effectExtent l="0" t="0" r="0" b="0"/>
                      <wp:wrapNone/>
                      <wp:docPr id="494" name="Frame494"/>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87705" cy="175260"/>
                      <wp:effectExtent l="0" t="0" r="0" b="0"/>
                      <wp:wrapNone/>
                      <wp:docPr id="495" name="Frame495"/>
                      <a:graphic xmlns:a="http://schemas.openxmlformats.org/drawingml/2006/main">
                        <a:graphicData uri="http://schemas.microsoft.com/office/word/2010/wordprocessingShape">
                          <wps:wsp>
                            <wps:cNvSpPr txBox="1"/>
                            <wps:spPr>
                              <a:xfrm>
                                <a:off x="0" y="0"/>
                                <a:ext cx="687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362585" cy="175260"/>
                      <wp:effectExtent l="0" t="0" r="0" b="0"/>
                      <wp:wrapNone/>
                      <wp:docPr id="496" name="Frame49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50190" cy="175260"/>
                      <wp:effectExtent l="0" t="0" r="0" b="0"/>
                      <wp:wrapNone/>
                      <wp:docPr id="497" name="Frame497"/>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337185" cy="175260"/>
                      <wp:effectExtent l="0" t="0" r="0" b="0"/>
                      <wp:wrapNone/>
                      <wp:docPr id="498" name="Frame498"/>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745490" cy="175260"/>
                      <wp:effectExtent l="0" t="0" r="0" b="0"/>
                      <wp:wrapNone/>
                      <wp:docPr id="499" name="Frame499"/>
                      <a:graphic xmlns:a="http://schemas.openxmlformats.org/drawingml/2006/main">
                        <a:graphicData uri="http://schemas.microsoft.com/office/word/2010/wordprocessingShape">
                          <wps:wsp>
                            <wps:cNvSpPr txBox="1"/>
                            <wps:spPr>
                              <a:xfrm>
                                <a:off x="0" y="0"/>
                                <a:ext cx="745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50190" cy="175260"/>
                      <wp:effectExtent l="0" t="0" r="0" b="0"/>
                      <wp:wrapNone/>
                      <wp:docPr id="500" name="Frame500"/>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87705" cy="175260"/>
                      <wp:effectExtent l="0" t="0" r="0" b="0"/>
                      <wp:wrapNone/>
                      <wp:docPr id="501" name="Frame501"/>
                      <a:graphic xmlns:a="http://schemas.openxmlformats.org/drawingml/2006/main">
                        <a:graphicData uri="http://schemas.microsoft.com/office/word/2010/wordprocessingShape">
                          <wps:wsp>
                            <wps:cNvSpPr txBox="1"/>
                            <wps:spPr>
                              <a:xfrm>
                                <a:off x="0" y="0"/>
                                <a:ext cx="687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362585" cy="175260"/>
                      <wp:effectExtent l="0" t="0" r="0" b="0"/>
                      <wp:wrapNone/>
                      <wp:docPr id="502" name="Frame50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50190" cy="175260"/>
                      <wp:effectExtent l="0" t="0" r="0" b="0"/>
                      <wp:wrapNone/>
                      <wp:docPr id="503" name="Frame503"/>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337185" cy="175260"/>
                      <wp:effectExtent l="0" t="0" r="0" b="0"/>
                      <wp:wrapNone/>
                      <wp:docPr id="504" name="Frame504"/>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745490" cy="175260"/>
                      <wp:effectExtent l="0" t="0" r="0" b="0"/>
                      <wp:wrapNone/>
                      <wp:docPr id="505" name="Frame505"/>
                      <a:graphic xmlns:a="http://schemas.openxmlformats.org/drawingml/2006/main">
                        <a:graphicData uri="http://schemas.microsoft.com/office/word/2010/wordprocessingShape">
                          <wps:wsp>
                            <wps:cNvSpPr txBox="1"/>
                            <wps:spPr>
                              <a:xfrm>
                                <a:off x="0" y="0"/>
                                <a:ext cx="745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50190" cy="175260"/>
                      <wp:effectExtent l="0" t="0" r="0" b="0"/>
                      <wp:wrapNone/>
                      <wp:docPr id="506" name="Frame506"/>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3" w:type="dxa"/>
            <w:tcBorders/>
            <w:vAlign w:val="center"/>
          </w:tcPr>
          <w:p>
            <w:pPr>
              <w:pStyle w:val="TableContents"/>
              <w:bidi w:val="0"/>
              <w:spacing w:before="0" w:after="283"/>
              <w:ind w:left="0" w:right="0" w:hanging="0"/>
              <w:jc w:val="left"/>
              <w:rPr>
                <w:sz w:val="4"/>
                <w:szCs w:val="4"/>
              </w:rPr>
            </w:pPr>
            <w:r>
              <w:rPr>
                <w:sz w:val="4"/>
                <w:szCs w:val="4"/>
              </w:rPr>
            </w:r>
          </w:p>
        </w:tc>
      </w:tr>
      <w:tr>
        <w:trPr/>
        <w:tc>
          <w:tcPr>
            <w:tcW w:w="1354"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3753"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27, 2026</w:t>
            </w:r>
          </w:p>
        </w:tc>
        <w:tc>
          <w:tcPr>
            <w:tcW w:w="394" w:type="dxa"/>
            <w:tcBorders/>
            <w:vAlign w:val="center"/>
          </w:tcPr>
          <w:p>
            <w:pPr>
              <w:pStyle w:val="TableContents"/>
              <w:bidi w:val="0"/>
              <w:spacing w:before="0" w:after="1"/>
              <w:ind w:left="0" w:right="0" w:hanging="0"/>
              <w:jc w:val="left"/>
              <w:rPr/>
            </w:pPr>
            <w:r>
              <w:rPr/>
              <w:t>​</w:t>
            </w:r>
          </w:p>
        </w:tc>
        <w:tc>
          <w:tcPr>
            <w:tcW w:w="3753"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28, 2025</w:t>
            </w:r>
          </w:p>
        </w:tc>
        <w:tc>
          <w:tcPr>
            <w:tcW w:w="394" w:type="dxa"/>
            <w:tcBorders/>
            <w:vAlign w:val="center"/>
          </w:tcPr>
          <w:p>
            <w:pPr>
              <w:pStyle w:val="TableContents"/>
              <w:bidi w:val="0"/>
              <w:spacing w:before="0" w:after="1"/>
              <w:ind w:left="0" w:right="0" w:hanging="0"/>
              <w:jc w:val="left"/>
              <w:rPr/>
            </w:pPr>
            <w:r>
              <w:rPr/>
              <w:t>​</w:t>
            </w:r>
          </w:p>
        </w:tc>
        <w:tc>
          <w:tcPr>
            <w:tcW w:w="16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54"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  ​ ​ ​</w:t>
            </w:r>
          </w:p>
        </w:tc>
        <w:tc>
          <w:tcPr>
            <w:tcW w:w="1654"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Value-Added</w:t>
            </w:r>
          </w:p>
        </w:tc>
        <w:tc>
          <w:tcPr>
            <w:tcW w:w="394" w:type="dxa"/>
            <w:tcBorders/>
            <w:vAlign w:val="center"/>
          </w:tcPr>
          <w:p>
            <w:pPr>
              <w:pStyle w:val="TableContents"/>
              <w:bidi w:val="0"/>
              <w:spacing w:before="0" w:after="1"/>
              <w:ind w:left="0" w:right="0" w:hanging="0"/>
              <w:jc w:val="left"/>
              <w:rPr/>
            </w:pPr>
            <w:r>
              <w:rPr/>
              <w:t>  ​ ​ ​</w:t>
            </w:r>
          </w:p>
        </w:tc>
        <w:tc>
          <w:tcPr>
            <w:tcW w:w="1705"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Commodity-Based</w:t>
            </w:r>
          </w:p>
        </w:tc>
        <w:tc>
          <w:tcPr>
            <w:tcW w:w="394" w:type="dxa"/>
            <w:tcBorders/>
            <w:vAlign w:val="center"/>
          </w:tcPr>
          <w:p>
            <w:pPr>
              <w:pStyle w:val="TableContents"/>
              <w:bidi w:val="0"/>
              <w:spacing w:before="0" w:after="1"/>
              <w:ind w:left="0" w:right="0" w:hanging="0"/>
              <w:jc w:val="left"/>
              <w:rPr/>
            </w:pPr>
            <w:r>
              <w:rPr/>
              <w:t>  ​ ​ ​</w:t>
            </w:r>
          </w:p>
        </w:tc>
        <w:tc>
          <w:tcPr>
            <w:tcW w:w="1654"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Value-Added</w:t>
            </w:r>
          </w:p>
        </w:tc>
        <w:tc>
          <w:tcPr>
            <w:tcW w:w="394" w:type="dxa"/>
            <w:tcBorders/>
            <w:vAlign w:val="center"/>
          </w:tcPr>
          <w:p>
            <w:pPr>
              <w:pStyle w:val="TableContents"/>
              <w:bidi w:val="0"/>
              <w:spacing w:before="0" w:after="1"/>
              <w:ind w:left="0" w:right="0" w:hanging="0"/>
              <w:jc w:val="left"/>
              <w:rPr/>
            </w:pPr>
            <w:r>
              <w:rPr/>
              <w:t>  ​ ​ ​</w:t>
            </w:r>
          </w:p>
        </w:tc>
        <w:tc>
          <w:tcPr>
            <w:tcW w:w="1705"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Commodity-Based</w:t>
            </w:r>
          </w:p>
        </w:tc>
        <w:tc>
          <w:tcPr>
            <w:tcW w:w="394" w:type="dxa"/>
            <w:tcBorders/>
            <w:vAlign w:val="center"/>
          </w:tcPr>
          <w:p>
            <w:pPr>
              <w:pStyle w:val="TableContents"/>
              <w:bidi w:val="0"/>
              <w:spacing w:before="0" w:after="1"/>
              <w:ind w:left="0" w:right="0" w:hanging="0"/>
              <w:jc w:val="left"/>
              <w:rPr/>
            </w:pPr>
            <w:r>
              <w:rPr/>
              <w:t>​</w:t>
            </w:r>
          </w:p>
        </w:tc>
        <w:tc>
          <w:tcPr>
            <w:tcW w:w="16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Retail</w:t>
            </w:r>
          </w:p>
        </w:tc>
        <w:tc>
          <w:tcPr>
            <w:tcW w:w="394" w:type="dxa"/>
            <w:tcBorders/>
            <w:shd w:fill="CCEEFF" w:val="clear"/>
            <w:vAlign w:val="center"/>
          </w:tcPr>
          <w:p>
            <w:pPr>
              <w:pStyle w:val="TableContents"/>
              <w:bidi w:val="0"/>
              <w:spacing w:before="0" w:after="1"/>
              <w:ind w:left="0" w:right="0" w:hanging="0"/>
              <w:jc w:val="left"/>
              <w:rPr/>
            </w:pPr>
            <w:r>
              <w:rPr/>
              <w:t> </w:t>
            </w:r>
          </w:p>
        </w:tc>
        <w:tc>
          <w:tcPr>
            <w:tcW w:w="10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w:t>
            </w:r>
          </w:p>
        </w:tc>
        <w:tc>
          <w:tcPr>
            <w:tcW w:w="11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1"/>
              <w:ind w:left="0" w:right="0" w:hanging="0"/>
              <w:jc w:val="left"/>
              <w:rPr/>
            </w:pPr>
            <w:r>
              <w:rPr/>
              <w:t> </w:t>
            </w:r>
          </w:p>
        </w:tc>
        <w:tc>
          <w:tcPr>
            <w:tcW w:w="10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w:t>
            </w:r>
          </w:p>
        </w:tc>
        <w:tc>
          <w:tcPr>
            <w:tcW w:w="11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1"/>
              <w:ind w:left="0" w:right="0" w:hanging="0"/>
              <w:jc w:val="left"/>
              <w:rPr/>
            </w:pPr>
            <w:r>
              <w:rPr/>
              <w:t>​</w:t>
            </w:r>
          </w:p>
        </w:tc>
        <w:tc>
          <w:tcPr>
            <w:tcW w:w="16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Packaging</w:t>
            </w:r>
          </w:p>
        </w:tc>
        <w:tc>
          <w:tcPr>
            <w:tcW w:w="394" w:type="dxa"/>
            <w:tcBorders/>
            <w:vAlign w:val="center"/>
          </w:tcPr>
          <w:p>
            <w:pPr>
              <w:pStyle w:val="TableContents"/>
              <w:bidi w:val="0"/>
              <w:spacing w:before="0" w:after="1"/>
              <w:ind w:left="0" w:right="0" w:hanging="0"/>
              <w:jc w:val="left"/>
              <w:rPr/>
            </w:pPr>
            <w:r>
              <w:rPr/>
              <w:t>​</w:t>
            </w:r>
          </w:p>
        </w:tc>
        <w:tc>
          <w:tcPr>
            <w:tcW w:w="10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w:t>
            </w:r>
          </w:p>
        </w:tc>
        <w:tc>
          <w:tcPr>
            <w:tcW w:w="11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vAlign w:val="center"/>
          </w:tcPr>
          <w:p>
            <w:pPr>
              <w:pStyle w:val="TableContents"/>
              <w:bidi w:val="0"/>
              <w:spacing w:before="0" w:after="1"/>
              <w:ind w:left="0" w:right="0" w:hanging="0"/>
              <w:jc w:val="left"/>
              <w:rPr/>
            </w:pPr>
            <w:r>
              <w:rPr/>
              <w:t>​</w:t>
            </w:r>
          </w:p>
        </w:tc>
        <w:tc>
          <w:tcPr>
            <w:tcW w:w="10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74.8</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w:t>
            </w:r>
          </w:p>
        </w:tc>
        <w:tc>
          <w:tcPr>
            <w:tcW w:w="11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vAlign w:val="center"/>
          </w:tcPr>
          <w:p>
            <w:pPr>
              <w:pStyle w:val="TableContents"/>
              <w:bidi w:val="0"/>
              <w:spacing w:before="0" w:after="1"/>
              <w:ind w:left="0" w:right="0" w:hanging="0"/>
              <w:jc w:val="left"/>
              <w:rPr/>
            </w:pPr>
            <w:r>
              <w:rPr/>
              <w:t>​</w:t>
            </w:r>
          </w:p>
        </w:tc>
        <w:tc>
          <w:tcPr>
            <w:tcW w:w="16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94" w:type="dxa"/>
            <w:tcBorders/>
            <w:shd w:fill="CCEEFF" w:val="clear"/>
            <w:vAlign w:val="center"/>
          </w:tcPr>
          <w:p>
            <w:pPr>
              <w:pStyle w:val="TableContents"/>
              <w:bidi w:val="0"/>
              <w:spacing w:before="0" w:after="1"/>
              <w:ind w:left="0" w:right="0" w:hanging="0"/>
              <w:jc w:val="left"/>
              <w:rPr/>
            </w:pPr>
            <w:r>
              <w:rPr/>
              <w:t>​</w:t>
            </w:r>
          </w:p>
        </w:tc>
        <w:tc>
          <w:tcPr>
            <w:tcW w:w="10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82.8</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11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1"/>
              <w:ind w:left="0" w:right="0" w:hanging="0"/>
              <w:jc w:val="left"/>
              <w:rPr/>
            </w:pPr>
            <w:r>
              <w:rPr/>
              <w:t>​</w:t>
            </w:r>
          </w:p>
        </w:tc>
        <w:tc>
          <w:tcPr>
            <w:tcW w:w="10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80.7</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11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1"/>
              <w:ind w:left="0" w:right="0" w:hanging="0"/>
              <w:jc w:val="left"/>
              <w:rPr/>
            </w:pPr>
            <w:r>
              <w:rPr/>
              <w:t>​</w:t>
            </w:r>
          </w:p>
        </w:tc>
        <w:tc>
          <w:tcPr>
            <w:tcW w:w="16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Other</w:t>
            </w:r>
          </w:p>
        </w:tc>
        <w:tc>
          <w:tcPr>
            <w:tcW w:w="394" w:type="dxa"/>
            <w:tcBorders/>
            <w:vAlign w:val="center"/>
          </w:tcPr>
          <w:p>
            <w:pPr>
              <w:pStyle w:val="TableContents"/>
              <w:bidi w:val="0"/>
              <w:spacing w:before="0" w:after="1"/>
              <w:ind w:left="0" w:right="0" w:hanging="0"/>
              <w:jc w:val="left"/>
              <w:rPr/>
            </w:pPr>
            <w:r>
              <w:rPr/>
              <w:t>​</w:t>
            </w:r>
          </w:p>
        </w:tc>
        <w:tc>
          <w:tcPr>
            <w:tcW w:w="10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c>
          <w:tcPr>
            <w:tcW w:w="11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vAlign w:val="center"/>
          </w:tcPr>
          <w:p>
            <w:pPr>
              <w:pStyle w:val="TableContents"/>
              <w:bidi w:val="0"/>
              <w:spacing w:before="0" w:after="1"/>
              <w:ind w:left="0" w:right="0" w:hanging="0"/>
              <w:jc w:val="left"/>
              <w:rPr/>
            </w:pPr>
            <w:r>
              <w:rPr/>
              <w:t>​</w:t>
            </w:r>
          </w:p>
        </w:tc>
        <w:tc>
          <w:tcPr>
            <w:tcW w:w="10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w:t>
            </w:r>
          </w:p>
        </w:tc>
        <w:tc>
          <w:tcPr>
            <w:tcW w:w="11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vAlign w:val="center"/>
          </w:tcPr>
          <w:p>
            <w:pPr>
              <w:pStyle w:val="TableContents"/>
              <w:bidi w:val="0"/>
              <w:spacing w:before="0" w:after="1"/>
              <w:ind w:left="0" w:right="0" w:hanging="0"/>
              <w:jc w:val="left"/>
              <w:rPr/>
            </w:pPr>
            <w:r>
              <w:rPr/>
              <w:t>​</w:t>
            </w:r>
          </w:p>
        </w:tc>
        <w:tc>
          <w:tcPr>
            <w:tcW w:w="16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94" w:type="dxa"/>
            <w:tcBorders/>
            <w:shd w:fill="CCEEFF" w:val="clear"/>
            <w:vAlign w:val="center"/>
          </w:tcPr>
          <w:p>
            <w:pPr>
              <w:pStyle w:val="TableContents"/>
              <w:bidi w:val="0"/>
              <w:spacing w:before="0" w:after="1"/>
              <w:ind w:left="0" w:right="0" w:hanging="0"/>
              <w:jc w:val="left"/>
              <w:rPr/>
            </w:pPr>
            <w:r>
              <w:rPr/>
              <w:t>​</w:t>
            </w:r>
          </w:p>
        </w:tc>
        <w:tc>
          <w:tcPr>
            <w:tcW w:w="10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72.6</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w:t>
            </w:r>
          </w:p>
        </w:tc>
        <w:tc>
          <w:tcPr>
            <w:tcW w:w="11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1"/>
              <w:ind w:left="0" w:right="0" w:hanging="0"/>
              <w:jc w:val="left"/>
              <w:rPr/>
            </w:pPr>
            <w:r>
              <w:rPr/>
              <w:t>​</w:t>
            </w:r>
          </w:p>
        </w:tc>
        <w:tc>
          <w:tcPr>
            <w:tcW w:w="10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11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1"/>
              <w:ind w:left="0" w:right="0" w:hanging="0"/>
              <w:jc w:val="left"/>
              <w:rPr/>
            </w:pPr>
            <w:r>
              <w:rPr/>
              <w:t>​</w:t>
            </w:r>
          </w:p>
        </w:tc>
        <w:tc>
          <w:tcPr>
            <w:tcW w:w="16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Sales</w:t>
            </w:r>
          </w:p>
        </w:tc>
        <w:tc>
          <w:tcPr>
            <w:tcW w:w="394" w:type="dxa"/>
            <w:tcBorders/>
            <w:vAlign w:val="center"/>
          </w:tcPr>
          <w:p>
            <w:pPr>
              <w:pStyle w:val="TableContents"/>
              <w:bidi w:val="0"/>
              <w:spacing w:before="0" w:after="1"/>
              <w:ind w:left="0" w:right="0" w:hanging="0"/>
              <w:jc w:val="left"/>
              <w:rPr/>
            </w:pPr>
            <w:r>
              <w:rPr/>
              <w:t>​</w:t>
            </w:r>
          </w:p>
        </w:tc>
        <w:tc>
          <w:tcPr>
            <w:tcW w:w="10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w:t>
            </w:r>
          </w:p>
        </w:tc>
        <w:tc>
          <w:tcPr>
            <w:tcW w:w="11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vAlign w:val="center"/>
          </w:tcPr>
          <w:p>
            <w:pPr>
              <w:pStyle w:val="TableContents"/>
              <w:bidi w:val="0"/>
              <w:spacing w:before="0" w:after="1"/>
              <w:ind w:left="0" w:right="0" w:hanging="0"/>
              <w:jc w:val="left"/>
              <w:rPr/>
            </w:pPr>
            <w:r>
              <w:rPr/>
              <w:t>​</w:t>
            </w:r>
          </w:p>
        </w:tc>
        <w:tc>
          <w:tcPr>
            <w:tcW w:w="10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w:t>
            </w:r>
          </w:p>
        </w:tc>
        <w:tc>
          <w:tcPr>
            <w:tcW w:w="11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vAlign w:val="center"/>
          </w:tcPr>
          <w:p>
            <w:pPr>
              <w:pStyle w:val="TableContents"/>
              <w:bidi w:val="0"/>
              <w:spacing w:before="0" w:after="1"/>
              <w:ind w:left="0" w:right="0" w:hanging="0"/>
              <w:jc w:val="left"/>
              <w:rPr/>
            </w:pPr>
            <w:r>
              <w:rPr/>
              <w:t>​</w:t>
            </w:r>
          </w:p>
        </w:tc>
        <w:tc>
          <w:tcPr>
            <w:tcW w:w="16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54"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1083"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pPr>
            <w:r>
              <w:rPr/>
              <w:t>​</w:t>
            </w:r>
          </w:p>
        </w:tc>
        <w:tc>
          <w:tcPr>
            <w:tcW w:w="1174"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1083"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pPr>
            <w:r>
              <w:rPr/>
              <w:t>​</w:t>
            </w:r>
          </w:p>
        </w:tc>
        <w:tc>
          <w:tcPr>
            <w:tcW w:w="1174"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16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54"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3753"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27, 2026</w:t>
            </w:r>
          </w:p>
        </w:tc>
        <w:tc>
          <w:tcPr>
            <w:tcW w:w="394" w:type="dxa"/>
            <w:tcBorders/>
            <w:vAlign w:val="center"/>
          </w:tcPr>
          <w:p>
            <w:pPr>
              <w:pStyle w:val="TableContents"/>
              <w:bidi w:val="0"/>
              <w:spacing w:before="0" w:after="1"/>
              <w:ind w:left="0" w:right="0" w:hanging="0"/>
              <w:jc w:val="left"/>
              <w:rPr/>
            </w:pPr>
            <w:r>
              <w:rPr/>
              <w:t>​</w:t>
            </w:r>
          </w:p>
        </w:tc>
        <w:tc>
          <w:tcPr>
            <w:tcW w:w="3753"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28, 2025</w:t>
            </w:r>
          </w:p>
        </w:tc>
        <w:tc>
          <w:tcPr>
            <w:tcW w:w="394" w:type="dxa"/>
            <w:tcBorders/>
            <w:vAlign w:val="center"/>
          </w:tcPr>
          <w:p>
            <w:pPr>
              <w:pStyle w:val="TableContents"/>
              <w:bidi w:val="0"/>
              <w:spacing w:before="0" w:after="1"/>
              <w:ind w:left="0" w:right="0" w:hanging="0"/>
              <w:jc w:val="left"/>
              <w:rPr/>
            </w:pPr>
            <w:r>
              <w:rPr/>
              <w:t>​</w:t>
            </w:r>
          </w:p>
        </w:tc>
        <w:tc>
          <w:tcPr>
            <w:tcW w:w="16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54"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  ​ ​ ​</w:t>
            </w:r>
          </w:p>
        </w:tc>
        <w:tc>
          <w:tcPr>
            <w:tcW w:w="1654"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Value-Added</w:t>
            </w:r>
          </w:p>
        </w:tc>
        <w:tc>
          <w:tcPr>
            <w:tcW w:w="394" w:type="dxa"/>
            <w:tcBorders/>
            <w:vAlign w:val="center"/>
          </w:tcPr>
          <w:p>
            <w:pPr>
              <w:pStyle w:val="TableContents"/>
              <w:bidi w:val="0"/>
              <w:spacing w:before="0" w:after="1"/>
              <w:ind w:left="0" w:right="0" w:hanging="0"/>
              <w:jc w:val="left"/>
              <w:rPr/>
            </w:pPr>
            <w:r>
              <w:rPr/>
              <w:t>  ​ ​ ​</w:t>
            </w:r>
          </w:p>
        </w:tc>
        <w:tc>
          <w:tcPr>
            <w:tcW w:w="1705"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Commodity-Based</w:t>
            </w:r>
          </w:p>
        </w:tc>
        <w:tc>
          <w:tcPr>
            <w:tcW w:w="394" w:type="dxa"/>
            <w:tcBorders/>
            <w:vAlign w:val="center"/>
          </w:tcPr>
          <w:p>
            <w:pPr>
              <w:pStyle w:val="TableContents"/>
              <w:bidi w:val="0"/>
              <w:spacing w:before="0" w:after="1"/>
              <w:ind w:left="0" w:right="0" w:hanging="0"/>
              <w:jc w:val="left"/>
              <w:rPr/>
            </w:pPr>
            <w:r>
              <w:rPr/>
              <w:t>  ​ ​ ​</w:t>
            </w:r>
          </w:p>
        </w:tc>
        <w:tc>
          <w:tcPr>
            <w:tcW w:w="1654"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Value-Added</w:t>
            </w:r>
          </w:p>
        </w:tc>
        <w:tc>
          <w:tcPr>
            <w:tcW w:w="394" w:type="dxa"/>
            <w:tcBorders/>
            <w:vAlign w:val="center"/>
          </w:tcPr>
          <w:p>
            <w:pPr>
              <w:pStyle w:val="TableContents"/>
              <w:bidi w:val="0"/>
              <w:spacing w:before="0" w:after="1"/>
              <w:ind w:left="0" w:right="0" w:hanging="0"/>
              <w:jc w:val="left"/>
              <w:rPr/>
            </w:pPr>
            <w:r>
              <w:rPr/>
              <w:t>  ​ ​ ​</w:t>
            </w:r>
          </w:p>
        </w:tc>
        <w:tc>
          <w:tcPr>
            <w:tcW w:w="1705"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Commodity-Based</w:t>
            </w:r>
          </w:p>
        </w:tc>
        <w:tc>
          <w:tcPr>
            <w:tcW w:w="394" w:type="dxa"/>
            <w:tcBorders/>
            <w:vAlign w:val="center"/>
          </w:tcPr>
          <w:p>
            <w:pPr>
              <w:pStyle w:val="TableContents"/>
              <w:bidi w:val="0"/>
              <w:spacing w:before="0" w:after="1"/>
              <w:ind w:left="0" w:right="0" w:hanging="0"/>
              <w:jc w:val="left"/>
              <w:rPr/>
            </w:pPr>
            <w:r>
              <w:rPr/>
              <w:t>  ​ ​ ​</w:t>
            </w:r>
          </w:p>
        </w:tc>
        <w:tc>
          <w:tcPr>
            <w:tcW w:w="16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Retail</w:t>
            </w:r>
          </w:p>
        </w:tc>
        <w:tc>
          <w:tcPr>
            <w:tcW w:w="394" w:type="dxa"/>
            <w:tcBorders/>
            <w:shd w:fill="CCEEFF" w:val="clear"/>
            <w:vAlign w:val="center"/>
          </w:tcPr>
          <w:p>
            <w:pPr>
              <w:pStyle w:val="TableContents"/>
              <w:bidi w:val="0"/>
              <w:spacing w:before="0" w:after="1"/>
              <w:ind w:left="0" w:right="0" w:hanging="0"/>
              <w:jc w:val="left"/>
              <w:rPr/>
            </w:pPr>
            <w:r>
              <w:rPr/>
              <w:t> </w:t>
            </w:r>
          </w:p>
        </w:tc>
        <w:tc>
          <w:tcPr>
            <w:tcW w:w="10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w:t>
            </w:r>
          </w:p>
        </w:tc>
        <w:tc>
          <w:tcPr>
            <w:tcW w:w="11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1"/>
              <w:ind w:left="0" w:right="0" w:hanging="0"/>
              <w:jc w:val="left"/>
              <w:rPr/>
            </w:pPr>
            <w:r>
              <w:rPr/>
              <w:t> </w:t>
            </w:r>
          </w:p>
        </w:tc>
        <w:tc>
          <w:tcPr>
            <w:tcW w:w="10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w:t>
            </w:r>
          </w:p>
        </w:tc>
        <w:tc>
          <w:tcPr>
            <w:tcW w:w="11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1"/>
              <w:ind w:left="0" w:right="0" w:hanging="0"/>
              <w:jc w:val="left"/>
              <w:rPr/>
            </w:pPr>
            <w:r>
              <w:rPr/>
              <w:t>​</w:t>
            </w:r>
          </w:p>
        </w:tc>
        <w:tc>
          <w:tcPr>
            <w:tcW w:w="16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Packaging</w:t>
            </w:r>
          </w:p>
        </w:tc>
        <w:tc>
          <w:tcPr>
            <w:tcW w:w="394" w:type="dxa"/>
            <w:tcBorders/>
            <w:vAlign w:val="center"/>
          </w:tcPr>
          <w:p>
            <w:pPr>
              <w:pStyle w:val="TableContents"/>
              <w:bidi w:val="0"/>
              <w:spacing w:before="0" w:after="1"/>
              <w:ind w:left="0" w:right="0" w:hanging="0"/>
              <w:jc w:val="left"/>
              <w:rPr/>
            </w:pPr>
            <w:r>
              <w:rPr/>
              <w:t>​</w:t>
            </w:r>
          </w:p>
        </w:tc>
        <w:tc>
          <w:tcPr>
            <w:tcW w:w="10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w:t>
            </w:r>
          </w:p>
        </w:tc>
        <w:tc>
          <w:tcPr>
            <w:tcW w:w="11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vAlign w:val="center"/>
          </w:tcPr>
          <w:p>
            <w:pPr>
              <w:pStyle w:val="TableContents"/>
              <w:bidi w:val="0"/>
              <w:spacing w:before="0" w:after="1"/>
              <w:ind w:left="0" w:right="0" w:hanging="0"/>
              <w:jc w:val="left"/>
              <w:rPr/>
            </w:pPr>
            <w:r>
              <w:rPr/>
              <w:t>​</w:t>
            </w:r>
          </w:p>
        </w:tc>
        <w:tc>
          <w:tcPr>
            <w:tcW w:w="10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11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vAlign w:val="center"/>
          </w:tcPr>
          <w:p>
            <w:pPr>
              <w:pStyle w:val="TableContents"/>
              <w:bidi w:val="0"/>
              <w:spacing w:before="0" w:after="1"/>
              <w:ind w:left="0" w:right="0" w:hanging="0"/>
              <w:jc w:val="left"/>
              <w:rPr/>
            </w:pPr>
            <w:r>
              <w:rPr/>
              <w:t>​</w:t>
            </w:r>
          </w:p>
        </w:tc>
        <w:tc>
          <w:tcPr>
            <w:tcW w:w="16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94" w:type="dxa"/>
            <w:tcBorders/>
            <w:shd w:fill="CCEEFF" w:val="clear"/>
            <w:vAlign w:val="center"/>
          </w:tcPr>
          <w:p>
            <w:pPr>
              <w:pStyle w:val="TableContents"/>
              <w:bidi w:val="0"/>
              <w:spacing w:before="0" w:after="1"/>
              <w:ind w:left="0" w:right="0" w:hanging="0"/>
              <w:jc w:val="left"/>
              <w:rPr/>
            </w:pPr>
            <w:r>
              <w:rPr/>
              <w:t>​</w:t>
            </w:r>
          </w:p>
        </w:tc>
        <w:tc>
          <w:tcPr>
            <w:tcW w:w="10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82.9</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11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1"/>
              <w:ind w:left="0" w:right="0" w:hanging="0"/>
              <w:jc w:val="left"/>
              <w:rPr/>
            </w:pPr>
            <w:r>
              <w:rPr/>
              <w:t>​</w:t>
            </w:r>
          </w:p>
        </w:tc>
        <w:tc>
          <w:tcPr>
            <w:tcW w:w="10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w:t>
            </w:r>
          </w:p>
        </w:tc>
        <w:tc>
          <w:tcPr>
            <w:tcW w:w="11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1"/>
              <w:ind w:left="0" w:right="0" w:hanging="0"/>
              <w:jc w:val="left"/>
              <w:rPr/>
            </w:pPr>
            <w:r>
              <w:rPr/>
              <w:t>​</w:t>
            </w:r>
          </w:p>
        </w:tc>
        <w:tc>
          <w:tcPr>
            <w:tcW w:w="16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Other</w:t>
            </w:r>
          </w:p>
        </w:tc>
        <w:tc>
          <w:tcPr>
            <w:tcW w:w="394" w:type="dxa"/>
            <w:tcBorders/>
            <w:vAlign w:val="center"/>
          </w:tcPr>
          <w:p>
            <w:pPr>
              <w:pStyle w:val="TableContents"/>
              <w:bidi w:val="0"/>
              <w:spacing w:before="0" w:after="1"/>
              <w:ind w:left="0" w:right="0" w:hanging="0"/>
              <w:jc w:val="left"/>
              <w:rPr/>
            </w:pPr>
            <w:r>
              <w:rPr/>
              <w:t>​</w:t>
            </w:r>
          </w:p>
        </w:tc>
        <w:tc>
          <w:tcPr>
            <w:tcW w:w="10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w:t>
            </w:r>
          </w:p>
        </w:tc>
        <w:tc>
          <w:tcPr>
            <w:tcW w:w="11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vAlign w:val="center"/>
          </w:tcPr>
          <w:p>
            <w:pPr>
              <w:pStyle w:val="TableContents"/>
              <w:bidi w:val="0"/>
              <w:spacing w:before="0" w:after="1"/>
              <w:ind w:left="0" w:right="0" w:hanging="0"/>
              <w:jc w:val="left"/>
              <w:rPr/>
            </w:pPr>
            <w:r>
              <w:rPr/>
              <w:t>​</w:t>
            </w:r>
          </w:p>
        </w:tc>
        <w:tc>
          <w:tcPr>
            <w:tcW w:w="10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w:t>
            </w:r>
          </w:p>
        </w:tc>
        <w:tc>
          <w:tcPr>
            <w:tcW w:w="11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vAlign w:val="center"/>
          </w:tcPr>
          <w:p>
            <w:pPr>
              <w:pStyle w:val="TableContents"/>
              <w:bidi w:val="0"/>
              <w:spacing w:before="0" w:after="1"/>
              <w:ind w:left="0" w:right="0" w:hanging="0"/>
              <w:jc w:val="left"/>
              <w:rPr/>
            </w:pPr>
            <w:r>
              <w:rPr/>
              <w:t>​</w:t>
            </w:r>
          </w:p>
        </w:tc>
        <w:tc>
          <w:tcPr>
            <w:tcW w:w="16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94" w:type="dxa"/>
            <w:tcBorders/>
            <w:shd w:fill="CCEEFF" w:val="clear"/>
            <w:vAlign w:val="center"/>
          </w:tcPr>
          <w:p>
            <w:pPr>
              <w:pStyle w:val="TableContents"/>
              <w:bidi w:val="0"/>
              <w:spacing w:before="0" w:after="1"/>
              <w:ind w:left="0" w:right="0" w:hanging="0"/>
              <w:jc w:val="left"/>
              <w:rPr/>
            </w:pPr>
            <w:r>
              <w:rPr/>
              <w:t>​</w:t>
            </w:r>
          </w:p>
        </w:tc>
        <w:tc>
          <w:tcPr>
            <w:tcW w:w="10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78.5</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11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1"/>
              <w:ind w:left="0" w:right="0" w:hanging="0"/>
              <w:jc w:val="left"/>
              <w:rPr/>
            </w:pPr>
            <w:r>
              <w:rPr/>
              <w:t>​</w:t>
            </w:r>
          </w:p>
        </w:tc>
        <w:tc>
          <w:tcPr>
            <w:tcW w:w="10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c>
          <w:tcPr>
            <w:tcW w:w="11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1"/>
              <w:ind w:left="0" w:right="0" w:hanging="0"/>
              <w:jc w:val="left"/>
              <w:rPr/>
            </w:pPr>
            <w:r>
              <w:rPr/>
              <w:t>​</w:t>
            </w:r>
          </w:p>
        </w:tc>
        <w:tc>
          <w:tcPr>
            <w:tcW w:w="16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Sales</w:t>
            </w:r>
          </w:p>
        </w:tc>
        <w:tc>
          <w:tcPr>
            <w:tcW w:w="394" w:type="dxa"/>
            <w:tcBorders/>
            <w:vAlign w:val="center"/>
          </w:tcPr>
          <w:p>
            <w:pPr>
              <w:pStyle w:val="TableContents"/>
              <w:bidi w:val="0"/>
              <w:spacing w:before="0" w:after="1"/>
              <w:ind w:left="0" w:right="0" w:hanging="0"/>
              <w:jc w:val="left"/>
              <w:rPr/>
            </w:pPr>
            <w:r>
              <w:rPr/>
              <w:t>​</w:t>
            </w:r>
          </w:p>
        </w:tc>
        <w:tc>
          <w:tcPr>
            <w:tcW w:w="10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w:t>
            </w:r>
          </w:p>
        </w:tc>
        <w:tc>
          <w:tcPr>
            <w:tcW w:w="11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vAlign w:val="center"/>
          </w:tcPr>
          <w:p>
            <w:pPr>
              <w:pStyle w:val="TableContents"/>
              <w:bidi w:val="0"/>
              <w:spacing w:before="0" w:after="1"/>
              <w:ind w:left="0" w:right="0" w:hanging="0"/>
              <w:jc w:val="left"/>
              <w:rPr/>
            </w:pPr>
            <w:r>
              <w:rPr/>
              <w:t>​</w:t>
            </w:r>
          </w:p>
        </w:tc>
        <w:tc>
          <w:tcPr>
            <w:tcW w:w="10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w:t>
            </w:r>
          </w:p>
        </w:tc>
        <w:tc>
          <w:tcPr>
            <w:tcW w:w="11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vAlign w:val="center"/>
          </w:tcPr>
          <w:p>
            <w:pPr>
              <w:pStyle w:val="TableContents"/>
              <w:bidi w:val="0"/>
              <w:spacing w:before="0" w:after="1"/>
              <w:ind w:left="0" w:right="0" w:hanging="0"/>
              <w:jc w:val="left"/>
              <w:rPr/>
            </w:pPr>
            <w:r>
              <w:rPr/>
              <w:t>​</w:t>
            </w:r>
          </w:p>
        </w:tc>
        <w:tc>
          <w:tcPr>
            <w:tcW w:w="16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54"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1083"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left"/>
              <w:rPr/>
            </w:pPr>
            <w:r>
              <w:rPr/>
              <w:t>​</w:t>
            </w:r>
          </w:p>
        </w:tc>
        <w:tc>
          <w:tcPr>
            <w:tcW w:w="1174"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1083"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left"/>
              <w:rPr/>
            </w:pPr>
            <w:r>
              <w:rPr/>
              <w:t>​</w:t>
            </w:r>
          </w:p>
        </w:tc>
        <w:tc>
          <w:tcPr>
            <w:tcW w:w="1174"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16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0042" w:type="dxa"/>
            <w:gridSpan w:val="14"/>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Note: Certain prior year product reclassifications and the change in designation of certain products as "value-added" resulted in a change in prior year's sales. </w:t>
            </w:r>
          </w:p>
        </w:tc>
        <w:tc>
          <w:tcPr>
            <w:tcW w:w="16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Our overall unit sales of value-added products were up 4% in the second quarter and down 1% in the first six months of 2026 compared to the prior year. Our overall unit sales of commodity-based products were flat in the second quarter and down 3% in the first six months of 2026 compared to the prior year. </w:t>
      </w:r>
    </w:p>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Developing new products.</w:t>
            </w:r>
            <w:r>
              <w:rPr>
                <w:caps w:val="false"/>
                <w:smallCaps w:val="false"/>
              </w:rPr>
              <w:t xml:space="preserve"> </w:t>
            </w:r>
            <w:r>
              <w:rPr>
                <w:rFonts w:ascii="Times New Roman;Times;serif" w:hAnsi="Times New Roman;Times;serif"/>
                <w:b w:val="false"/>
                <w:i w:val="false"/>
                <w:caps w:val="false"/>
                <w:smallCaps w:val="false"/>
                <w:sz w:val="20"/>
              </w:rPr>
              <w:t>We define new products as those that will generate sales of at least $1 million per year within 4 years of launch and are still growing and gaining market penetration and meet our internal definition of value-added products. New product sales in the second quarter and first six months of 2026 increased 33% and 26%, respectively. The increase in the second quarter was primarily attributable to sales of Venture and Surestone™ decking products in our Retail segment, mixed-material products for a key national customer in our Packaging segment, and exterior siding and cladding products, light-gauge metal components, and concrete forming products in our Construction segment. Approximately $13.8 million of new product sales for the first six months of 2025, while they continue to be sold, were sunset in 2026 and excluded from the table below because they no longer meet the definition above. Our short-term goal is to achieve annual new product sales of at least $560 million in 2026. For the first six months of 2026, new product sales totaled $272 million. Our long-term goal is for new products to comprise at least 10% of our total net sales.</w:t>
            </w:r>
          </w:p>
        </w:tc>
      </w:tr>
    </w:tbl>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table below presents new product sales in thousands:</w:t>
      </w:r>
    </w:p>
    <w:tbl>
      <w:tblPr>
        <w:tblW w:w="10205" w:type="dxa"/>
        <w:jc w:val="left"/>
        <w:tblInd w:w="0" w:type="dxa"/>
        <w:tblLayout w:type="fixed"/>
        <w:tblCellMar>
          <w:top w:w="0" w:type="dxa"/>
          <w:left w:w="0" w:type="dxa"/>
          <w:bottom w:w="0" w:type="dxa"/>
          <w:right w:w="0" w:type="dxa"/>
        </w:tblCellMar>
      </w:tblPr>
      <w:tblGrid>
        <w:gridCol w:w="2198"/>
        <w:gridCol w:w="382"/>
        <w:gridCol w:w="232"/>
        <w:gridCol w:w="862"/>
        <w:gridCol w:w="120"/>
        <w:gridCol w:w="514"/>
        <w:gridCol w:w="849"/>
        <w:gridCol w:w="382"/>
        <w:gridCol w:w="120"/>
        <w:gridCol w:w="862"/>
        <w:gridCol w:w="120"/>
        <w:gridCol w:w="514"/>
        <w:gridCol w:w="849"/>
        <w:gridCol w:w="382"/>
        <w:gridCol w:w="796"/>
        <w:gridCol w:w="481"/>
        <w:gridCol w:w="382"/>
        <w:gridCol w:w="160"/>
      </w:tblGrid>
      <w:tr>
        <w:trPr/>
        <w:tc>
          <w:tcPr>
            <w:tcW w:w="2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395730" cy="175260"/>
                      <wp:effectExtent l="0" t="0" r="0" b="0"/>
                      <wp:wrapNone/>
                      <wp:docPr id="507" name="Frame507"/>
                      <a:graphic xmlns:a="http://schemas.openxmlformats.org/drawingml/2006/main">
                        <a:graphicData uri="http://schemas.microsoft.com/office/word/2010/wordprocessingShape">
                          <wps:wsp>
                            <wps:cNvSpPr txBox="1"/>
                            <wps:spPr>
                              <a:xfrm>
                                <a:off x="0" y="0"/>
                                <a:ext cx="1395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42570" cy="175260"/>
                      <wp:effectExtent l="0" t="0" r="0" b="0"/>
                      <wp:wrapNone/>
                      <wp:docPr id="508" name="Frame508"/>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47320" cy="175260"/>
                      <wp:effectExtent l="0" t="0" r="0" b="0"/>
                      <wp:wrapNone/>
                      <wp:docPr id="509" name="Frame509"/>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547370" cy="175260"/>
                      <wp:effectExtent l="0" t="0" r="0" b="0"/>
                      <wp:wrapNone/>
                      <wp:docPr id="510" name="Frame510"/>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76200" cy="175260"/>
                      <wp:effectExtent l="0" t="0" r="0" b="0"/>
                      <wp:wrapNone/>
                      <wp:docPr id="511" name="Frame511"/>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326390" cy="175260"/>
                      <wp:effectExtent l="0" t="0" r="0" b="0"/>
                      <wp:wrapNone/>
                      <wp:docPr id="512" name="Frame512"/>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539115" cy="175260"/>
                      <wp:effectExtent l="0" t="0" r="0" b="0"/>
                      <wp:wrapNone/>
                      <wp:docPr id="513" name="Frame513"/>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42570" cy="175260"/>
                      <wp:effectExtent l="0" t="0" r="0" b="0"/>
                      <wp:wrapNone/>
                      <wp:docPr id="514" name="Frame514"/>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76200" cy="175260"/>
                      <wp:effectExtent l="0" t="0" r="0" b="0"/>
                      <wp:wrapNone/>
                      <wp:docPr id="515" name="Frame515"/>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547370" cy="175260"/>
                      <wp:effectExtent l="0" t="0" r="0" b="0"/>
                      <wp:wrapNone/>
                      <wp:docPr id="516" name="Frame516"/>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76200" cy="175260"/>
                      <wp:effectExtent l="0" t="0" r="0" b="0"/>
                      <wp:wrapNone/>
                      <wp:docPr id="517" name="Frame517"/>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326390" cy="175260"/>
                      <wp:effectExtent l="0" t="0" r="0" b="0"/>
                      <wp:wrapNone/>
                      <wp:docPr id="518" name="Frame518"/>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539115" cy="175260"/>
                      <wp:effectExtent l="0" t="0" r="0" b="0"/>
                      <wp:wrapNone/>
                      <wp:docPr id="519" name="Frame519"/>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42570" cy="175260"/>
                      <wp:effectExtent l="0" t="0" r="0" b="0"/>
                      <wp:wrapNone/>
                      <wp:docPr id="520" name="Frame520"/>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505460" cy="175260"/>
                      <wp:effectExtent l="0" t="0" r="0" b="0"/>
                      <wp:wrapNone/>
                      <wp:docPr id="521" name="Frame52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305435" cy="175260"/>
                      <wp:effectExtent l="0" t="0" r="0" b="0"/>
                      <wp:wrapNone/>
                      <wp:docPr id="522" name="Frame522"/>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42570" cy="175260"/>
                      <wp:effectExtent l="0" t="0" r="0" b="0"/>
                      <wp:wrapNone/>
                      <wp:docPr id="523" name="Frame523"/>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2198"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514"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514"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w:t>
            </w:r>
          </w:p>
        </w:tc>
        <w:tc>
          <w:tcPr>
            <w:tcW w:w="16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198"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w:t>
            </w:r>
          </w:p>
        </w:tc>
        <w:tc>
          <w:tcPr>
            <w:tcW w:w="6602" w:type="dxa"/>
            <w:gridSpan w:val="13"/>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New Product Sales by Segment</w:t>
            </w:r>
          </w:p>
        </w:tc>
        <w:tc>
          <w:tcPr>
            <w:tcW w:w="481" w:type="dxa"/>
            <w:tcBorders>
              <w:bottom w:val="single" w:sz="12" w:space="0" w:color="000000"/>
            </w:tcBorders>
            <w:tcMar>
              <w:bottom w:w="28" w:type="dxa"/>
            </w:tcMar>
            <w:vAlign w:val="center"/>
          </w:tcPr>
          <w:p>
            <w:pPr>
              <w:pStyle w:val="TableContents"/>
              <w:bidi w:val="0"/>
              <w:spacing w:before="0" w:after="1"/>
              <w:ind w:left="0" w:right="0" w:hanging="0"/>
              <w:jc w:val="center"/>
              <w:rPr/>
            </w:pPr>
            <w:r>
              <w:rPr/>
              <w:t>​</w:t>
            </w:r>
          </w:p>
        </w:tc>
        <w:tc>
          <w:tcPr>
            <w:tcW w:w="382" w:type="dxa"/>
            <w:tcBorders/>
            <w:vAlign w:val="center"/>
          </w:tcPr>
          <w:p>
            <w:pPr>
              <w:pStyle w:val="TableContents"/>
              <w:bidi w:val="0"/>
              <w:spacing w:before="0" w:after="1"/>
              <w:ind w:left="0" w:right="0" w:hanging="0"/>
              <w:jc w:val="left"/>
              <w:rPr/>
            </w:pPr>
            <w:r>
              <w:rPr/>
              <w:t>​</w:t>
            </w:r>
          </w:p>
        </w:tc>
        <w:tc>
          <w:tcPr>
            <w:tcW w:w="16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198" w:type="dxa"/>
            <w:tcBorders/>
            <w:vAlign w:val="center"/>
          </w:tcPr>
          <w:p>
            <w:pPr>
              <w:pStyle w:val="TableContents"/>
              <w:bidi w:val="0"/>
              <w:spacing w:before="0" w:after="1"/>
              <w:ind w:left="0" w:right="0" w:hanging="0"/>
              <w:jc w:val="center"/>
              <w:rPr/>
            </w:pPr>
            <w:r>
              <w:rPr/>
              <w:t>​</w:t>
            </w:r>
          </w:p>
        </w:tc>
        <w:tc>
          <w:tcPr>
            <w:tcW w:w="382" w:type="dxa"/>
            <w:tcBorders/>
            <w:vAlign w:val="center"/>
          </w:tcPr>
          <w:p>
            <w:pPr>
              <w:pStyle w:val="TableContents"/>
              <w:bidi w:val="0"/>
              <w:spacing w:before="0" w:after="1"/>
              <w:ind w:left="0" w:right="0" w:hanging="0"/>
              <w:jc w:val="left"/>
              <w:rPr/>
            </w:pPr>
            <w:r>
              <w:rPr/>
              <w:t>​</w:t>
            </w:r>
          </w:p>
        </w:tc>
        <w:tc>
          <w:tcPr>
            <w:tcW w:w="6602" w:type="dxa"/>
            <w:gridSpan w:val="13"/>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481" w:type="dxa"/>
            <w:tcBorders>
              <w:bottom w:val="single" w:sz="12" w:space="0" w:color="000000"/>
            </w:tcBorders>
            <w:tcMar>
              <w:bottom w:w="28" w:type="dxa"/>
            </w:tcMar>
            <w:vAlign w:val="center"/>
          </w:tcPr>
          <w:p>
            <w:pPr>
              <w:pStyle w:val="TableContents"/>
              <w:bidi w:val="0"/>
              <w:spacing w:before="0" w:after="1"/>
              <w:ind w:left="0" w:right="0" w:hanging="0"/>
              <w:jc w:val="center"/>
              <w:rPr/>
            </w:pPr>
            <w:r>
              <w:rPr/>
              <w:t>​</w:t>
            </w:r>
          </w:p>
        </w:tc>
        <w:tc>
          <w:tcPr>
            <w:tcW w:w="382" w:type="dxa"/>
            <w:tcBorders/>
            <w:vAlign w:val="center"/>
          </w:tcPr>
          <w:p>
            <w:pPr>
              <w:pStyle w:val="TableContents"/>
              <w:bidi w:val="0"/>
              <w:spacing w:before="0" w:after="1"/>
              <w:ind w:left="0" w:right="0" w:hanging="0"/>
              <w:jc w:val="center"/>
              <w:rPr/>
            </w:pPr>
            <w:r>
              <w:rPr/>
              <w:t>​</w:t>
            </w:r>
          </w:p>
        </w:tc>
        <w:tc>
          <w:tcPr>
            <w:tcW w:w="16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198"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  ​ ​ ​</w:t>
            </w:r>
          </w:p>
        </w:tc>
        <w:tc>
          <w:tcPr>
            <w:tcW w:w="109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120" w:type="dxa"/>
            <w:tcBorders/>
            <w:vAlign w:val="center"/>
          </w:tcPr>
          <w:p>
            <w:pPr>
              <w:pStyle w:val="TableContents"/>
              <w:bidi w:val="0"/>
              <w:spacing w:before="0" w:after="1"/>
              <w:ind w:left="0" w:right="0" w:hanging="0"/>
              <w:jc w:val="center"/>
              <w:rPr/>
            </w:pPr>
            <w:r>
              <w:rPr/>
              <w:t>​</w:t>
            </w:r>
          </w:p>
        </w:tc>
        <w:tc>
          <w:tcPr>
            <w:tcW w:w="136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Segment</w:t>
            </w:r>
          </w:p>
        </w:tc>
        <w:tc>
          <w:tcPr>
            <w:tcW w:w="382" w:type="dxa"/>
            <w:tcBorders/>
            <w:vAlign w:val="center"/>
          </w:tcPr>
          <w:p>
            <w:pPr>
              <w:pStyle w:val="TableContents"/>
              <w:bidi w:val="0"/>
              <w:spacing w:before="0" w:after="1"/>
              <w:ind w:left="0" w:right="0" w:hanging="0"/>
              <w:jc w:val="center"/>
              <w:rPr/>
            </w:pPr>
            <w:r>
              <w:rPr/>
              <w:t>  ​ ​ ​</w:t>
            </w:r>
          </w:p>
        </w:tc>
        <w:tc>
          <w:tcPr>
            <w:tcW w:w="9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120" w:type="dxa"/>
            <w:tcBorders/>
            <w:vAlign w:val="center"/>
          </w:tcPr>
          <w:p>
            <w:pPr>
              <w:pStyle w:val="TableContents"/>
              <w:bidi w:val="0"/>
              <w:spacing w:before="0" w:after="1"/>
              <w:ind w:left="0" w:right="0" w:hanging="0"/>
              <w:jc w:val="center"/>
              <w:rPr/>
            </w:pPr>
            <w:r>
              <w:rPr/>
              <w:t>​</w:t>
            </w:r>
          </w:p>
        </w:tc>
        <w:tc>
          <w:tcPr>
            <w:tcW w:w="136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Segment</w:t>
            </w:r>
          </w:p>
        </w:tc>
        <w:tc>
          <w:tcPr>
            <w:tcW w:w="382" w:type="dxa"/>
            <w:tcBorders/>
            <w:vAlign w:val="center"/>
          </w:tcPr>
          <w:p>
            <w:pPr>
              <w:pStyle w:val="TableContents"/>
              <w:bidi w:val="0"/>
              <w:spacing w:before="0" w:after="1"/>
              <w:ind w:left="0" w:right="0" w:hanging="0"/>
              <w:jc w:val="center"/>
              <w:rPr/>
            </w:pPr>
            <w:r>
              <w:rPr/>
              <w:t>  ​ ​ ​</w:t>
            </w:r>
          </w:p>
        </w:tc>
        <w:tc>
          <w:tcPr>
            <w:tcW w:w="12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82" w:type="dxa"/>
            <w:tcBorders/>
            <w:vAlign w:val="center"/>
          </w:tcPr>
          <w:p>
            <w:pPr>
              <w:pStyle w:val="TableContents"/>
              <w:bidi w:val="0"/>
              <w:spacing w:before="0" w:after="1"/>
              <w:ind w:left="0" w:right="0" w:hanging="0"/>
              <w:jc w:val="center"/>
              <w:rPr/>
            </w:pPr>
            <w:r>
              <w:rPr/>
              <w:t>  ​ ​ ​</w:t>
            </w:r>
          </w:p>
        </w:tc>
        <w:tc>
          <w:tcPr>
            <w:tcW w:w="16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198"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w:t>
            </w:r>
          </w:p>
        </w:tc>
        <w:tc>
          <w:tcPr>
            <w:tcW w:w="1094"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0" w:type="dxa"/>
            <w:tcBorders/>
            <w:vAlign w:val="center"/>
          </w:tcPr>
          <w:p>
            <w:pPr>
              <w:pStyle w:val="TableContents"/>
              <w:bidi w:val="0"/>
              <w:spacing w:before="0" w:after="1"/>
              <w:ind w:left="0" w:right="0" w:hanging="0"/>
              <w:jc w:val="center"/>
              <w:rPr/>
            </w:pPr>
            <w:r>
              <w:rPr/>
              <w:t>​</w:t>
            </w:r>
          </w:p>
        </w:tc>
        <w:tc>
          <w:tcPr>
            <w:tcW w:w="1363"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Sales</w:t>
            </w:r>
          </w:p>
        </w:tc>
        <w:tc>
          <w:tcPr>
            <w:tcW w:w="382" w:type="dxa"/>
            <w:tcBorders/>
            <w:vAlign w:val="center"/>
          </w:tcPr>
          <w:p>
            <w:pPr>
              <w:pStyle w:val="TableContents"/>
              <w:bidi w:val="0"/>
              <w:spacing w:before="0" w:after="1"/>
              <w:ind w:left="0" w:right="0" w:hanging="0"/>
              <w:jc w:val="center"/>
              <w:rPr/>
            </w:pPr>
            <w:r>
              <w:rPr/>
              <w:t>​</w:t>
            </w:r>
          </w:p>
        </w:tc>
        <w:tc>
          <w:tcPr>
            <w:tcW w:w="98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0" w:type="dxa"/>
            <w:tcBorders/>
            <w:vAlign w:val="center"/>
          </w:tcPr>
          <w:p>
            <w:pPr>
              <w:pStyle w:val="TableContents"/>
              <w:bidi w:val="0"/>
              <w:spacing w:before="0" w:after="1"/>
              <w:ind w:left="0" w:right="0" w:hanging="0"/>
              <w:jc w:val="center"/>
              <w:rPr/>
            </w:pPr>
            <w:r>
              <w:rPr/>
              <w:t>​</w:t>
            </w:r>
          </w:p>
        </w:tc>
        <w:tc>
          <w:tcPr>
            <w:tcW w:w="1363"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Sales</w:t>
            </w:r>
          </w:p>
        </w:tc>
        <w:tc>
          <w:tcPr>
            <w:tcW w:w="382" w:type="dxa"/>
            <w:tcBorders/>
            <w:vAlign w:val="center"/>
          </w:tcPr>
          <w:p>
            <w:pPr>
              <w:pStyle w:val="TableContents"/>
              <w:bidi w:val="0"/>
              <w:spacing w:before="0" w:after="1"/>
              <w:ind w:left="0" w:right="0" w:hanging="0"/>
              <w:jc w:val="center"/>
              <w:rPr/>
            </w:pPr>
            <w:r>
              <w:rPr/>
              <w:t>​</w:t>
            </w:r>
          </w:p>
        </w:tc>
        <w:tc>
          <w:tcPr>
            <w:tcW w:w="127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Sales</w:t>
            </w:r>
          </w:p>
        </w:tc>
        <w:tc>
          <w:tcPr>
            <w:tcW w:w="382" w:type="dxa"/>
            <w:tcBorders/>
            <w:vAlign w:val="center"/>
          </w:tcPr>
          <w:p>
            <w:pPr>
              <w:pStyle w:val="TableContents"/>
              <w:bidi w:val="0"/>
              <w:spacing w:before="0" w:after="1"/>
              <w:ind w:left="0" w:right="0" w:hanging="0"/>
              <w:jc w:val="center"/>
              <w:rPr/>
            </w:pPr>
            <w:r>
              <w:rPr/>
              <w:t>​</w:t>
            </w:r>
          </w:p>
        </w:tc>
        <w:tc>
          <w:tcPr>
            <w:tcW w:w="16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1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Retail</w:t>
            </w:r>
          </w:p>
        </w:tc>
        <w:tc>
          <w:tcPr>
            <w:tcW w:w="382"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80,113</w:t>
            </w:r>
          </w:p>
        </w:tc>
        <w:tc>
          <w:tcPr>
            <w:tcW w:w="120" w:type="dxa"/>
            <w:tcBorders/>
            <w:shd w:fill="CCEEFF" w:val="clear"/>
            <w:vAlign w:val="center"/>
          </w:tcPr>
          <w:p>
            <w:pPr>
              <w:pStyle w:val="TableContents"/>
              <w:bidi w:val="0"/>
              <w:spacing w:before="0" w:after="1"/>
              <w:ind w:left="0" w:right="0" w:hanging="0"/>
              <w:jc w:val="right"/>
              <w:rPr/>
            </w:pPr>
            <w:r>
              <w:rPr/>
              <w:t>​</w:t>
            </w:r>
          </w:p>
        </w:tc>
        <w:tc>
          <w:tcPr>
            <w:tcW w:w="5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82" w:type="dxa"/>
            <w:tcBorders/>
            <w:shd w:fill="CCEEFF" w:val="clear"/>
            <w:vAlign w:val="center"/>
          </w:tcPr>
          <w:p>
            <w:pPr>
              <w:pStyle w:val="TableContents"/>
              <w:bidi w:val="0"/>
              <w:spacing w:before="0" w:after="1"/>
              <w:ind w:left="0" w:right="0" w:hanging="0"/>
              <w:jc w:val="left"/>
              <w:rPr/>
            </w:pPr>
            <w:r>
              <w:rPr/>
              <w:t>​</w:t>
            </w:r>
          </w:p>
        </w:tc>
        <w:tc>
          <w:tcPr>
            <w:tcW w:w="120"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67,243</w:t>
            </w:r>
          </w:p>
        </w:tc>
        <w:tc>
          <w:tcPr>
            <w:tcW w:w="120" w:type="dxa"/>
            <w:tcBorders/>
            <w:shd w:fill="CCEEFF" w:val="clear"/>
            <w:vAlign w:val="center"/>
          </w:tcPr>
          <w:p>
            <w:pPr>
              <w:pStyle w:val="TableContents"/>
              <w:bidi w:val="0"/>
              <w:spacing w:before="0" w:after="1"/>
              <w:ind w:left="0" w:right="0" w:hanging="0"/>
              <w:jc w:val="right"/>
              <w:rPr/>
            </w:pPr>
            <w:r>
              <w:rPr/>
              <w:t>​</w:t>
            </w:r>
          </w:p>
        </w:tc>
        <w:tc>
          <w:tcPr>
            <w:tcW w:w="5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82"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82" w:type="dxa"/>
            <w:tcBorders/>
            <w:shd w:fill="CCEEFF" w:val="clear"/>
            <w:vAlign w:val="center"/>
          </w:tcPr>
          <w:p>
            <w:pPr>
              <w:pStyle w:val="TableContents"/>
              <w:bidi w:val="0"/>
              <w:spacing w:before="0" w:after="1"/>
              <w:ind w:left="0" w:right="0" w:hanging="0"/>
              <w:jc w:val="left"/>
              <w:rPr/>
            </w:pPr>
            <w:r>
              <w:rPr/>
              <w:t>​</w:t>
            </w:r>
          </w:p>
        </w:tc>
        <w:tc>
          <w:tcPr>
            <w:tcW w:w="16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1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Packaging</w:t>
            </w:r>
          </w:p>
        </w:tc>
        <w:tc>
          <w:tcPr>
            <w:tcW w:w="382"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53,036</w:t>
            </w:r>
          </w:p>
        </w:tc>
        <w:tc>
          <w:tcPr>
            <w:tcW w:w="120" w:type="dxa"/>
            <w:tcBorders/>
            <w:vAlign w:val="center"/>
          </w:tcPr>
          <w:p>
            <w:pPr>
              <w:pStyle w:val="TableContents"/>
              <w:bidi w:val="0"/>
              <w:spacing w:before="0" w:after="1"/>
              <w:ind w:left="0" w:right="0" w:hanging="0"/>
              <w:jc w:val="right"/>
              <w:rPr/>
            </w:pPr>
            <w:r>
              <w:rPr/>
              <w:t>​</w:t>
            </w:r>
          </w:p>
        </w:tc>
        <w:tc>
          <w:tcPr>
            <w:tcW w:w="5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82"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38,522</w:t>
            </w:r>
          </w:p>
        </w:tc>
        <w:tc>
          <w:tcPr>
            <w:tcW w:w="120" w:type="dxa"/>
            <w:tcBorders/>
            <w:vAlign w:val="center"/>
          </w:tcPr>
          <w:p>
            <w:pPr>
              <w:pStyle w:val="TableContents"/>
              <w:bidi w:val="0"/>
              <w:spacing w:before="0" w:after="1"/>
              <w:ind w:left="0" w:right="0" w:hanging="0"/>
              <w:jc w:val="right"/>
              <w:rPr/>
            </w:pPr>
            <w:r>
              <w:rPr/>
              <w:t>​</w:t>
            </w:r>
          </w:p>
        </w:tc>
        <w:tc>
          <w:tcPr>
            <w:tcW w:w="5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82"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82" w:type="dxa"/>
            <w:tcBorders/>
            <w:vAlign w:val="center"/>
          </w:tcPr>
          <w:p>
            <w:pPr>
              <w:pStyle w:val="TableContents"/>
              <w:bidi w:val="0"/>
              <w:spacing w:before="0" w:after="1"/>
              <w:ind w:left="0" w:right="0" w:hanging="0"/>
              <w:jc w:val="left"/>
              <w:rPr/>
            </w:pPr>
            <w:r>
              <w:rPr/>
              <w:t>​</w:t>
            </w:r>
          </w:p>
        </w:tc>
        <w:tc>
          <w:tcPr>
            <w:tcW w:w="16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1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82"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23,962</w:t>
            </w:r>
          </w:p>
        </w:tc>
        <w:tc>
          <w:tcPr>
            <w:tcW w:w="120" w:type="dxa"/>
            <w:tcBorders/>
            <w:shd w:fill="CCEEFF" w:val="clear"/>
            <w:vAlign w:val="center"/>
          </w:tcPr>
          <w:p>
            <w:pPr>
              <w:pStyle w:val="TableContents"/>
              <w:bidi w:val="0"/>
              <w:spacing w:before="0" w:after="1"/>
              <w:ind w:left="0" w:right="0" w:hanging="0"/>
              <w:jc w:val="right"/>
              <w:rPr/>
            </w:pPr>
            <w:r>
              <w:rPr/>
              <w:t>​</w:t>
            </w:r>
          </w:p>
        </w:tc>
        <w:tc>
          <w:tcPr>
            <w:tcW w:w="5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82" w:type="dxa"/>
            <w:tcBorders/>
            <w:shd w:fill="CCEEFF" w:val="clear"/>
            <w:vAlign w:val="center"/>
          </w:tcPr>
          <w:p>
            <w:pPr>
              <w:pStyle w:val="TableContents"/>
              <w:bidi w:val="0"/>
              <w:spacing w:before="0" w:after="1"/>
              <w:ind w:left="0" w:right="0" w:hanging="0"/>
              <w:jc w:val="left"/>
              <w:rPr/>
            </w:pPr>
            <w:r>
              <w:rPr/>
              <w:t>​</w:t>
            </w:r>
          </w:p>
        </w:tc>
        <w:tc>
          <w:tcPr>
            <w:tcW w:w="120"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12,297</w:t>
            </w:r>
          </w:p>
        </w:tc>
        <w:tc>
          <w:tcPr>
            <w:tcW w:w="120" w:type="dxa"/>
            <w:tcBorders/>
            <w:shd w:fill="CCEEFF" w:val="clear"/>
            <w:vAlign w:val="center"/>
          </w:tcPr>
          <w:p>
            <w:pPr>
              <w:pStyle w:val="TableContents"/>
              <w:bidi w:val="0"/>
              <w:spacing w:before="0" w:after="1"/>
              <w:ind w:left="0" w:right="0" w:hanging="0"/>
              <w:jc w:val="right"/>
              <w:rPr/>
            </w:pPr>
            <w:r>
              <w:rPr/>
              <w:t>​</w:t>
            </w:r>
          </w:p>
        </w:tc>
        <w:tc>
          <w:tcPr>
            <w:tcW w:w="5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82"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94.9</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82" w:type="dxa"/>
            <w:tcBorders/>
            <w:shd w:fill="CCEEFF" w:val="clear"/>
            <w:vAlign w:val="center"/>
          </w:tcPr>
          <w:p>
            <w:pPr>
              <w:pStyle w:val="TableContents"/>
              <w:bidi w:val="0"/>
              <w:spacing w:before="0" w:after="1"/>
              <w:ind w:left="0" w:right="0" w:hanging="0"/>
              <w:jc w:val="left"/>
              <w:rPr/>
            </w:pPr>
            <w:r>
              <w:rPr/>
              <w:t>​</w:t>
            </w:r>
          </w:p>
        </w:tc>
        <w:tc>
          <w:tcPr>
            <w:tcW w:w="16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1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Other</w:t>
            </w:r>
          </w:p>
        </w:tc>
        <w:tc>
          <w:tcPr>
            <w:tcW w:w="382"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c>
          <w:tcPr>
            <w:tcW w:w="120" w:type="dxa"/>
            <w:tcBorders/>
            <w:vAlign w:val="center"/>
          </w:tcPr>
          <w:p>
            <w:pPr>
              <w:pStyle w:val="TableContents"/>
              <w:bidi w:val="0"/>
              <w:spacing w:before="0" w:after="1"/>
              <w:ind w:left="0" w:right="0" w:hanging="0"/>
              <w:jc w:val="right"/>
              <w:rPr/>
            </w:pPr>
            <w:r>
              <w:rPr/>
              <w:t>​</w:t>
            </w:r>
          </w:p>
        </w:tc>
        <w:tc>
          <w:tcPr>
            <w:tcW w:w="5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82"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120" w:type="dxa"/>
            <w:tcBorders/>
            <w:vAlign w:val="center"/>
          </w:tcPr>
          <w:p>
            <w:pPr>
              <w:pStyle w:val="TableContents"/>
              <w:bidi w:val="0"/>
              <w:spacing w:before="0" w:after="1"/>
              <w:ind w:left="0" w:right="0" w:hanging="0"/>
              <w:jc w:val="right"/>
              <w:rPr/>
            </w:pPr>
            <w:r>
              <w:rPr/>
              <w:t>​</w:t>
            </w:r>
          </w:p>
        </w:tc>
        <w:tc>
          <w:tcPr>
            <w:tcW w:w="5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82"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1,066.7</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82" w:type="dxa"/>
            <w:tcBorders/>
            <w:vAlign w:val="center"/>
          </w:tcPr>
          <w:p>
            <w:pPr>
              <w:pStyle w:val="TableContents"/>
              <w:bidi w:val="0"/>
              <w:spacing w:before="0" w:after="1"/>
              <w:ind w:left="0" w:right="0" w:hanging="0"/>
              <w:jc w:val="left"/>
              <w:rPr/>
            </w:pPr>
            <w:r>
              <w:rPr/>
              <w:t>​</w:t>
            </w:r>
          </w:p>
        </w:tc>
        <w:tc>
          <w:tcPr>
            <w:tcW w:w="16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1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82"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2"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w:t>
            </w:r>
          </w:p>
        </w:tc>
        <w:tc>
          <w:tcPr>
            <w:tcW w:w="120" w:type="dxa"/>
            <w:tcBorders/>
            <w:shd w:fill="CCEEFF" w:val="clear"/>
            <w:vAlign w:val="center"/>
          </w:tcPr>
          <w:p>
            <w:pPr>
              <w:pStyle w:val="TableContents"/>
              <w:bidi w:val="0"/>
              <w:spacing w:before="0" w:after="1"/>
              <w:ind w:left="0" w:right="0" w:hanging="0"/>
              <w:jc w:val="right"/>
              <w:rPr/>
            </w:pPr>
            <w:r>
              <w:rPr/>
              <w:t>​</w:t>
            </w:r>
          </w:p>
        </w:tc>
        <w:tc>
          <w:tcPr>
            <w:tcW w:w="5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82" w:type="dxa"/>
            <w:tcBorders/>
            <w:shd w:fill="CCEEFF" w:val="clear"/>
            <w:vAlign w:val="center"/>
          </w:tcPr>
          <w:p>
            <w:pPr>
              <w:pStyle w:val="TableContents"/>
              <w:bidi w:val="0"/>
              <w:spacing w:before="0" w:after="1"/>
              <w:ind w:left="0" w:right="0" w:hanging="0"/>
              <w:jc w:val="left"/>
              <w:rPr/>
            </w:pPr>
            <w:r>
              <w:rPr/>
              <w:t>​</w:t>
            </w:r>
          </w:p>
        </w:tc>
        <w:tc>
          <w:tcPr>
            <w:tcW w:w="120"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2"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908</w:t>
            </w:r>
          </w:p>
        </w:tc>
        <w:tc>
          <w:tcPr>
            <w:tcW w:w="120" w:type="dxa"/>
            <w:tcBorders/>
            <w:shd w:fill="CCEEFF" w:val="clear"/>
            <w:vAlign w:val="center"/>
          </w:tcPr>
          <w:p>
            <w:pPr>
              <w:pStyle w:val="TableContents"/>
              <w:bidi w:val="0"/>
              <w:spacing w:before="0" w:after="1"/>
              <w:ind w:left="0" w:right="0" w:hanging="0"/>
              <w:jc w:val="right"/>
              <w:rPr/>
            </w:pPr>
            <w:r>
              <w:rPr/>
              <w:t>​</w:t>
            </w:r>
          </w:p>
        </w:tc>
        <w:tc>
          <w:tcPr>
            <w:tcW w:w="5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82"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82" w:type="dxa"/>
            <w:tcBorders/>
            <w:shd w:fill="CCEEFF" w:val="clear"/>
            <w:vAlign w:val="center"/>
          </w:tcPr>
          <w:p>
            <w:pPr>
              <w:pStyle w:val="TableContents"/>
              <w:bidi w:val="0"/>
              <w:spacing w:before="0" w:after="1"/>
              <w:ind w:left="0" w:right="0" w:hanging="0"/>
              <w:jc w:val="left"/>
              <w:rPr/>
            </w:pPr>
            <w:r>
              <w:rPr/>
              <w:t>​</w:t>
            </w:r>
          </w:p>
        </w:tc>
        <w:tc>
          <w:tcPr>
            <w:tcW w:w="16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1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New Product Sales</w:t>
            </w:r>
          </w:p>
        </w:tc>
        <w:tc>
          <w:tcPr>
            <w:tcW w:w="382" w:type="dxa"/>
            <w:tcBorders/>
            <w:vAlign w:val="center"/>
          </w:tcPr>
          <w:p>
            <w:pPr>
              <w:pStyle w:val="TableContents"/>
              <w:bidi w:val="0"/>
              <w:spacing w:before="0" w:after="1"/>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6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157,998</w:t>
            </w:r>
          </w:p>
        </w:tc>
        <w:tc>
          <w:tcPr>
            <w:tcW w:w="120" w:type="dxa"/>
            <w:tcBorders/>
            <w:vAlign w:val="center"/>
          </w:tcPr>
          <w:p>
            <w:pPr>
              <w:pStyle w:val="TableContents"/>
              <w:bidi w:val="0"/>
              <w:spacing w:before="0" w:after="1"/>
              <w:ind w:left="0" w:right="0" w:hanging="0"/>
              <w:jc w:val="right"/>
              <w:rPr/>
            </w:pPr>
            <w:r>
              <w:rPr/>
              <w:t>​</w:t>
            </w:r>
          </w:p>
        </w:tc>
        <w:tc>
          <w:tcPr>
            <w:tcW w:w="5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82" w:type="dxa"/>
            <w:tcBorders/>
            <w:vAlign w:val="center"/>
          </w:tcPr>
          <w:p>
            <w:pPr>
              <w:pStyle w:val="TableContents"/>
              <w:bidi w:val="0"/>
              <w:spacing w:before="0" w:after="1"/>
              <w:ind w:left="0" w:right="0" w:hanging="0"/>
              <w:jc w:val="left"/>
              <w:rPr/>
            </w:pPr>
            <w:r>
              <w:rPr/>
              <w:t>​</w:t>
            </w:r>
          </w:p>
        </w:tc>
        <w:tc>
          <w:tcPr>
            <w:tcW w:w="120"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6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118,997</w:t>
            </w:r>
          </w:p>
        </w:tc>
        <w:tc>
          <w:tcPr>
            <w:tcW w:w="120" w:type="dxa"/>
            <w:tcBorders/>
            <w:vAlign w:val="center"/>
          </w:tcPr>
          <w:p>
            <w:pPr>
              <w:pStyle w:val="TableContents"/>
              <w:bidi w:val="0"/>
              <w:spacing w:before="0" w:after="1"/>
              <w:ind w:left="0" w:right="0" w:hanging="0"/>
              <w:jc w:val="right"/>
              <w:rPr/>
            </w:pPr>
            <w:r>
              <w:rPr/>
              <w:t>​</w:t>
            </w:r>
          </w:p>
        </w:tc>
        <w:tc>
          <w:tcPr>
            <w:tcW w:w="5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82"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82" w:type="dxa"/>
            <w:tcBorders/>
            <w:vAlign w:val="center"/>
          </w:tcPr>
          <w:p>
            <w:pPr>
              <w:pStyle w:val="TableContents"/>
              <w:bidi w:val="0"/>
              <w:spacing w:before="0" w:after="1"/>
              <w:ind w:left="0" w:right="0" w:hanging="0"/>
              <w:jc w:val="left"/>
              <w:rPr/>
            </w:pPr>
            <w:r>
              <w:rPr/>
              <w:t>​</w:t>
            </w:r>
          </w:p>
        </w:tc>
        <w:tc>
          <w:tcPr>
            <w:tcW w:w="16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198" w:type="dxa"/>
            <w:tcBorders/>
            <w:vAlign w:val="center"/>
          </w:tcPr>
          <w:p>
            <w:pPr>
              <w:pStyle w:val="TableContents"/>
              <w:bidi w:val="0"/>
              <w:spacing w:before="0" w:after="1"/>
              <w:ind w:left="0" w:right="0" w:hanging="0"/>
              <w:jc w:val="right"/>
              <w:rPr/>
            </w:pPr>
            <w:r>
              <w:rPr/>
              <w:t>​</w:t>
            </w:r>
          </w:p>
        </w:tc>
        <w:tc>
          <w:tcPr>
            <w:tcW w:w="382" w:type="dxa"/>
            <w:tcBorders/>
            <w:vAlign w:val="center"/>
          </w:tcPr>
          <w:p>
            <w:pPr>
              <w:pStyle w:val="TableContents"/>
              <w:bidi w:val="0"/>
              <w:spacing w:before="0" w:after="1"/>
              <w:ind w:left="0" w:right="0" w:hanging="0"/>
              <w:jc w:val="right"/>
              <w:rPr/>
            </w:pPr>
            <w:r>
              <w:rPr/>
              <w:t>​</w:t>
            </w:r>
          </w:p>
        </w:tc>
        <w:tc>
          <w:tcPr>
            <w:tcW w:w="232" w:type="dxa"/>
            <w:tcBorders/>
            <w:vAlign w:val="center"/>
          </w:tcPr>
          <w:p>
            <w:pPr>
              <w:pStyle w:val="TableContents"/>
              <w:bidi w:val="0"/>
              <w:spacing w:before="0" w:after="1"/>
              <w:ind w:left="0" w:right="0" w:hanging="0"/>
              <w:jc w:val="right"/>
              <w:rPr/>
            </w:pPr>
            <w:r>
              <w:rPr/>
              <w:t>​</w:t>
            </w:r>
          </w:p>
        </w:tc>
        <w:tc>
          <w:tcPr>
            <w:tcW w:w="862" w:type="dxa"/>
            <w:tcBorders/>
            <w:vAlign w:val="center"/>
          </w:tcPr>
          <w:p>
            <w:pPr>
              <w:pStyle w:val="TableContents"/>
              <w:bidi w:val="0"/>
              <w:spacing w:before="0" w:after="1"/>
              <w:ind w:left="0" w:right="0" w:hanging="0"/>
              <w:jc w:val="right"/>
              <w:rPr/>
            </w:pPr>
            <w:r>
              <w:rPr/>
              <w:t>​</w:t>
            </w:r>
          </w:p>
        </w:tc>
        <w:tc>
          <w:tcPr>
            <w:tcW w:w="120" w:type="dxa"/>
            <w:tcBorders/>
            <w:vAlign w:val="center"/>
          </w:tcPr>
          <w:p>
            <w:pPr>
              <w:pStyle w:val="TableContents"/>
              <w:bidi w:val="0"/>
              <w:spacing w:before="0" w:after="1"/>
              <w:ind w:left="0" w:right="0" w:hanging="0"/>
              <w:jc w:val="right"/>
              <w:rPr/>
            </w:pPr>
            <w:r>
              <w:rPr/>
              <w:t>​</w:t>
            </w:r>
          </w:p>
        </w:tc>
        <w:tc>
          <w:tcPr>
            <w:tcW w:w="514" w:type="dxa"/>
            <w:tcBorders/>
            <w:vAlign w:val="center"/>
          </w:tcPr>
          <w:p>
            <w:pPr>
              <w:pStyle w:val="TableContents"/>
              <w:bidi w:val="0"/>
              <w:spacing w:before="0" w:after="1"/>
              <w:ind w:left="0" w:right="0" w:hanging="0"/>
              <w:jc w:val="right"/>
              <w:rPr/>
            </w:pPr>
            <w:r>
              <w:rPr/>
              <w:t>​</w:t>
            </w:r>
          </w:p>
        </w:tc>
        <w:tc>
          <w:tcPr>
            <w:tcW w:w="849" w:type="dxa"/>
            <w:tcBorders/>
            <w:vAlign w:val="center"/>
          </w:tcPr>
          <w:p>
            <w:pPr>
              <w:pStyle w:val="TableContents"/>
              <w:bidi w:val="0"/>
              <w:spacing w:before="0" w:after="1"/>
              <w:ind w:left="0" w:right="0" w:hanging="0"/>
              <w:jc w:val="right"/>
              <w:rPr/>
            </w:pPr>
            <w:r>
              <w:rPr/>
              <w:t>​</w:t>
            </w:r>
          </w:p>
        </w:tc>
        <w:tc>
          <w:tcPr>
            <w:tcW w:w="382" w:type="dxa"/>
            <w:tcBorders/>
            <w:vAlign w:val="center"/>
          </w:tcPr>
          <w:p>
            <w:pPr>
              <w:pStyle w:val="TableContents"/>
              <w:bidi w:val="0"/>
              <w:spacing w:before="0" w:after="1"/>
              <w:ind w:left="0" w:right="0" w:hanging="0"/>
              <w:jc w:val="right"/>
              <w:rPr/>
            </w:pPr>
            <w:r>
              <w:rPr/>
              <w:t>​</w:t>
            </w:r>
          </w:p>
        </w:tc>
        <w:tc>
          <w:tcPr>
            <w:tcW w:w="120" w:type="dxa"/>
            <w:tcBorders/>
            <w:vAlign w:val="center"/>
          </w:tcPr>
          <w:p>
            <w:pPr>
              <w:pStyle w:val="TableContents"/>
              <w:bidi w:val="0"/>
              <w:spacing w:before="0" w:after="1"/>
              <w:ind w:left="0" w:right="0" w:hanging="0"/>
              <w:jc w:val="right"/>
              <w:rPr/>
            </w:pPr>
            <w:r>
              <w:rPr/>
              <w:t>​</w:t>
            </w:r>
          </w:p>
        </w:tc>
        <w:tc>
          <w:tcPr>
            <w:tcW w:w="862" w:type="dxa"/>
            <w:tcBorders/>
            <w:vAlign w:val="center"/>
          </w:tcPr>
          <w:p>
            <w:pPr>
              <w:pStyle w:val="TableContents"/>
              <w:bidi w:val="0"/>
              <w:spacing w:before="0" w:after="1"/>
              <w:ind w:left="0" w:right="0" w:hanging="0"/>
              <w:jc w:val="right"/>
              <w:rPr/>
            </w:pPr>
            <w:r>
              <w:rPr/>
              <w:t>​</w:t>
            </w:r>
          </w:p>
        </w:tc>
        <w:tc>
          <w:tcPr>
            <w:tcW w:w="120" w:type="dxa"/>
            <w:tcBorders/>
            <w:vAlign w:val="center"/>
          </w:tcPr>
          <w:p>
            <w:pPr>
              <w:pStyle w:val="TableContents"/>
              <w:bidi w:val="0"/>
              <w:spacing w:before="0" w:after="1"/>
              <w:ind w:left="0" w:right="0" w:hanging="0"/>
              <w:jc w:val="right"/>
              <w:rPr/>
            </w:pPr>
            <w:r>
              <w:rPr/>
              <w:t>​</w:t>
            </w:r>
          </w:p>
        </w:tc>
        <w:tc>
          <w:tcPr>
            <w:tcW w:w="514" w:type="dxa"/>
            <w:tcBorders/>
            <w:vAlign w:val="center"/>
          </w:tcPr>
          <w:p>
            <w:pPr>
              <w:pStyle w:val="TableContents"/>
              <w:bidi w:val="0"/>
              <w:spacing w:before="0" w:after="1"/>
              <w:ind w:left="0" w:right="0" w:hanging="0"/>
              <w:jc w:val="right"/>
              <w:rPr/>
            </w:pPr>
            <w:r>
              <w:rPr/>
              <w:t>​</w:t>
            </w:r>
          </w:p>
        </w:tc>
        <w:tc>
          <w:tcPr>
            <w:tcW w:w="849" w:type="dxa"/>
            <w:tcBorders/>
            <w:vAlign w:val="center"/>
          </w:tcPr>
          <w:p>
            <w:pPr>
              <w:pStyle w:val="TableContents"/>
              <w:bidi w:val="0"/>
              <w:spacing w:before="0" w:after="1"/>
              <w:ind w:left="0" w:right="0" w:hanging="0"/>
              <w:jc w:val="right"/>
              <w:rPr/>
            </w:pPr>
            <w:r>
              <w:rPr/>
              <w:t>​</w:t>
            </w:r>
          </w:p>
        </w:tc>
        <w:tc>
          <w:tcPr>
            <w:tcW w:w="382"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pPr>
            <w:r>
              <w:rPr/>
              <w:t>​</w:t>
            </w:r>
          </w:p>
        </w:tc>
        <w:tc>
          <w:tcPr>
            <w:tcW w:w="481" w:type="dxa"/>
            <w:tcBorders/>
            <w:vAlign w:val="center"/>
          </w:tcPr>
          <w:p>
            <w:pPr>
              <w:pStyle w:val="TableContents"/>
              <w:bidi w:val="0"/>
              <w:spacing w:before="0" w:after="1"/>
              <w:ind w:left="0" w:right="0" w:hanging="0"/>
              <w:jc w:val="right"/>
              <w:rPr/>
            </w:pPr>
            <w:r>
              <w:rPr/>
              <w:t>​</w:t>
            </w:r>
          </w:p>
        </w:tc>
        <w:tc>
          <w:tcPr>
            <w:tcW w:w="382" w:type="dxa"/>
            <w:tcBorders/>
            <w:vAlign w:val="center"/>
          </w:tcPr>
          <w:p>
            <w:pPr>
              <w:pStyle w:val="TableContents"/>
              <w:bidi w:val="0"/>
              <w:spacing w:before="0" w:after="1"/>
              <w:ind w:left="0" w:right="0" w:hanging="0"/>
              <w:jc w:val="right"/>
              <w:rPr/>
            </w:pPr>
            <w:r>
              <w:rPr/>
              <w:t>​</w:t>
            </w:r>
          </w:p>
        </w:tc>
        <w:tc>
          <w:tcPr>
            <w:tcW w:w="16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0045" w:type="dxa"/>
            <w:gridSpan w:val="17"/>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Note: Certain prior year product reclassifications and the change in designation of certain products as "new" resulted in a change in prior year's sales.</w:t>
            </w:r>
          </w:p>
        </w:tc>
        <w:tc>
          <w:tcPr>
            <w:tcW w:w="16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198"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514"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514"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w:t>
            </w:r>
          </w:p>
        </w:tc>
        <w:tc>
          <w:tcPr>
            <w:tcW w:w="16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tbl>
      <w:tblPr>
        <w:tblW w:w="10205" w:type="dxa"/>
        <w:jc w:val="left"/>
        <w:tblInd w:w="0" w:type="dxa"/>
        <w:tblLayout w:type="fixed"/>
        <w:tblCellMar>
          <w:top w:w="0" w:type="dxa"/>
          <w:left w:w="0" w:type="dxa"/>
          <w:bottom w:w="0" w:type="dxa"/>
          <w:right w:w="0" w:type="dxa"/>
        </w:tblCellMar>
      </w:tblPr>
      <w:tblGrid>
        <w:gridCol w:w="2129"/>
        <w:gridCol w:w="365"/>
        <w:gridCol w:w="222"/>
        <w:gridCol w:w="826"/>
        <w:gridCol w:w="115"/>
        <w:gridCol w:w="492"/>
        <w:gridCol w:w="1060"/>
        <w:gridCol w:w="365"/>
        <w:gridCol w:w="222"/>
        <w:gridCol w:w="826"/>
        <w:gridCol w:w="115"/>
        <w:gridCol w:w="492"/>
        <w:gridCol w:w="1060"/>
        <w:gridCol w:w="365"/>
        <w:gridCol w:w="618"/>
        <w:gridCol w:w="762"/>
        <w:gridCol w:w="171"/>
      </w:tblGrid>
      <w:tr>
        <w:trPr/>
        <w:tc>
          <w:tcPr>
            <w:tcW w:w="2129"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pPr>
            <w:r>
              <w:rPr/>
              <w:t>​</w:t>
            </w:r>
          </w:p>
        </w:tc>
        <w:tc>
          <w:tcPr>
            <w:tcW w:w="6778" w:type="dxa"/>
            <w:gridSpan w:val="13"/>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New Product Sales by Segment</w:t>
            </w:r>
          </w:p>
        </w:tc>
        <w:tc>
          <w:tcPr>
            <w:tcW w:w="762" w:type="dxa"/>
            <w:tcBorders>
              <w:bottom w:val="single" w:sz="12" w:space="0" w:color="000000"/>
            </w:tcBorders>
            <w:tcMar>
              <w:bottom w:w="28" w:type="dxa"/>
            </w:tcMar>
            <w:vAlign w:val="center"/>
          </w:tcPr>
          <w:p>
            <w:pPr>
              <w:pStyle w:val="TableContents"/>
              <w:bidi w:val="0"/>
              <w:spacing w:before="0" w:after="1"/>
              <w:ind w:left="0" w:right="0" w:hanging="0"/>
              <w:jc w:val="center"/>
              <w:rPr/>
            </w:pPr>
            <w:r>
              <w:rPr/>
              <w:t>​</w:t>
            </w:r>
          </w:p>
        </w:tc>
        <w:tc>
          <w:tcPr>
            <w:tcW w:w="171" w:type="dxa"/>
            <w:tcBorders/>
            <w:vAlign w:val="center"/>
          </w:tcPr>
          <w:p>
            <w:pPr>
              <w:pStyle w:val="TableContents"/>
              <w:bidi w:val="0"/>
              <w:spacing w:before="0" w:after="1"/>
              <w:ind w:left="0" w:right="0" w:hanging="0"/>
              <w:jc w:val="left"/>
              <w:rPr/>
            </w:pPr>
            <w:r>
              <w:rPr/>
              <w:t>​</w:t>
            </w:r>
          </w:p>
        </w:tc>
      </w:tr>
      <w:tr>
        <w:trPr/>
        <w:tc>
          <w:tcPr>
            <w:tcW w:w="2129"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left"/>
              <w:rPr/>
            </w:pPr>
            <w:r>
              <w:rPr/>
              <w:t>​</w:t>
            </w:r>
          </w:p>
        </w:tc>
        <w:tc>
          <w:tcPr>
            <w:tcW w:w="6778" w:type="dxa"/>
            <w:gridSpan w:val="13"/>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762" w:type="dxa"/>
            <w:tcBorders>
              <w:bottom w:val="single" w:sz="12" w:space="0" w:color="000000"/>
            </w:tcBorders>
            <w:tcMar>
              <w:bottom w:w="28" w:type="dxa"/>
            </w:tcMar>
            <w:vAlign w:val="center"/>
          </w:tcPr>
          <w:p>
            <w:pPr>
              <w:pStyle w:val="TableContents"/>
              <w:bidi w:val="0"/>
              <w:spacing w:before="0" w:after="1"/>
              <w:ind w:left="0" w:right="0" w:hanging="0"/>
              <w:jc w:val="center"/>
              <w:rPr/>
            </w:pPr>
            <w:r>
              <w:rPr/>
              <w:t>​</w:t>
            </w:r>
          </w:p>
        </w:tc>
        <w:tc>
          <w:tcPr>
            <w:tcW w:w="171" w:type="dxa"/>
            <w:tcBorders/>
            <w:vAlign w:val="center"/>
          </w:tcPr>
          <w:p>
            <w:pPr>
              <w:pStyle w:val="TableContents"/>
              <w:bidi w:val="0"/>
              <w:spacing w:before="0" w:after="1"/>
              <w:ind w:left="0" w:right="0" w:hanging="0"/>
              <w:jc w:val="left"/>
              <w:rPr/>
            </w:pPr>
            <w:r>
              <w:rPr/>
              <w:t>​</w:t>
            </w:r>
          </w:p>
        </w:tc>
      </w:tr>
      <w:tr>
        <w:trPr/>
        <w:tc>
          <w:tcPr>
            <w:tcW w:w="2129"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pPr>
            <w:r>
              <w:rPr/>
              <w:t>  ​ ​ ​</w:t>
            </w:r>
          </w:p>
        </w:tc>
        <w:tc>
          <w:tcPr>
            <w:tcW w:w="104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115" w:type="dxa"/>
            <w:tcBorders/>
            <w:vAlign w:val="center"/>
          </w:tcPr>
          <w:p>
            <w:pPr>
              <w:pStyle w:val="TableContents"/>
              <w:bidi w:val="0"/>
              <w:spacing w:before="0" w:after="1"/>
              <w:ind w:left="0" w:right="0" w:hanging="0"/>
              <w:jc w:val="center"/>
              <w:rPr/>
            </w:pPr>
            <w:r>
              <w:rPr/>
              <w:t>​</w:t>
            </w:r>
          </w:p>
        </w:tc>
        <w:tc>
          <w:tcPr>
            <w:tcW w:w="15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Segment</w:t>
            </w:r>
          </w:p>
        </w:tc>
        <w:tc>
          <w:tcPr>
            <w:tcW w:w="365" w:type="dxa"/>
            <w:tcBorders/>
            <w:vAlign w:val="center"/>
          </w:tcPr>
          <w:p>
            <w:pPr>
              <w:pStyle w:val="TableContents"/>
              <w:bidi w:val="0"/>
              <w:spacing w:before="0" w:after="1"/>
              <w:ind w:left="0" w:right="0" w:hanging="0"/>
              <w:jc w:val="center"/>
              <w:rPr/>
            </w:pPr>
            <w:r>
              <w:rPr/>
              <w:t>  ​ ​ ​</w:t>
            </w:r>
          </w:p>
        </w:tc>
        <w:tc>
          <w:tcPr>
            <w:tcW w:w="104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115" w:type="dxa"/>
            <w:tcBorders/>
            <w:vAlign w:val="center"/>
          </w:tcPr>
          <w:p>
            <w:pPr>
              <w:pStyle w:val="TableContents"/>
              <w:bidi w:val="0"/>
              <w:spacing w:before="0" w:after="1"/>
              <w:ind w:left="0" w:right="0" w:hanging="0"/>
              <w:jc w:val="center"/>
              <w:rPr/>
            </w:pPr>
            <w:r>
              <w:rPr/>
              <w:t>​</w:t>
            </w:r>
          </w:p>
        </w:tc>
        <w:tc>
          <w:tcPr>
            <w:tcW w:w="15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Segment</w:t>
            </w:r>
          </w:p>
        </w:tc>
        <w:tc>
          <w:tcPr>
            <w:tcW w:w="365" w:type="dxa"/>
            <w:tcBorders/>
            <w:vAlign w:val="center"/>
          </w:tcPr>
          <w:p>
            <w:pPr>
              <w:pStyle w:val="TableContents"/>
              <w:bidi w:val="0"/>
              <w:spacing w:before="0" w:after="1"/>
              <w:ind w:left="0" w:right="0" w:hanging="0"/>
              <w:jc w:val="center"/>
              <w:rPr/>
            </w:pPr>
            <w:r>
              <w:rPr/>
              <w:t>  ​ ​ ​</w:t>
            </w:r>
          </w:p>
        </w:tc>
        <w:tc>
          <w:tcPr>
            <w:tcW w:w="138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171" w:type="dxa"/>
            <w:tcBorders/>
            <w:vAlign w:val="center"/>
          </w:tcPr>
          <w:p>
            <w:pPr>
              <w:pStyle w:val="TableContents"/>
              <w:bidi w:val="0"/>
              <w:spacing w:before="0" w:after="1"/>
              <w:ind w:left="0" w:right="0" w:hanging="0"/>
              <w:jc w:val="left"/>
              <w:rPr/>
            </w:pPr>
            <w:r>
              <w:rPr/>
              <w:t>​</w:t>
            </w:r>
          </w:p>
        </w:tc>
      </w:tr>
      <w:tr>
        <w:trPr/>
        <w:tc>
          <w:tcPr>
            <w:tcW w:w="2129"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pPr>
            <w:r>
              <w:rPr/>
              <w:t>​</w:t>
            </w:r>
          </w:p>
        </w:tc>
        <w:tc>
          <w:tcPr>
            <w:tcW w:w="1048"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5" w:type="dxa"/>
            <w:tcBorders/>
            <w:vAlign w:val="center"/>
          </w:tcPr>
          <w:p>
            <w:pPr>
              <w:pStyle w:val="TableContents"/>
              <w:bidi w:val="0"/>
              <w:spacing w:before="0" w:after="1"/>
              <w:ind w:left="0" w:right="0" w:hanging="0"/>
              <w:jc w:val="center"/>
              <w:rPr/>
            </w:pPr>
            <w:r>
              <w:rPr/>
              <w:t>​</w:t>
            </w:r>
          </w:p>
        </w:tc>
        <w:tc>
          <w:tcPr>
            <w:tcW w:w="155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Sales</w:t>
            </w:r>
          </w:p>
        </w:tc>
        <w:tc>
          <w:tcPr>
            <w:tcW w:w="365" w:type="dxa"/>
            <w:tcBorders/>
            <w:vAlign w:val="center"/>
          </w:tcPr>
          <w:p>
            <w:pPr>
              <w:pStyle w:val="TableContents"/>
              <w:bidi w:val="0"/>
              <w:spacing w:before="0" w:after="1"/>
              <w:ind w:left="0" w:right="0" w:hanging="0"/>
              <w:jc w:val="center"/>
              <w:rPr/>
            </w:pPr>
            <w:r>
              <w:rPr/>
              <w:t>​</w:t>
            </w:r>
          </w:p>
        </w:tc>
        <w:tc>
          <w:tcPr>
            <w:tcW w:w="1048"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15" w:type="dxa"/>
            <w:tcBorders/>
            <w:vAlign w:val="center"/>
          </w:tcPr>
          <w:p>
            <w:pPr>
              <w:pStyle w:val="TableContents"/>
              <w:bidi w:val="0"/>
              <w:spacing w:before="0" w:after="1"/>
              <w:ind w:left="0" w:right="0" w:hanging="0"/>
              <w:jc w:val="center"/>
              <w:rPr/>
            </w:pPr>
            <w:r>
              <w:rPr/>
              <w:t>​</w:t>
            </w:r>
          </w:p>
        </w:tc>
        <w:tc>
          <w:tcPr>
            <w:tcW w:w="155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Sales</w:t>
            </w:r>
          </w:p>
        </w:tc>
        <w:tc>
          <w:tcPr>
            <w:tcW w:w="365" w:type="dxa"/>
            <w:tcBorders/>
            <w:vAlign w:val="center"/>
          </w:tcPr>
          <w:p>
            <w:pPr>
              <w:pStyle w:val="TableContents"/>
              <w:bidi w:val="0"/>
              <w:spacing w:before="0" w:after="1"/>
              <w:ind w:left="0" w:right="0" w:hanging="0"/>
              <w:jc w:val="center"/>
              <w:rPr/>
            </w:pPr>
            <w:r>
              <w:rPr/>
              <w:t>​</w:t>
            </w:r>
          </w:p>
        </w:tc>
        <w:tc>
          <w:tcPr>
            <w:tcW w:w="1380"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Sales</w:t>
            </w:r>
          </w:p>
        </w:tc>
        <w:tc>
          <w:tcPr>
            <w:tcW w:w="171" w:type="dxa"/>
            <w:tcBorders/>
            <w:vAlign w:val="center"/>
          </w:tcPr>
          <w:p>
            <w:pPr>
              <w:pStyle w:val="TableContents"/>
              <w:bidi w:val="0"/>
              <w:spacing w:before="0" w:after="1"/>
              <w:ind w:left="0" w:right="0" w:hanging="0"/>
              <w:jc w:val="left"/>
              <w:rPr/>
            </w:pPr>
            <w:r>
              <w:rPr/>
              <w:t>​</w:t>
            </w:r>
          </w:p>
        </w:tc>
      </w:tr>
      <w:tr>
        <w:trPr/>
        <w:tc>
          <w:tcPr>
            <w:tcW w:w="21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Retail</w:t>
            </w:r>
          </w:p>
        </w:tc>
        <w:tc>
          <w:tcPr>
            <w:tcW w:w="365"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127,521</w:t>
            </w:r>
          </w:p>
        </w:tc>
        <w:tc>
          <w:tcPr>
            <w:tcW w:w="115" w:type="dxa"/>
            <w:tcBorders/>
            <w:shd w:fill="CCEEFF" w:val="clear"/>
            <w:vAlign w:val="center"/>
          </w:tcPr>
          <w:p>
            <w:pPr>
              <w:pStyle w:val="TableContents"/>
              <w:bidi w:val="0"/>
              <w:spacing w:before="0" w:after="1"/>
              <w:ind w:left="0" w:right="0" w:hanging="0"/>
              <w:jc w:val="right"/>
              <w:rPr/>
            </w:pPr>
            <w:r>
              <w:rPr/>
              <w:t>​</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10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5"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111,653</w:t>
            </w:r>
          </w:p>
        </w:tc>
        <w:tc>
          <w:tcPr>
            <w:tcW w:w="115" w:type="dxa"/>
            <w:tcBorders/>
            <w:shd w:fill="CCEEFF" w:val="clear"/>
            <w:vAlign w:val="center"/>
          </w:tcPr>
          <w:p>
            <w:pPr>
              <w:pStyle w:val="TableContents"/>
              <w:bidi w:val="0"/>
              <w:spacing w:before="0" w:after="1"/>
              <w:ind w:left="0" w:right="0" w:hanging="0"/>
              <w:jc w:val="right"/>
              <w:rPr/>
            </w:pPr>
            <w:r>
              <w:rPr/>
              <w:t>​</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10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5" w:type="dxa"/>
            <w:tcBorders/>
            <w:shd w:fill="CCEEFF" w:val="clear"/>
            <w:vAlign w:val="center"/>
          </w:tcPr>
          <w:p>
            <w:pPr>
              <w:pStyle w:val="TableContents"/>
              <w:bidi w:val="0"/>
              <w:spacing w:before="0" w:after="1"/>
              <w:ind w:left="0" w:right="0" w:hanging="0"/>
              <w:jc w:val="left"/>
              <w:rPr/>
            </w:pPr>
            <w:r>
              <w:rPr/>
              <w:t> </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71" w:type="dxa"/>
            <w:tcBorders/>
            <w:shd w:fill="CCEEFF" w:val="clear"/>
            <w:vAlign w:val="center"/>
          </w:tcPr>
          <w:p>
            <w:pPr>
              <w:pStyle w:val="TableContents"/>
              <w:bidi w:val="0"/>
              <w:spacing w:before="0" w:after="1"/>
              <w:ind w:left="0" w:right="0" w:hanging="0"/>
              <w:jc w:val="left"/>
              <w:rPr/>
            </w:pPr>
            <w:r>
              <w:rPr/>
              <w:t>​</w:t>
            </w:r>
          </w:p>
        </w:tc>
      </w:tr>
      <w:tr>
        <w:trPr/>
        <w:tc>
          <w:tcPr>
            <w:tcW w:w="21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Packaging</w:t>
            </w:r>
          </w:p>
        </w:tc>
        <w:tc>
          <w:tcPr>
            <w:tcW w:w="365"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101,962</w:t>
            </w:r>
          </w:p>
        </w:tc>
        <w:tc>
          <w:tcPr>
            <w:tcW w:w="115" w:type="dxa"/>
            <w:tcBorders/>
            <w:vAlign w:val="center"/>
          </w:tcPr>
          <w:p>
            <w:pPr>
              <w:pStyle w:val="TableContents"/>
              <w:bidi w:val="0"/>
              <w:spacing w:before="0" w:after="1"/>
              <w:ind w:left="0" w:right="0" w:hanging="0"/>
              <w:jc w:val="right"/>
              <w:rPr/>
            </w:pPr>
            <w:r>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10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5"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78,981</w:t>
            </w:r>
          </w:p>
        </w:tc>
        <w:tc>
          <w:tcPr>
            <w:tcW w:w="115" w:type="dxa"/>
            <w:tcBorders/>
            <w:vAlign w:val="center"/>
          </w:tcPr>
          <w:p>
            <w:pPr>
              <w:pStyle w:val="TableContents"/>
              <w:bidi w:val="0"/>
              <w:spacing w:before="0" w:after="1"/>
              <w:ind w:left="0" w:right="0" w:hanging="0"/>
              <w:jc w:val="right"/>
              <w:rPr/>
            </w:pPr>
            <w:r>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10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5" w:type="dxa"/>
            <w:tcBorders/>
            <w:vAlign w:val="center"/>
          </w:tcPr>
          <w:p>
            <w:pPr>
              <w:pStyle w:val="TableContents"/>
              <w:bidi w:val="0"/>
              <w:spacing w:before="0" w:after="1"/>
              <w:ind w:left="0" w:right="0" w:hanging="0"/>
              <w:jc w:val="left"/>
              <w:rPr/>
            </w:pPr>
            <w:r>
              <w:rPr/>
              <w:t> </w:t>
            </w:r>
          </w:p>
        </w:tc>
        <w:tc>
          <w:tcPr>
            <w:tcW w:w="6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71" w:type="dxa"/>
            <w:tcBorders/>
            <w:vAlign w:val="center"/>
          </w:tcPr>
          <w:p>
            <w:pPr>
              <w:pStyle w:val="TableContents"/>
              <w:bidi w:val="0"/>
              <w:spacing w:before="0" w:after="1"/>
              <w:ind w:left="0" w:right="0" w:hanging="0"/>
              <w:jc w:val="left"/>
              <w:rPr/>
            </w:pPr>
            <w:r>
              <w:rPr/>
              <w:t>​</w:t>
            </w:r>
          </w:p>
        </w:tc>
      </w:tr>
      <w:tr>
        <w:trPr/>
        <w:tc>
          <w:tcPr>
            <w:tcW w:w="21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65"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41,224</w:t>
            </w:r>
          </w:p>
        </w:tc>
        <w:tc>
          <w:tcPr>
            <w:tcW w:w="115" w:type="dxa"/>
            <w:tcBorders/>
            <w:shd w:fill="CCEEFF" w:val="clear"/>
            <w:vAlign w:val="center"/>
          </w:tcPr>
          <w:p>
            <w:pPr>
              <w:pStyle w:val="TableContents"/>
              <w:bidi w:val="0"/>
              <w:spacing w:before="0" w:after="1"/>
              <w:ind w:left="0" w:right="0" w:hanging="0"/>
              <w:jc w:val="right"/>
              <w:rPr/>
            </w:pPr>
            <w:r>
              <w:rPr/>
              <w:t>​</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10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5"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23,727</w:t>
            </w:r>
          </w:p>
        </w:tc>
        <w:tc>
          <w:tcPr>
            <w:tcW w:w="115" w:type="dxa"/>
            <w:tcBorders/>
            <w:shd w:fill="CCEEFF" w:val="clear"/>
            <w:vAlign w:val="center"/>
          </w:tcPr>
          <w:p>
            <w:pPr>
              <w:pStyle w:val="TableContents"/>
              <w:bidi w:val="0"/>
              <w:spacing w:before="0" w:after="1"/>
              <w:ind w:left="0" w:right="0" w:hanging="0"/>
              <w:jc w:val="right"/>
              <w:rPr/>
            </w:pPr>
            <w:r>
              <w:rPr/>
              <w:t>​</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10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5" w:type="dxa"/>
            <w:tcBorders/>
            <w:shd w:fill="CCEEFF" w:val="clear"/>
            <w:vAlign w:val="center"/>
          </w:tcPr>
          <w:p>
            <w:pPr>
              <w:pStyle w:val="TableContents"/>
              <w:bidi w:val="0"/>
              <w:spacing w:before="0" w:after="1"/>
              <w:ind w:left="0" w:right="0" w:hanging="0"/>
              <w:jc w:val="left"/>
              <w:rPr/>
            </w:pPr>
            <w:r>
              <w:rPr/>
              <w:t>​</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71" w:type="dxa"/>
            <w:tcBorders/>
            <w:shd w:fill="CCEEFF" w:val="clear"/>
            <w:vAlign w:val="center"/>
          </w:tcPr>
          <w:p>
            <w:pPr>
              <w:pStyle w:val="TableContents"/>
              <w:bidi w:val="0"/>
              <w:spacing w:before="0" w:after="1"/>
              <w:ind w:left="0" w:right="0" w:hanging="0"/>
              <w:jc w:val="left"/>
              <w:rPr/>
            </w:pPr>
            <w:r>
              <w:rPr/>
              <w:t>​</w:t>
            </w:r>
          </w:p>
        </w:tc>
      </w:tr>
      <w:tr>
        <w:trPr/>
        <w:tc>
          <w:tcPr>
            <w:tcW w:w="21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Other</w:t>
            </w:r>
          </w:p>
        </w:tc>
        <w:tc>
          <w:tcPr>
            <w:tcW w:w="365"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w:t>
            </w:r>
          </w:p>
        </w:tc>
        <w:tc>
          <w:tcPr>
            <w:tcW w:w="115" w:type="dxa"/>
            <w:tcBorders/>
            <w:vAlign w:val="center"/>
          </w:tcPr>
          <w:p>
            <w:pPr>
              <w:pStyle w:val="TableContents"/>
              <w:bidi w:val="0"/>
              <w:spacing w:before="0" w:after="1"/>
              <w:ind w:left="0" w:right="0" w:hanging="0"/>
              <w:jc w:val="right"/>
              <w:rPr/>
            </w:pPr>
            <w:r>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10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5"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115" w:type="dxa"/>
            <w:tcBorders/>
            <w:vAlign w:val="center"/>
          </w:tcPr>
          <w:p>
            <w:pPr>
              <w:pStyle w:val="TableContents"/>
              <w:bidi w:val="0"/>
              <w:spacing w:before="0" w:after="1"/>
              <w:ind w:left="0" w:right="0" w:hanging="0"/>
              <w:jc w:val="right"/>
              <w:rPr/>
            </w:pPr>
            <w:r>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10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5"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143.6</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71" w:type="dxa"/>
            <w:tcBorders/>
            <w:vAlign w:val="center"/>
          </w:tcPr>
          <w:p>
            <w:pPr>
              <w:pStyle w:val="TableContents"/>
              <w:bidi w:val="0"/>
              <w:spacing w:before="0" w:after="1"/>
              <w:ind w:left="0" w:right="0" w:hanging="0"/>
              <w:jc w:val="left"/>
              <w:rPr/>
            </w:pPr>
            <w:r>
              <w:rPr/>
              <w:t>​</w:t>
            </w:r>
          </w:p>
        </w:tc>
      </w:tr>
      <w:tr>
        <w:trPr/>
        <w:tc>
          <w:tcPr>
            <w:tcW w:w="21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65"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w:t>
            </w:r>
          </w:p>
        </w:tc>
        <w:tc>
          <w:tcPr>
            <w:tcW w:w="115" w:type="dxa"/>
            <w:tcBorders/>
            <w:shd w:fill="CCEEFF" w:val="clear"/>
            <w:vAlign w:val="center"/>
          </w:tcPr>
          <w:p>
            <w:pPr>
              <w:pStyle w:val="TableContents"/>
              <w:bidi w:val="0"/>
              <w:spacing w:before="0" w:after="1"/>
              <w:ind w:left="0" w:right="0" w:hanging="0"/>
              <w:jc w:val="right"/>
              <w:rPr/>
            </w:pPr>
            <w:r>
              <w:rPr/>
              <w:t>​</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10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5"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1,325</w:t>
            </w:r>
          </w:p>
        </w:tc>
        <w:tc>
          <w:tcPr>
            <w:tcW w:w="115" w:type="dxa"/>
            <w:tcBorders/>
            <w:shd w:fill="CCEEFF" w:val="clear"/>
            <w:vAlign w:val="center"/>
          </w:tcPr>
          <w:p>
            <w:pPr>
              <w:pStyle w:val="TableContents"/>
              <w:bidi w:val="0"/>
              <w:spacing w:before="0" w:after="1"/>
              <w:ind w:left="0" w:right="0" w:hanging="0"/>
              <w:jc w:val="right"/>
              <w:rPr/>
            </w:pPr>
            <w:r>
              <w:rPr/>
              <w:t>​</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w:t>
            </w:r>
          </w:p>
        </w:tc>
        <w:tc>
          <w:tcPr>
            <w:tcW w:w="10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5" w:type="dxa"/>
            <w:tcBorders/>
            <w:shd w:fill="CCEEFF" w:val="clear"/>
            <w:vAlign w:val="center"/>
          </w:tcPr>
          <w:p>
            <w:pPr>
              <w:pStyle w:val="TableContents"/>
              <w:bidi w:val="0"/>
              <w:spacing w:before="0" w:after="1"/>
              <w:ind w:left="0" w:right="0" w:hanging="0"/>
              <w:jc w:val="left"/>
              <w:rPr/>
            </w:pPr>
            <w:r>
              <w:rPr/>
              <w:t> </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71" w:type="dxa"/>
            <w:tcBorders/>
            <w:shd w:fill="CCEEFF" w:val="clear"/>
            <w:vAlign w:val="center"/>
          </w:tcPr>
          <w:p>
            <w:pPr>
              <w:pStyle w:val="TableContents"/>
              <w:bidi w:val="0"/>
              <w:spacing w:before="0" w:after="1"/>
              <w:ind w:left="0" w:right="0" w:hanging="0"/>
              <w:jc w:val="left"/>
              <w:rPr/>
            </w:pPr>
            <w:r>
              <w:rPr/>
              <w:t>​</w:t>
            </w:r>
          </w:p>
        </w:tc>
      </w:tr>
      <w:tr>
        <w:trPr/>
        <w:tc>
          <w:tcPr>
            <w:tcW w:w="21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New Product Sales</w:t>
            </w:r>
          </w:p>
        </w:tc>
        <w:tc>
          <w:tcPr>
            <w:tcW w:w="365" w:type="dxa"/>
            <w:tcBorders/>
            <w:vAlign w:val="center"/>
          </w:tcPr>
          <w:p>
            <w:pPr>
              <w:pStyle w:val="TableContents"/>
              <w:bidi w:val="0"/>
              <w:spacing w:before="0" w:after="1"/>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272,340</w:t>
            </w:r>
          </w:p>
        </w:tc>
        <w:tc>
          <w:tcPr>
            <w:tcW w:w="115" w:type="dxa"/>
            <w:tcBorders/>
            <w:vAlign w:val="center"/>
          </w:tcPr>
          <w:p>
            <w:pPr>
              <w:pStyle w:val="TableContents"/>
              <w:bidi w:val="0"/>
              <w:spacing w:before="0" w:after="1"/>
              <w:ind w:left="0" w:right="0" w:hanging="0"/>
              <w:jc w:val="right"/>
              <w:rPr/>
            </w:pPr>
            <w:r>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10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5" w:type="dxa"/>
            <w:tcBorders/>
            <w:vAlign w:val="center"/>
          </w:tcPr>
          <w:p>
            <w:pPr>
              <w:pStyle w:val="TableContents"/>
              <w:bidi w:val="0"/>
              <w:spacing w:before="0" w:after="1"/>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215,906</w:t>
            </w:r>
          </w:p>
        </w:tc>
        <w:tc>
          <w:tcPr>
            <w:tcW w:w="115" w:type="dxa"/>
            <w:tcBorders/>
            <w:vAlign w:val="center"/>
          </w:tcPr>
          <w:p>
            <w:pPr>
              <w:pStyle w:val="TableContents"/>
              <w:bidi w:val="0"/>
              <w:spacing w:before="0" w:after="1"/>
              <w:ind w:left="0" w:right="0" w:hanging="0"/>
              <w:jc w:val="right"/>
              <w:rPr/>
            </w:pPr>
            <w:r>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10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5" w:type="dxa"/>
            <w:tcBorders/>
            <w:vAlign w:val="center"/>
          </w:tcPr>
          <w:p>
            <w:pPr>
              <w:pStyle w:val="TableContents"/>
              <w:bidi w:val="0"/>
              <w:spacing w:before="0" w:after="1"/>
              <w:ind w:left="0" w:right="0" w:hanging="0"/>
              <w:jc w:val="left"/>
              <w:rPr/>
            </w:pPr>
            <w:r>
              <w:rPr/>
              <w:t> </w:t>
            </w:r>
          </w:p>
        </w:tc>
        <w:tc>
          <w:tcPr>
            <w:tcW w:w="6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71" w:type="dxa"/>
            <w:tcBorders/>
            <w:vAlign w:val="center"/>
          </w:tcPr>
          <w:p>
            <w:pPr>
              <w:pStyle w:val="TableContents"/>
              <w:bidi w:val="0"/>
              <w:spacing w:before="0" w:after="1"/>
              <w:ind w:left="0" w:right="0" w:hanging="0"/>
              <w:jc w:val="left"/>
              <w:rPr/>
            </w:pPr>
            <w:r>
              <w:rPr/>
              <w:t>​</w:t>
            </w:r>
          </w:p>
        </w:tc>
      </w:tr>
      <w:tr>
        <w:trPr/>
        <w:tc>
          <w:tcPr>
            <w:tcW w:w="2129" w:type="dxa"/>
            <w:tcBorders/>
            <w:vAlign w:val="center"/>
          </w:tcPr>
          <w:p>
            <w:pPr>
              <w:pStyle w:val="TableContents"/>
              <w:bidi w:val="0"/>
              <w:spacing w:before="0" w:after="1"/>
              <w:ind w:left="0" w:right="0" w:hanging="0"/>
              <w:jc w:val="right"/>
              <w:rPr/>
            </w:pPr>
            <w:r>
              <w:rPr/>
              <w:t>​</w:t>
            </w:r>
          </w:p>
        </w:tc>
        <w:tc>
          <w:tcPr>
            <w:tcW w:w="365" w:type="dxa"/>
            <w:tcBorders/>
            <w:vAlign w:val="center"/>
          </w:tcPr>
          <w:p>
            <w:pPr>
              <w:pStyle w:val="TableContents"/>
              <w:bidi w:val="0"/>
              <w:spacing w:before="0" w:after="1"/>
              <w:ind w:left="0" w:right="0" w:hanging="0"/>
              <w:jc w:val="right"/>
              <w:rPr/>
            </w:pPr>
            <w:r>
              <w:rPr/>
              <w:t>​</w:t>
            </w:r>
          </w:p>
        </w:tc>
        <w:tc>
          <w:tcPr>
            <w:tcW w:w="222"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115" w:type="dxa"/>
            <w:tcBorders/>
            <w:vAlign w:val="center"/>
          </w:tcPr>
          <w:p>
            <w:pPr>
              <w:pStyle w:val="TableContents"/>
              <w:bidi w:val="0"/>
              <w:spacing w:before="0" w:after="1"/>
              <w:ind w:left="0" w:right="0" w:hanging="0"/>
              <w:jc w:val="right"/>
              <w:rPr/>
            </w:pPr>
            <w:r>
              <w:rPr/>
              <w:t>​</w:t>
            </w:r>
          </w:p>
        </w:tc>
        <w:tc>
          <w:tcPr>
            <w:tcW w:w="492" w:type="dxa"/>
            <w:tcBorders/>
            <w:vAlign w:val="center"/>
          </w:tcPr>
          <w:p>
            <w:pPr>
              <w:pStyle w:val="TableContents"/>
              <w:bidi w:val="0"/>
              <w:spacing w:before="0" w:after="1"/>
              <w:ind w:left="0" w:right="0" w:hanging="0"/>
              <w:jc w:val="right"/>
              <w:rPr/>
            </w:pPr>
            <w:r>
              <w:rPr/>
              <w:t>​</w:t>
            </w:r>
          </w:p>
        </w:tc>
        <w:tc>
          <w:tcPr>
            <w:tcW w:w="1060" w:type="dxa"/>
            <w:tcBorders/>
            <w:vAlign w:val="center"/>
          </w:tcPr>
          <w:p>
            <w:pPr>
              <w:pStyle w:val="TableContents"/>
              <w:bidi w:val="0"/>
              <w:spacing w:before="0" w:after="1"/>
              <w:ind w:left="0" w:right="0" w:hanging="0"/>
              <w:jc w:val="right"/>
              <w:rPr/>
            </w:pPr>
            <w:r>
              <w:rPr/>
              <w:t>​</w:t>
            </w:r>
          </w:p>
        </w:tc>
        <w:tc>
          <w:tcPr>
            <w:tcW w:w="365" w:type="dxa"/>
            <w:tcBorders/>
            <w:vAlign w:val="center"/>
          </w:tcPr>
          <w:p>
            <w:pPr>
              <w:pStyle w:val="TableContents"/>
              <w:bidi w:val="0"/>
              <w:spacing w:before="0" w:after="1"/>
              <w:ind w:left="0" w:right="0" w:hanging="0"/>
              <w:jc w:val="right"/>
              <w:rPr/>
            </w:pPr>
            <w:r>
              <w:rPr/>
              <w:t>​</w:t>
            </w:r>
          </w:p>
        </w:tc>
        <w:tc>
          <w:tcPr>
            <w:tcW w:w="222"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115" w:type="dxa"/>
            <w:tcBorders/>
            <w:vAlign w:val="center"/>
          </w:tcPr>
          <w:p>
            <w:pPr>
              <w:pStyle w:val="TableContents"/>
              <w:bidi w:val="0"/>
              <w:spacing w:before="0" w:after="1"/>
              <w:ind w:left="0" w:right="0" w:hanging="0"/>
              <w:jc w:val="right"/>
              <w:rPr/>
            </w:pPr>
            <w:r>
              <w:rPr/>
              <w:t>​</w:t>
            </w:r>
          </w:p>
        </w:tc>
        <w:tc>
          <w:tcPr>
            <w:tcW w:w="492" w:type="dxa"/>
            <w:tcBorders/>
            <w:vAlign w:val="center"/>
          </w:tcPr>
          <w:p>
            <w:pPr>
              <w:pStyle w:val="TableContents"/>
              <w:bidi w:val="0"/>
              <w:spacing w:before="0" w:after="1"/>
              <w:ind w:left="0" w:right="0" w:hanging="0"/>
              <w:jc w:val="right"/>
              <w:rPr/>
            </w:pPr>
            <w:r>
              <w:rPr/>
              <w:t>​</w:t>
            </w:r>
          </w:p>
        </w:tc>
        <w:tc>
          <w:tcPr>
            <w:tcW w:w="1060" w:type="dxa"/>
            <w:tcBorders/>
            <w:vAlign w:val="center"/>
          </w:tcPr>
          <w:p>
            <w:pPr>
              <w:pStyle w:val="TableContents"/>
              <w:bidi w:val="0"/>
              <w:spacing w:before="0" w:after="1"/>
              <w:ind w:left="0" w:right="0" w:hanging="0"/>
              <w:jc w:val="right"/>
              <w:rPr/>
            </w:pPr>
            <w:r>
              <w:rPr/>
              <w:t>​</w:t>
            </w:r>
          </w:p>
        </w:tc>
        <w:tc>
          <w:tcPr>
            <w:tcW w:w="365" w:type="dxa"/>
            <w:tcBorders/>
            <w:vAlign w:val="center"/>
          </w:tcPr>
          <w:p>
            <w:pPr>
              <w:pStyle w:val="TableContents"/>
              <w:bidi w:val="0"/>
              <w:spacing w:before="0" w:after="1"/>
              <w:ind w:left="0" w:right="0" w:hanging="0"/>
              <w:jc w:val="right"/>
              <w:rPr/>
            </w:pPr>
            <w:r>
              <w:rPr/>
              <w:t>​</w:t>
            </w:r>
          </w:p>
        </w:tc>
        <w:tc>
          <w:tcPr>
            <w:tcW w:w="618" w:type="dxa"/>
            <w:tcBorders/>
            <w:vAlign w:val="center"/>
          </w:tcPr>
          <w:p>
            <w:pPr>
              <w:pStyle w:val="TableContents"/>
              <w:bidi w:val="0"/>
              <w:spacing w:before="0" w:after="1"/>
              <w:ind w:left="0" w:right="0" w:hanging="0"/>
              <w:jc w:val="right"/>
              <w:rPr/>
            </w:pPr>
            <w:r>
              <w:rPr/>
              <w:t>​</w:t>
            </w:r>
          </w:p>
        </w:tc>
        <w:tc>
          <w:tcPr>
            <w:tcW w:w="762" w:type="dxa"/>
            <w:tcBorders/>
            <w:vAlign w:val="center"/>
          </w:tcPr>
          <w:p>
            <w:pPr>
              <w:pStyle w:val="TableContents"/>
              <w:bidi w:val="0"/>
              <w:spacing w:before="0" w:after="1"/>
              <w:ind w:left="0" w:right="0" w:hanging="0"/>
              <w:jc w:val="right"/>
              <w:rPr/>
            </w:pPr>
            <w:r>
              <w:rPr/>
              <w:t>​</w:t>
            </w:r>
          </w:p>
        </w:tc>
        <w:tc>
          <w:tcPr>
            <w:tcW w:w="171" w:type="dxa"/>
            <w:tcBorders/>
            <w:vAlign w:val="center"/>
          </w:tcPr>
          <w:p>
            <w:pPr>
              <w:pStyle w:val="TableContents"/>
              <w:bidi w:val="0"/>
              <w:spacing w:before="0" w:after="1"/>
              <w:ind w:left="0" w:right="0" w:hanging="0"/>
              <w:jc w:val="right"/>
              <w:rPr/>
            </w:pPr>
            <w:r>
              <w:rPr/>
              <w:t>​</w:t>
            </w:r>
          </w:p>
        </w:tc>
      </w:tr>
      <w:tr>
        <w:trPr/>
        <w:tc>
          <w:tcPr>
            <w:tcW w:w="10205" w:type="dxa"/>
            <w:gridSpan w:val="17"/>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Note: Certain prior year product reclassifications and the change in designation of certain products as "new" resulted in a change in prior year's sales.</w:t>
            </w:r>
          </w:p>
        </w:tc>
      </w:tr>
    </w:tbl>
    <w:p>
      <w:pPr>
        <w:pStyle w:val="TextBody"/>
        <w:bidi w:val="0"/>
        <w:spacing w:before="240" w:after="0"/>
        <w:ind w:left="0" w:right="0" w:hanging="0"/>
        <w:jc w:val="both"/>
        <w:rPr>
          <w:rFonts w:ascii="Times New Roman;Times;serif" w:hAnsi="Times New Roman;Times;serif"/>
          <w:b/>
          <w:sz w:val="20"/>
        </w:rPr>
      </w:pPr>
      <w:r>
        <w:rPr>
          <w:rFonts w:ascii="Times New Roman;Times;serif" w:hAnsi="Times New Roman;Times;serif"/>
          <w:b/>
          <w:sz w:val="20"/>
        </w:rPr>
        <w:t>Retail Segment</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Net sales in the second quarter of 2026 increased by 4% compared to the same period of 2025 due to a 3% increase in selling prices and a 2% increase due to acquisitions, partially offset by a 1% decrease in organic unit sales. Organic unit changes within this segment consisted of a 17% decrease in Edge and a 1% decrease in ProWood, partially offset by a 9% increase in Deckorators. Of the 25% year over year increase in net sales for our Deckorators business unit, wood-plastic composite decking and mineral-based-composite decking (sold under our new Surestone tradename) increased 85% and 37%, respectively. An acquired business contributed 13% in sales growth to Deckorators and 51% in sales growth to wood-plastic composite decking sales. These increases were partially offset by railings which declined 17%. Our unit sales to big box customers, which we believe are more closely correlated with repair and remodel activity, increased approximately 2%, while unit sales to independent retailers, which we believe are more closely correlated to new housing starts, decreased approximately 2%. The decline in ProWood volume is primarily due to weaker consumer sentiment and economic uncertainty resulting in a softening of demand to complete repair and remodel projects.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Gross profit increased by $1 million, or 1% to $115 million for the second quarter of 2026 compared to the same period of 2025. The change in gross profit was attributable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of our Edge business unit improved by $3 million as a result of cost savings from the closure of the Bonner, MT facility and restructuring of this business unit which led to operational improvements.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of our Deckorators business unit increased by $1 million despite higher transportation costs. This business unit continues to make progress optimizing new capacity and we anticipate a higher profit contribution on growth in future quarters.</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of our ProWood pressure-treated products decreased by $3 million, due to higher transportation costs.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SG&amp;A increased by $4 million, or 7%, in the second quarter of 2026 compared to the same period of 2025. The increase was caused by a $1 million increase due to acquired operations, a $1 million increase in professional fees, and a $2 million increase in expenses across several other categories. Accrued bonus expense, which varies with overall profitability and return on investment of the segment remained flat from the second quarter of 2025 and totaled $15 million for the quarter.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Earnings from operations decreased in the second quarter of 2026 compared to the same period of 2025 by $4 million, or 7%, as a result of the factors mentioned above.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sales in the first six months of 2026 decreased by 3% compared to the same period of 2025, due to a 6% decrease in organic units, partially offset by a 2% increase in selling prices and a 1% increase due to acquisitions. Organic unit changes within this segment consisted of decreases of 18% in Edge and 7% in ProWood, partially offset by a 5% increase in Deckorators. Within our Deckorators business unit, our mineral-based-composite decking sales increased by 33% as consumers continue to see the benefits of its superior product attributes, and wood-plastic composite decking increased by 51%. An acquired business contributed an additional 9% in sales growth to Deckorators and 30% in sales growth to wood-plastic composite decking sales. These increases were partially offset by a 13% decrease in railing sales. Unit sales to big box customers decreased approximately 5%, while unit sales to independent retailers decreased approximately 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Gross profit remained flat for the first six months of 2026 compared to the same period in 2025. The components of gross profit were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gross profit of our ProWood business unit decreased $7 million, primarily due to a decline in unit sales in the first quarter and higher transportation costs in the second quarter.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of our Edge business unit improved by $4 million as a result of cost savings from the closure of the Bonner, MT facility and restructuring of this business unit which led to operational improvements.</w:t>
            </w:r>
          </w:p>
        </w:tc>
      </w:tr>
    </w:tbl>
    <w:tbl>
      <w:tblPr>
        <w:tblW w:w="9306" w:type="dxa"/>
        <w:jc w:val="left"/>
        <w:tblInd w:w="0" w:type="dxa"/>
        <w:tblLayout w:type="fixed"/>
        <w:tblCellMar>
          <w:top w:w="28" w:type="dxa"/>
          <w:left w:w="28" w:type="dxa"/>
          <w:bottom w:w="28" w:type="dxa"/>
          <w:right w:w="28" w:type="dxa"/>
        </w:tblCellMar>
      </w:tblPr>
      <w:tblGrid>
        <w:gridCol w:w="124"/>
        <w:gridCol w:w="256"/>
        <w:gridCol w:w="8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of our Deckorators business unit increased by $3 million despite higher transportation costs.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SG&amp;A increased by approximately $5 million, or 4%, in the first six months of 2026 compared to the same period of 2025. The overall increase was due to a $1 million increase due to acquired operations, a $2 million increase in professional fees, and a $3 million increase in expenses across several other categories. These increases were partially offset by a decline in accrued bonus expense of $1 million, which totaled $24 million for the first six months of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Earnings from operations decreased in the first six months of 2026 compared to the same period of 2025 by $6 million, or 7%, as a result of the factors mentioned above.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Packaging Segment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sales in the second quarter of 2026 increased 7% compared to the same period of 2025, due to a 4% increase in organic unit sales and a 4% contribution from business acquisitions. These increases were partially offset by a 1% decrease in selling prices. Organic unit changes consist of a 15% increase in Protective Packaging and an 8% increase in Structural Packaging, partially offset by a 3% decrease in PalletOne. Acquisitions contributed an additional 12% in unit sales growth to PalletOne.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Gross profit decreased by $10 million, or 14%, for the second quarter of 2026 compared to the same period of 2025. The change in gross profit was attributable to the following:</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of our PalletOne business unit decreased by $6 million primarily due to increased material and transportation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of our Structural Packaging business unit decreased by $3 million due to an increase in transportation costs, partially offset by organic unit growth.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gross profit of our Protective Packaging business unit decreased by $1 million compared to the same period of 2025, resulting from unabsorbed manufacturing overhead costs associated with two new greenfield locations. </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SG&amp;A increased by approximately $2 million, or 6%, in the second quarter of 2026 compared to the same period of 2025. The increase is attributable to a one-time write-off on an earnout liability in 2025 for $2 million, a $1 million increase due to acquired operations, and a $1 million increase in expenses across several other categories. The increases were offset by accrued bonus expense, which decreased approximately $2 million relative to the same period of 2025 and totaled $6 million for the quarter.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Earnings from operations decreased in the second quarter of 2026 compared to the same period of 2025 by $12 million, or 44%, due to the factors discussed above.</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sales in the first six months of 2026 increased 2% compared to the same period of 2025, due to acquired businesses which contributed 3% to unit growth, partially offset by a 1% decrease in selling prices. Organic unit changes consist of a 10% increase in Protective Packaging and a 4% increase in Structural Packaging, offset by a 7% decrease in PalletOne. Acquisitions contributed an additional 7% in unit sales growth to PalletOne.</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Gross profit decreased by $19 million, or 14%, for the first six months of 2026 compared to the same period in 2025. The change in gross profit was attributable to the following. </w:t>
      </w:r>
    </w:p>
    <w:p>
      <w:pPr>
        <w:pStyle w:val="TextBody"/>
        <w:shd w:fill="FFFFFF" w:val="clear"/>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of our PalletOne business unit decreased by $11 million primarily due to weak demand and increased material and transportation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of our Structural Packaging business unit decreased by $6 million primarily due to higher transportation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gross profit of our Protective Packaging business unit decreased $2 million compared to the same period of 2025, resulting from unabsorbed manufacturing overhead costs associated with two new greenfield locations. </w:t>
            </w:r>
          </w:p>
        </w:tc>
      </w:tr>
    </w:tbl>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SG&amp;A remained flat for first six months of 2026 compared to the same period of 2025. Accrued bonus expense decreased $4 million, and totaled $12 million for the six months of 2026. The decrease was offset by a one-time write off on an earnout liability in 2025 for $2 million, a $1 million increase due to acquired businesses, and a $1 million increase in bad debt expense.</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Earnings from operations decreased in the first six months of 2026 compared to the same period 2025 by $18 million, or 38%, due to the factors discussed above, partially offset by a decrease in the net loss on disposition and impairment of assets, which primarily related to a $1 million lease impairment in 2025.</w:t>
      </w:r>
    </w:p>
    <w:p>
      <w:pPr>
        <w:pStyle w:val="TextBody"/>
        <w:shd w:fill="FFFFFF" w:val="clear"/>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Construction Segment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sales in the second quarter of 2026 decreased 4% compared to the same period of 2025 due to a 3% decrease in selling prices due to competitive price pressure in our Site-Built business unit and a 2% decrease in organic unit sales, partially offset by a 1% contribution from acquisitions. We experienced organic unit sales decreases of 6% in Factory Built and 3% in Site-Built due to weaker demand for housing, which was partially offset by an 11% increase in Commercial and a 6% increase in Concrete Forming.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Gross profit decreased by $10 million, or 10%, in the second quarter of 2026 compared to the same period of 2025. The change in our gross profit was attributable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gross profit of our Site-Built housing business unit decreased by $15 million, primarily due to weak demand and competitive pricing as housing starts have declined due to affordability challenges and economic uncertainty.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of our Factory-Built business unit decreased by $2 million primarily due to lost market share of certain low margin commodity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of our Commercial construction business unit increased by $6 million due to an increase in unit sales and productivity improvements.</w:t>
            </w:r>
          </w:p>
        </w:tc>
      </w:tr>
    </w:tbl>
    <w:tbl>
      <w:tblPr>
        <w:tblW w:w="9501" w:type="dxa"/>
        <w:jc w:val="left"/>
        <w:tblInd w:w="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of our Concrete-Forming business unit increased by $1 million due to an increase in unit sales.</w:t>
            </w:r>
          </w:p>
        </w:tc>
      </w:tr>
    </w:tbl>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SG&amp;A remained flat in the second quarter of 2026 compared to the same period of 2025. Accrued bonus expense decreased by $2 million and totaled $9 million for the quarter. The decrease in accrued bonus expense was offset by increases of $1 million in wages and benefits and $1 million in travel expenses.</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 xml:space="preserve">Earnings from operations decreased in the second quarter of 2026 compared to the same period of 2025 by $10 million, or 27%, due to the factors mentioned above. </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 xml:space="preserve">Net sales in the first six months of 2026 decreased 7% compared to the same period of 2025 and consisted of a 4% decrease in selling prices and a 4% decrease in unit organic sales, partially offset by a 1% contribution from acquisitions. Organic unit changes within this segment consist of decreases of 7% in Factory Built and 8% in Site Built, partially offset by increases of 13% in Commercial and 10% in Concrete Forming. </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Gross profit decreased by $23 million, or 12%, for the first six months of 2026 compared to the same period of 2025. The change in our gross profit was attributable to the following: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gross profit of our Site-Built housing business unit decreased by $34 million, primarily due to weak demand and competitive pricing as housing starts have declined primarily due to affordability challenges and economic uncertainty.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of our Commercial construction business unit increased by $10 million due higher volumes and productivity improvements.</w:t>
            </w:r>
          </w:p>
        </w:tc>
      </w:tr>
    </w:tbl>
    <w:tbl>
      <w:tblPr>
        <w:tblW w:w="9501" w:type="dxa"/>
        <w:jc w:val="left"/>
        <w:tblInd w:w="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of our Concrete-Forming business unit increased by $1 million due to an increase in unit sales.</w:t>
            </w:r>
          </w:p>
        </w:tc>
      </w:tr>
    </w:tbl>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of our Factory-Built business unit remained flat.</w:t>
            </w:r>
          </w:p>
        </w:tc>
      </w:tr>
    </w:tbl>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SG&amp;A decreased by approximately $1 million, or 1%, in the first six months of 2026 compared to the same period of 2025. Accrued bonus expenses decreased $5 million and totaled $15 million for the first six months of 2026. The decrease in SG&amp;A was partially offset by increases in wages and benefits totaling $2 million, professional fees totaling $1 million and travel expenses totaling $1 million.</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Earnings from operations decreased in the first six months of 2026 compared to the same period of 2025 by $22 million, or 35%, due to the factors mentioned above.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All Other Segment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All Other reportable segment consists of our International and Ardellis (our insurance captive) segments that are not significant.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Corporate</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corporate segment consists of over (under) allocated costs that are not significant and net sales to external customers initiated by UFP Purchasing, UFP Transportation, and UFP Real Estate. In 2026 we modified our cost allocation methods to more closely approximate actual.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Effective tax rates differ from statutory federal income tax rates, primarily due to provisions for foreign, state and local income taxes and permanent tax differences. Our effective tax rate was 26.3% in the second quarter of 2026</w:t>
      </w:r>
      <w:r>
        <w:rPr>
          <w:rFonts w:ascii="Times New Roman;Times;serif" w:hAnsi="Times New Roman;Times;serif"/>
          <w:b/>
          <w:sz w:val="20"/>
        </w:rPr>
        <w:t xml:space="preserve"> </w:t>
      </w:r>
      <w:r>
        <w:rPr>
          <w:rFonts w:ascii="Times New Roman;Times;serif" w:hAnsi="Times New Roman;Times;serif"/>
          <w:b w:val="false"/>
          <w:sz w:val="20"/>
        </w:rPr>
        <w:t>compared to 23.6% in the same period of 2025 and was 25.3% in the first six months of 2026 compared to 22.5% for the same period in 2025. The increase in our effective tax rate for the second</w:t>
      </w:r>
      <w:r>
        <w:rPr>
          <w:rFonts w:ascii="Times New Roman;Times;serif" w:hAnsi="Times New Roman;Times;serif"/>
          <w:b/>
          <w:sz w:val="20"/>
        </w:rPr>
        <w:t xml:space="preserve"> </w:t>
      </w:r>
      <w:r>
        <w:rPr>
          <w:rFonts w:ascii="Times New Roman;Times;serif" w:hAnsi="Times New Roman;Times;serif"/>
          <w:b w:val="false"/>
          <w:sz w:val="20"/>
        </w:rPr>
        <w:t>quarter and for the first six months of 2026 was primarily due to $3 million of state income tax benefits recorded as discrete items in the second quarter of 2025 resulting from an approved reduction in our tax rate in Texas and job credits in South Carolina, and a decrease in our tax deduction from stock-based compensation accounted for as a permanent difference</w:t>
      </w:r>
      <w:r>
        <w:rPr>
          <w:rFonts w:ascii="Times New Roman;Times;serif" w:hAnsi="Times New Roman;Times;serif"/>
          <w:b w:val="false"/>
          <w:color w:val="212529"/>
          <w:sz w:val="20"/>
          <w:shd w:fill="FFFFFF" w:val="clea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OFF-BALANCE SHEET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 significant off-balance sheet transactions.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presents, for the periods indicated, a summary of our cash flow statement (in thousands):</w:t>
      </w:r>
    </w:p>
    <w:tbl>
      <w:tblPr>
        <w:tblW w:w="8257" w:type="dxa"/>
        <w:jc w:val="left"/>
        <w:tblInd w:w="0" w:type="dxa"/>
        <w:tblLayout w:type="fixed"/>
        <w:tblCellMar>
          <w:top w:w="0" w:type="dxa"/>
          <w:left w:w="0" w:type="dxa"/>
          <w:bottom w:w="0" w:type="dxa"/>
          <w:right w:w="0" w:type="dxa"/>
        </w:tblCellMar>
      </w:tblPr>
      <w:tblGrid>
        <w:gridCol w:w="5266"/>
        <w:gridCol w:w="346"/>
        <w:gridCol w:w="211"/>
        <w:gridCol w:w="901"/>
        <w:gridCol w:w="346"/>
        <w:gridCol w:w="211"/>
        <w:gridCol w:w="976"/>
      </w:tblGrid>
      <w:tr>
        <w:trPr/>
        <w:tc>
          <w:tcPr>
            <w:tcW w:w="5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3343910" cy="175260"/>
                      <wp:effectExtent l="0" t="0" r="0" b="0"/>
                      <wp:wrapNone/>
                      <wp:docPr id="524" name="Frame524"/>
                      <a:graphic xmlns:a="http://schemas.openxmlformats.org/drawingml/2006/main">
                        <a:graphicData uri="http://schemas.microsoft.com/office/word/2010/wordprocessingShape">
                          <wps:wsp>
                            <wps:cNvSpPr txBox="1"/>
                            <wps:spPr>
                              <a:xfrm>
                                <a:off x="0" y="0"/>
                                <a:ext cx="3343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19710" cy="175260"/>
                      <wp:effectExtent l="0" t="0" r="0" b="0"/>
                      <wp:wrapNone/>
                      <wp:docPr id="525" name="Frame5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33985" cy="175260"/>
                      <wp:effectExtent l="0" t="0" r="0" b="0"/>
                      <wp:wrapNone/>
                      <wp:docPr id="526" name="Frame5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572135" cy="175260"/>
                      <wp:effectExtent l="0" t="0" r="0" b="0"/>
                      <wp:wrapNone/>
                      <wp:docPr id="527" name="Frame52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19710" cy="175260"/>
                      <wp:effectExtent l="0" t="0" r="0" b="0"/>
                      <wp:wrapNone/>
                      <wp:docPr id="528" name="Frame5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33985" cy="175260"/>
                      <wp:effectExtent l="0" t="0" r="0" b="0"/>
                      <wp:wrapNone/>
                      <wp:docPr id="529" name="Frame5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19760" cy="175260"/>
                      <wp:effectExtent l="0" t="0" r="0" b="0"/>
                      <wp:wrapNone/>
                      <wp:docPr id="530" name="Frame53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45"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5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1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46" w:type="dxa"/>
            <w:tcBorders/>
            <w:vAlign w:val="center"/>
          </w:tcPr>
          <w:p>
            <w:pPr>
              <w:pStyle w:val="TableContents"/>
              <w:bidi w:val="0"/>
              <w:spacing w:before="0" w:after="1"/>
              <w:ind w:left="0" w:right="0" w:hanging="0"/>
              <w:jc w:val="center"/>
              <w:rPr/>
            </w:pPr>
            <w:r>
              <w:rPr/>
              <w:t>  ​ ​ ​</w:t>
            </w:r>
          </w:p>
        </w:tc>
        <w:tc>
          <w:tcPr>
            <w:tcW w:w="11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w:t>
            </w:r>
          </w:p>
        </w:tc>
      </w:tr>
      <w:tr>
        <w:trPr/>
        <w:tc>
          <w:tcPr>
            <w:tcW w:w="5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1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118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113,138</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used in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(204,035)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(149,579)</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used in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(183,233)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(302,338)</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exchange rate changes on cash</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2,176</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change in all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(326,204)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(336,603)</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beginning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925,071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1,179,594</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598,867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842,991</w:t>
            </w:r>
          </w:p>
        </w:tc>
      </w:tr>
    </w:tbl>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In general, we fund our growth through a combination of operating cash flows, our revolving credit facility, and issuance of long-term notes payable at times when interest rates are favorable. We have not issued equity to finance growth except in the case of a large acquisition that occurred many years ago.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Seasonality has a significant impact on our working capital due to our primary selling season which occurs during the period from March to September. Consequently, our working capital typically increases during our first and second quarters resulting in negative or modest cash flows from operations during those periods. Conversely, we tend to experience a substantial decrease in working capital once we move beyond our peak selling season which typically results in significant cash flows from operations in our third and fourth quarters.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Due to the seasonality of our business and the effects of the Lumber Market, we believe our cash cycle (days of sales outstanding plus days supply of inventory less days of payables outstanding) is a good indicator of our working capital management. As indicated in the table below, our cash cycle remained at 59 days during the second quarter of 2026 and increased to 63 days from 60 days during the first six months of 2026 compared to the same periods of the prior year.</w:t>
      </w:r>
    </w:p>
    <w:tbl>
      <w:tblPr>
        <w:tblW w:w="7197" w:type="dxa"/>
        <w:jc w:val="left"/>
        <w:tblInd w:w="0" w:type="dxa"/>
        <w:tblLayout w:type="fixed"/>
        <w:tblCellMar>
          <w:top w:w="0" w:type="dxa"/>
          <w:left w:w="0" w:type="dxa"/>
          <w:bottom w:w="0" w:type="dxa"/>
          <w:right w:w="0" w:type="dxa"/>
        </w:tblCellMar>
      </w:tblPr>
      <w:tblGrid>
        <w:gridCol w:w="2521"/>
        <w:gridCol w:w="346"/>
        <w:gridCol w:w="201"/>
        <w:gridCol w:w="519"/>
        <w:gridCol w:w="367"/>
        <w:gridCol w:w="201"/>
        <w:gridCol w:w="519"/>
        <w:gridCol w:w="346"/>
        <w:gridCol w:w="201"/>
        <w:gridCol w:w="519"/>
        <w:gridCol w:w="346"/>
        <w:gridCol w:w="201"/>
        <w:gridCol w:w="519"/>
        <w:gridCol w:w="391"/>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1600835" cy="175260"/>
                      <wp:effectExtent l="0" t="0" r="0" b="0"/>
                      <wp:wrapNone/>
                      <wp:docPr id="531" name="Frame531"/>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19710" cy="175260"/>
                      <wp:effectExtent l="0" t="0" r="0" b="0"/>
                      <wp:wrapNone/>
                      <wp:docPr id="532" name="Frame5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127635" cy="175260"/>
                      <wp:effectExtent l="0" t="0" r="0" b="0"/>
                      <wp:wrapNone/>
                      <wp:docPr id="533" name="Frame533"/>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329565" cy="175260"/>
                      <wp:effectExtent l="0" t="0" r="0" b="0"/>
                      <wp:wrapNone/>
                      <wp:docPr id="534" name="Frame534"/>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33045" cy="175260"/>
                      <wp:effectExtent l="0" t="0" r="0" b="0"/>
                      <wp:wrapNone/>
                      <wp:docPr id="535" name="Frame535"/>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27635" cy="175260"/>
                      <wp:effectExtent l="0" t="0" r="0" b="0"/>
                      <wp:wrapNone/>
                      <wp:docPr id="536" name="Frame536"/>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329565" cy="175260"/>
                      <wp:effectExtent l="0" t="0" r="0" b="0"/>
                      <wp:wrapNone/>
                      <wp:docPr id="537" name="Frame537"/>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19710" cy="175260"/>
                      <wp:effectExtent l="0" t="0" r="0" b="0"/>
                      <wp:wrapNone/>
                      <wp:docPr id="538" name="Frame5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127635" cy="175260"/>
                      <wp:effectExtent l="0" t="0" r="0" b="0"/>
                      <wp:wrapNone/>
                      <wp:docPr id="539" name="Frame539"/>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329565" cy="175260"/>
                      <wp:effectExtent l="0" t="0" r="0" b="0"/>
                      <wp:wrapNone/>
                      <wp:docPr id="540" name="Frame540"/>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19710" cy="175260"/>
                      <wp:effectExtent l="0" t="0" r="0" b="0"/>
                      <wp:wrapNone/>
                      <wp:docPr id="541" name="Frame5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127635" cy="175260"/>
                      <wp:effectExtent l="0" t="0" r="0" b="0"/>
                      <wp:wrapNone/>
                      <wp:docPr id="542" name="Frame542"/>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329565" cy="175260"/>
                      <wp:effectExtent l="0" t="0" r="0" b="0"/>
                      <wp:wrapNone/>
                      <wp:docPr id="543" name="Frame543"/>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48285" cy="175260"/>
                      <wp:effectExtent l="0" t="0" r="0" b="0"/>
                      <wp:wrapNone/>
                      <wp:docPr id="544" name="Frame54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807"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1"/>
              <w:ind w:left="0" w:right="0" w:hanging="0"/>
              <w:jc w:val="center"/>
              <w:rPr/>
            </w:pPr>
            <w:r>
              <w:rPr/>
              <w:t>​</w:t>
            </w:r>
          </w:p>
        </w:tc>
        <w:tc>
          <w:tcPr>
            <w:tcW w:w="1786"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91" w:type="dxa"/>
            <w:tcBorders/>
            <w:vAlign w:val="center"/>
          </w:tcPr>
          <w:p>
            <w:pPr>
              <w:pStyle w:val="TableContents"/>
              <w:bidi w:val="0"/>
              <w:spacing w:before="0" w:after="1"/>
              <w:ind w:left="0" w:right="0" w:hanging="0"/>
              <w:jc w:val="left"/>
              <w:rPr/>
            </w:pPr>
            <w:r>
              <w:rPr/>
              <w:t>​</w:t>
            </w:r>
          </w:p>
        </w:tc>
      </w:tr>
      <w:tr>
        <w:trPr/>
        <w:tc>
          <w:tcPr>
            <w:tcW w:w="2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67" w:type="dxa"/>
            <w:tcBorders/>
            <w:vAlign w:val="center"/>
          </w:tcPr>
          <w:p>
            <w:pPr>
              <w:pStyle w:val="TableContents"/>
              <w:bidi w:val="0"/>
              <w:spacing w:before="0" w:after="1"/>
              <w:ind w:left="0" w:right="0" w:hanging="0"/>
              <w:jc w:val="center"/>
              <w:rPr/>
            </w:pPr>
            <w:r>
              <w:rPr/>
              <w:t>​</w:t>
            </w:r>
          </w:p>
        </w:tc>
        <w:tc>
          <w:tcPr>
            <w:tcW w:w="7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46" w:type="dxa"/>
            <w:tcBorders/>
            <w:vAlign w:val="center"/>
          </w:tcPr>
          <w:p>
            <w:pPr>
              <w:pStyle w:val="TableContents"/>
              <w:bidi w:val="0"/>
              <w:spacing w:before="0" w:after="1"/>
              <w:ind w:left="0" w:right="0" w:hanging="0"/>
              <w:jc w:val="center"/>
              <w:rPr/>
            </w:pPr>
            <w:r>
              <w:rPr/>
              <w:t>​</w:t>
            </w:r>
          </w:p>
        </w:tc>
        <w:tc>
          <w:tcPr>
            <w:tcW w:w="7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46" w:type="dxa"/>
            <w:tcBorders/>
            <w:vAlign w:val="center"/>
          </w:tcPr>
          <w:p>
            <w:pPr>
              <w:pStyle w:val="TableContents"/>
              <w:bidi w:val="0"/>
              <w:spacing w:before="0" w:after="1"/>
              <w:ind w:left="0" w:right="0" w:hanging="0"/>
              <w:jc w:val="center"/>
              <w:rPr/>
            </w:pPr>
            <w:r>
              <w:rPr/>
              <w:t>​</w:t>
            </w:r>
          </w:p>
        </w:tc>
        <w:tc>
          <w:tcPr>
            <w:tcW w:w="7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91" w:type="dxa"/>
            <w:tcBorders/>
            <w:vAlign w:val="center"/>
          </w:tcPr>
          <w:p>
            <w:pPr>
              <w:pStyle w:val="TableContents"/>
              <w:bidi w:val="0"/>
              <w:spacing w:before="0" w:after="1"/>
              <w:ind w:left="0" w:right="0" w:hanging="0"/>
              <w:jc w:val="left"/>
              <w:rPr/>
            </w:pPr>
            <w:r>
              <w:rPr/>
              <w:t>​</w:t>
            </w:r>
          </w:p>
        </w:tc>
      </w:tr>
      <w:tr>
        <w:trPr/>
        <w:tc>
          <w:tcPr>
            <w:tcW w:w="2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20"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7" w:type="dxa"/>
            <w:tcBorders/>
            <w:vAlign w:val="center"/>
          </w:tcPr>
          <w:p>
            <w:pPr>
              <w:pStyle w:val="TableContents"/>
              <w:bidi w:val="0"/>
              <w:spacing w:before="0" w:after="1"/>
              <w:ind w:left="0" w:right="0" w:hanging="0"/>
              <w:jc w:val="center"/>
              <w:rPr/>
            </w:pPr>
            <w:r>
              <w:rPr/>
              <w:t>​</w:t>
            </w:r>
          </w:p>
        </w:tc>
        <w:tc>
          <w:tcPr>
            <w:tcW w:w="720"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720"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720"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left"/>
              <w:rPr/>
            </w:pPr>
            <w:r>
              <w:rPr/>
              <w:t>​</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Days of sales outstanding</w:t>
            </w:r>
          </w:p>
        </w:tc>
        <w:tc>
          <w:tcPr>
            <w:tcW w:w="346" w:type="dxa"/>
            <w:tcBorders/>
            <w:shd w:fill="CCEEFF" w:val="clear"/>
            <w:vAlign w:val="center"/>
          </w:tcPr>
          <w:p>
            <w:pPr>
              <w:pStyle w:val="TableContents"/>
              <w:bidi w:val="0"/>
              <w:spacing w:before="0" w:after="1"/>
              <w:ind w:left="0" w:right="0" w:hanging="0"/>
              <w:jc w:val="left"/>
              <w:rPr/>
            </w:pPr>
            <w:r>
              <w:rPr/>
              <w:t>  ​ ​ ​</w:t>
            </w:r>
          </w:p>
        </w:tc>
        <w:tc>
          <w:tcPr>
            <w:tcW w:w="201" w:type="dxa"/>
            <w:tcBorders/>
            <w:shd w:fill="CCEEFF" w:val="clear"/>
            <w:vAlign w:val="center"/>
          </w:tcPr>
          <w:p>
            <w:pPr>
              <w:pStyle w:val="TableContents"/>
              <w:bidi w:val="0"/>
              <w:spacing w:before="0" w:after="1"/>
              <w:ind w:left="0" w:right="0" w:hanging="0"/>
              <w:jc w:val="left"/>
              <w:rPr/>
            </w:pPr>
            <w:r>
              <w:rPr/>
              <w:t>​</w:t>
            </w:r>
          </w:p>
        </w:tc>
        <w:tc>
          <w:tcPr>
            <w:tcW w:w="5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67" w:type="dxa"/>
            <w:tcBorders/>
            <w:shd w:fill="CCEEFF" w:val="clear"/>
            <w:vAlign w:val="center"/>
          </w:tcPr>
          <w:p>
            <w:pPr>
              <w:pStyle w:val="TableContents"/>
              <w:bidi w:val="0"/>
              <w:spacing w:before="0" w:after="1"/>
              <w:ind w:left="0" w:right="0" w:hanging="0"/>
              <w:jc w:val="left"/>
              <w:rPr/>
            </w:pPr>
            <w:r>
              <w:rPr/>
              <w:t>  ​ ​ ​</w:t>
            </w:r>
          </w:p>
        </w:tc>
        <w:tc>
          <w:tcPr>
            <w:tcW w:w="201" w:type="dxa"/>
            <w:tcBorders/>
            <w:shd w:fill="CCEEFF" w:val="clear"/>
            <w:vAlign w:val="center"/>
          </w:tcPr>
          <w:p>
            <w:pPr>
              <w:pStyle w:val="TableContents"/>
              <w:bidi w:val="0"/>
              <w:spacing w:before="0" w:after="1"/>
              <w:ind w:left="0" w:right="0" w:hanging="0"/>
              <w:jc w:val="left"/>
              <w:rPr/>
            </w:pPr>
            <w:r>
              <w:rPr/>
              <w:t>​</w:t>
            </w:r>
          </w:p>
        </w:tc>
        <w:tc>
          <w:tcPr>
            <w:tcW w:w="5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1"/>
              <w:ind w:left="0" w:right="0" w:hanging="0"/>
              <w:jc w:val="left"/>
              <w:rPr/>
            </w:pPr>
            <w:r>
              <w:rPr/>
              <w:t>  ​ ​ ​</w:t>
            </w:r>
          </w:p>
        </w:tc>
        <w:tc>
          <w:tcPr>
            <w:tcW w:w="201" w:type="dxa"/>
            <w:tcBorders/>
            <w:shd w:fill="CCEEFF" w:val="clear"/>
            <w:vAlign w:val="center"/>
          </w:tcPr>
          <w:p>
            <w:pPr>
              <w:pStyle w:val="TableContents"/>
              <w:bidi w:val="0"/>
              <w:spacing w:before="0" w:after="1"/>
              <w:ind w:left="0" w:right="0" w:hanging="0"/>
              <w:jc w:val="left"/>
              <w:rPr/>
            </w:pPr>
            <w:r>
              <w:rPr/>
              <w:t>​</w:t>
            </w:r>
          </w:p>
        </w:tc>
        <w:tc>
          <w:tcPr>
            <w:tcW w:w="5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1"/>
              <w:ind w:left="0" w:right="0" w:hanging="0"/>
              <w:jc w:val="left"/>
              <w:rPr/>
            </w:pPr>
            <w:r>
              <w:rPr/>
              <w:t>  ​ ​ ​</w:t>
            </w:r>
          </w:p>
        </w:tc>
        <w:tc>
          <w:tcPr>
            <w:tcW w:w="201" w:type="dxa"/>
            <w:tcBorders/>
            <w:shd w:fill="CCEEFF" w:val="clear"/>
            <w:vAlign w:val="center"/>
          </w:tcPr>
          <w:p>
            <w:pPr>
              <w:pStyle w:val="TableContents"/>
              <w:bidi w:val="0"/>
              <w:spacing w:before="0" w:after="1"/>
              <w:ind w:left="0" w:right="0" w:hanging="0"/>
              <w:jc w:val="left"/>
              <w:rPr/>
            </w:pPr>
            <w:r>
              <w:rPr/>
              <w:t>​</w:t>
            </w:r>
          </w:p>
        </w:tc>
        <w:tc>
          <w:tcPr>
            <w:tcW w:w="5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91" w:type="dxa"/>
            <w:tcBorders/>
            <w:shd w:fill="CCEEFF" w:val="clear"/>
            <w:vAlign w:val="center"/>
          </w:tcPr>
          <w:p>
            <w:pPr>
              <w:pStyle w:val="TableContents"/>
              <w:bidi w:val="0"/>
              <w:spacing w:before="0" w:after="1"/>
              <w:ind w:left="0" w:right="0" w:hanging="0"/>
              <w:jc w:val="left"/>
              <w:rPr/>
            </w:pPr>
            <w:r>
              <w:rPr/>
              <w:t>  ​ ​ ​</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Days supply of inventory</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5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67"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5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5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5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91" w:type="dxa"/>
            <w:tcBorders/>
            <w:vAlign w:val="center"/>
          </w:tcPr>
          <w:p>
            <w:pPr>
              <w:pStyle w:val="TableContents"/>
              <w:bidi w:val="0"/>
              <w:spacing w:before="0" w:after="1"/>
              <w:ind w:left="0" w:right="0" w:hanging="0"/>
              <w:jc w:val="left"/>
              <w:rPr/>
            </w:pPr>
            <w:r>
              <w:rPr/>
              <w:t>​</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Days of payables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9"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67"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9"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9"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9"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Days in cash cycle</w:t>
            </w:r>
          </w:p>
        </w:tc>
        <w:tc>
          <w:tcPr>
            <w:tcW w:w="346" w:type="dxa"/>
            <w:tcBorders/>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5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67" w:type="dxa"/>
            <w:tcBorders/>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5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5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5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91" w:type="dxa"/>
            <w:tcBorders/>
            <w:vAlign w:val="center"/>
          </w:tcPr>
          <w:p>
            <w:pPr>
              <w:pStyle w:val="TableContents"/>
              <w:bidi w:val="0"/>
              <w:spacing w:before="0" w:after="1"/>
              <w:ind w:left="0" w:right="0" w:hanging="0"/>
              <w:jc w:val="left"/>
              <w:rPr/>
            </w:pPr>
            <w:r>
              <w:rPr/>
              <w:t>​</w:t>
            </w:r>
          </w:p>
        </w:tc>
      </w:tr>
    </w:tbl>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 xml:space="preserve">The increase in our days supply of inventory for the first six months of 2026 is due to slower inventory turns in our Retail segment as a result of an increase in safety stock and weaker than anticipated demand in the first quarter. We continue to focus on past due account balances with customers, and the percentage of our accounts receivable that are current was 94% at the end of the second quarter of 2026 and 2025.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first six months of 2026, our cash flows from operations were $61 million which consisted of net earnings of $134 million and $95 million of non-cash expenses, partially offset by a $169 million increase in working capital since the end of December 2025 due to seasonal demand. Our cash flows from operations decreased by $52 million compared to the same period of 2025 primarily due to the decline in our net earnings as well as the increase in our investment in net working capital since year end, which was $2 million higher in the first six months of 2026 compared to the first six months of 2025. We anticipate the seasonal increase in net working capital in 2026 will be converted to cash by early in the fourth quarter.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Purchases of property, plant, and equipment comprised $87 million of our cash used in investing activities during the first six months of 2026. Outstanding purchase commitments on existing capital projects totaled approximately $108 million on June 27, 2026. Capital spending primarily consists of several projects to expand capacity to manufacture new and value-added products, primarily in our Packaging segment and Deckorators business units, to achieve efficiencies through automation in all segments, and make improvements to a number of facilities. We intend to fund capital expenditures and purchase commitments through our operating cash flows for the balance of the year. Cash used for acquisitions during the first six months of 2026 totaled $122 million (refer to Note F to our unaudited interim condensed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flows used in financing activities during the first six months of 2026 primarily consisted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repurchased 1,669,770 shares of our common stock for $142 million during the first six months of 2026 at an average price of $84.95 per share. Of this amount, 14,187 shares were repurchased in order to settle tax withholding obligations of long-term stock incentive plan participants’ awards which vested in the current year. The shares were purchased at an average price of $98.07 per share, totaling $1.4 million.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Dividends paid during the first six months of 2026 were $40 million. The quarterly dividend of $0.36 per share represents a 3% increase from the quarterly dividend of $0.35 per share paid in 2025. </w:t>
            </w:r>
          </w:p>
        </w:tc>
      </w:tr>
    </w:tbl>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On June 27, 2026, we had no amount outstanding on our $750 million revolving credit facility, and we had approximately $708 million in remaining availability after considering $42 million in outstanding letters of credit under the revolving credit facility. Financial covenants on the unsecured revolving credit facility and unsecured notes include minimum interest tests and a maximum leverage ratio. The agreements also restrict the amount of additional indebtedness we may incur and the amount of assets that may be sold. We were in compliance with all of our covenant requirements as of June 27, 2026.</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At the end of the second quarter of 2026, we had approximately $1.9 billion in total liquidity, consisting of our cash, remaining availability under our revolving credit facility, and a shelf agreement with certain lenders providing up to $575 million in remaining borrowing capacity.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ENVIRONMENTAL CONSIDERATIONS AND REGULATIONS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Notes to Unaudited Interim Condensed Consolidated Financial Statements, Note E, “Commitments, Contingencies, and Guarantees.”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27, 2025.</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FORWARD OUTLOOK</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Our long-term financial goals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our annual unit sales by 7 to 10 percent (including smaller tuck-in acquisitions) with at least 10 percent of all sales coming from new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Achieving and sustaining a 12.5 percent adjusted EBITDA margin by continuing to enhance our capabilities and grow our portfolio and sales of value-added products, expanding geographically in our higher margin business units, and achieving operating improvements;</w:t>
            </w:r>
          </w:p>
        </w:tc>
      </w:tr>
    </w:tbl>
    <w:tbl>
      <w:tblPr>
        <w:tblW w:w="7671" w:type="dxa"/>
        <w:jc w:val="left"/>
        <w:tblInd w:w="0" w:type="dxa"/>
        <w:tblLayout w:type="fixed"/>
        <w:tblCellMar>
          <w:top w:w="28" w:type="dxa"/>
          <w:left w:w="28" w:type="dxa"/>
          <w:bottom w:w="28" w:type="dxa"/>
          <w:right w:w="28" w:type="dxa"/>
        </w:tblCellMar>
      </w:tblPr>
      <w:tblGrid>
        <w:gridCol w:w="124"/>
        <w:gridCol w:w="256"/>
        <w:gridCol w:w="7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 an incremental return on new investment over our hurdle rate of 15 percent; and</w:t>
            </w:r>
          </w:p>
        </w:tc>
      </w:tr>
    </w:tbl>
    <w:tbl>
      <w:tblPr>
        <w:tblW w:w="4161" w:type="dxa"/>
        <w:jc w:val="left"/>
        <w:tblInd w:w="0" w:type="dxa"/>
        <w:tblLayout w:type="fixed"/>
        <w:tblCellMar>
          <w:top w:w="28" w:type="dxa"/>
          <w:left w:w="28" w:type="dxa"/>
          <w:bottom w:w="28" w:type="dxa"/>
          <w:right w:w="28" w:type="dxa"/>
        </w:tblCellMar>
      </w:tblPr>
      <w:tblGrid>
        <w:gridCol w:w="124"/>
        <w:gridCol w:w="256"/>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 conservative capital structure.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We believe improvements in demand in the end markets we serve and effectively executing our strategies will allow us to achieve our long-term goals. However, in the short-term, demand in our markets has contracted due to a variety of macro-economic and geopolitical factors, which will continue to impact our results and vary depending on the severity and duration of this cycle. As a result of these more challenging conditions, we have developed and are executing plans to reduce or eliminate capacity at locations that are not meeting our profitability targets and reduce our SG&amp;A costs. At the beginning of 2025, we announced that our goal through these actions was to improve our operating profits by $60 million by the end of 2026. We are on track to deliver the remaining $25 million or more from this cost out program by year end, with most to be realized in the third and fourth quarters. Additionally, we anticipate: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SG&amp;A will be approximately $580 million for the year. In addition, we anticipate sales incentives will be 3% of gross profit (3% of gross profit in 2025), bonus expense will range from 17% to 18% of pre-bonus operating profits (17% of pre-bonus operating profits in 2025), and vesting expense associated with incentive shares granted in prior years will total $24 million ($28 million in 2025).</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amortization and other non-cash expenses will be approximately $211 million for the year. </w:t>
            </w:r>
          </w:p>
        </w:tc>
      </w:tr>
    </w:tbl>
    <w:tbl>
      <w:tblPr>
        <w:tblW w:w="4716" w:type="dxa"/>
        <w:jc w:val="left"/>
        <w:tblInd w:w="0" w:type="dxa"/>
        <w:tblLayout w:type="fixed"/>
        <w:tblCellMar>
          <w:top w:w="28" w:type="dxa"/>
          <w:left w:w="28" w:type="dxa"/>
          <w:bottom w:w="28" w:type="dxa"/>
          <w:right w:w="28" w:type="dxa"/>
        </w:tblCellMar>
      </w:tblPr>
      <w:tblGrid>
        <w:gridCol w:w="124"/>
        <w:gridCol w:w="256"/>
        <w:gridCol w:w="4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effective tax rate between 25% and 26%.</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factors should be considered when evaluating our future sales and gross profit: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lumber prices will remain near current levels, and experience typical seasonal trends, until there is a substantial change in the balance of supply and demand. Transportation constraints may also cause prices to remain elevated, mitigating a typical decline in prices as the peak selling season comes to an end. In the event new tariffs are enacted on imports, we anticipate lumber prices will increase accordingly. We believe we are currently in a strong position to adapt quickly to new tariffs without adverse financial impact after a short adjustment period. Approximately 84% of our purchases of lumber are from domestic sources.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macroeconomic and geopolitical events and capacity constraints in the flatbed carrier market have resulted in an increase in certain of our input and transportation costs. We anticipate that these costs will remain elevated for the foreseeable future. While our intention and operating practices are to pass these costs on to customers in our pricing, there are a variety of factors beyond our control that may impact our ability to be successful in these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Retail sales accounted for 40% of our net sales for the first six months of 2026. When evaluating future demand for the segment, we analyze data such as the same-store sales growth of national home improvement retailers and forecasts of home remodeling activity. Based on this data, we currently anticipate market demand to be down low single digits for the remainder of 2026. We anticipate market growth and share gains in our composite decking and railing products will contribute approximately $100 million of sales growth in our Deckorators business unit in 2026, however our current backlog of ordered but unshipped Surestone™ decking is approximately $30 million as we continue to make progress optimizing capacity. We anticipate recent investments in equipment to improve the manufacturing throughput and lower the cost of our Surestone™ decking products will result in margin improvements in those products in 2026 as the new capacity is effectively brought on-line and once the higher cost inventory is sold.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Packaging sales accounted for 25% of our net sales for the first six months of 2026. When evaluating future demand, we consider a number of metrics, including the Purchasing Managers Index (PMI), durable goods manufacturing, and U.S. real GDP. We currently believe overall demand in the markets we serve to be down low single digits for the remainder of 2026, primarily due to softening demand in our PalletOne business unit. We anticipate share gains in each of our business units will help mitigate weaker demand.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tbl>
      <w:tblPr>
        <w:tblW w:w="7446" w:type="dxa"/>
        <w:jc w:val="left"/>
        <w:tblInd w:w="0" w:type="dxa"/>
        <w:tblLayout w:type="fixed"/>
        <w:tblCellMar>
          <w:top w:w="28" w:type="dxa"/>
          <w:left w:w="28" w:type="dxa"/>
          <w:bottom w:w="28" w:type="dxa"/>
          <w:right w:w="28" w:type="dxa"/>
        </w:tblCellMar>
      </w:tblPr>
      <w:tblGrid>
        <w:gridCol w:w="124"/>
        <w:gridCol w:w="256"/>
        <w:gridCol w:w="7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sales accounted for 30% of our net sales for the first six months of 2026.</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Site-Built business unit accounted for approximately 10% of our net sales for the first six months of 2026. Approximately one-third of site-built customers are multifamily builders. The industry consensus estimate of national housing starts for 2026 is 1.35 million, with estimates generally predicting flat to mid-single digit growth in the coming year with multi-family showing slightly weaker performance compared to single-family. We anticipate demand in the regions we operate to be down low to mid-single digits for the remainder of 2026. Despite the softer near-term demand outlook, our backlog has increased as a result of several newly awarded projects for which contracts are in place, with projected margins generally consistent with those of other recent projects. As of June 27, 2026 and June 28, 2025, we estimate that our backlog of orders in our Site-Built housing business unit were $117 million and $59 million, respectively. The increase was primarily related to multi-family projects in the Northeast.</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Factory-Built housing business unit accounted for 12% of our net sales for the first six months of 2026. When evaluating future demand, we analyze data from production and shipments of manufactured housing. Year to date industry production is down 8%. We currently believe overall demand will be down low to mid-single digits for the remainder of 2026.</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Commercial construction and Concrete Forming business units accounted for approximately 8% of our net sales for the first six months of 2026. When evaluating future demand, we analyze data from non-residential construction spending. We anticipate modest growth in overall demand of these business units for the remainder of 2026. </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Capital Allocation: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We believe the strength of our cash flow generation and conservative capital structure provide us with sufficient resources to grow our business and also fund returns to our shareholders. We plan to continue to pursue a balanced and return-driven approach to capital allocation across dividends, share buybacks, capital investments and acquisitions.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our board approved a quarterly cash dividend of $0.36 per share, which represents a 3% increase from the 2025 dividend rate. This dividend is payable on September 15, 2026, to shareholders of record on September 1, 2026. We continue to consider our payout ratio and yield when determining the appropriate dividend rate and have a long-term objective of increasing our dividend in line with our earnings growth.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29, 2026, our board authorized the repurchase of up to $300 million worth of our shares through April 30, 2027. This share authorization supersedes and replaces our prior share repurchase authorizations. Our objective is to repurchase our stock at sufficient amounts to offset issuances under our share-based compensation plans. In addition, we will allocate more of our free cash flow to opportunistically buy shares when the price trades at pre-determined levels we believe are at a significant discount to intrinsic value. Through August 4, 2026, we have approximately $273 million of remaining availability under this authorization.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targeted range for capital expenditures for 2026 is $175 to $200 million and will continue to be impacted by extended lead times required for most equipment and rolling stock as well as the time required for site selection in the case of investments in new locations. Priority continues to be given to projects that enhance the working environments of our plants, take advantage of automation opportunities, and drive strategies that have strong long-term growth potential for new and value-added products. Certain planned capital projects have been canceled as we evaluated acquisition opportunities as an alternative means of adding capacity rather than investing in greenfield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pursue a healthy pipeline of acquisition opportunities of companies that are a strong strategic fit and enhance our capabilities while providing higher margin, return, and growth potential.</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70" w:name="Item3QuantitativeandQualitativeDisclosur"/>
      <w:bookmarkStart w:id="1371" w:name="_08b6d271_a957_4cab_9887_944cc4e8fef4"/>
      <w:bookmarkEnd w:id="1370"/>
      <w:bookmarkEnd w:id="1371"/>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exposed to market risks related to fluctuations in interest rates on our variable rate debt, which consists of a revolving credit facility and industrial development revenue bonds. We do not enter into any material interest rate swaps, futures contracts or options on futures, or other types of derivative financial instruments to mitigate this risk.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are required to refinance 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subject to fluctuations in the price of lumber. We experience significant fluctuations in the cost of commodity lumber products from primary producers (the “Lumber Market”). A variety of factors over which we have no control, including government regulations, tariffs and trade policies,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cost of materials, and gross profit. (See “Impact of the Lumber Market on Our Operating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may enter into forward foreign exchange rate contracts in the future to mitigate foreign currency exchange risk. Historically, our hedge contracts have been immaterial to the financial statements.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72" w:name="Item4ControlsandProcedures_141501"/>
      <w:bookmarkStart w:id="1373" w:name="_e0ec4486_585e_46de_ae06_3d3a1d6169b6"/>
      <w:bookmarkEnd w:id="1372"/>
      <w:bookmarkEnd w:id="1373"/>
      <w:r>
        <w:rPr>
          <w:rFonts w:ascii="Times New Roman;Times;serif" w:hAnsi="Times New Roman;Times;serif"/>
          <w:b/>
          <w:sz w:val="20"/>
        </w:rPr>
        <w:t>Item 4. Controls and Procedures.</w:t>
      </w:r>
    </w:p>
    <w:tbl>
      <w:tblPr>
        <w:tblW w:w="10205" w:type="dxa"/>
        <w:jc w:val="left"/>
        <w:tblInd w:w="0" w:type="dxa"/>
        <w:tblLayout w:type="fixed"/>
        <w:tblCellMar>
          <w:top w:w="28" w:type="dxa"/>
          <w:left w:w="28" w:type="dxa"/>
          <w:bottom w:w="28" w:type="dxa"/>
          <w:right w:w="28" w:type="dxa"/>
        </w:tblCellMar>
      </w:tblPr>
      <w:tblGrid>
        <w:gridCol w:w="124"/>
        <w:gridCol w:w="270"/>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Evaluation of Disclosure Controls and Procedures. With the participation of management, our Chief Executive Officer and Chief Financial Officer, after evaluating the effectiveness of our disclosure controls and procedures (as defined in SEC Rules 13a–15(e) and 15d–15(e)) in the manner required by SEC Rule 13a-15(b) and 15d-15(b), have concluded that our disclosure controls and procedures were effective as of the end of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297"/>
        <w:gridCol w:w="9784"/>
      </w:tblGrid>
      <w:tr>
        <w:trPr/>
        <w:tc>
          <w:tcPr>
            <w:tcW w:w="124" w:type="dxa"/>
            <w:tcBorders/>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8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Internal Controls. During the quarter ended June 27, 2026, there were no changes in our internal control over financial reporting that materially affected, or are reasonably likely to materially affect, our internal control over financial reporting.</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374" w:name="_dcf5a225_74a1_49fd_bbe0_486609f237d7"/>
      <w:bookmarkEnd w:id="1374"/>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375" w:name="Item1ARiskFactors_926338"/>
      <w:bookmarkEnd w:id="1375"/>
      <w:r>
        <w:rPr>
          <w:rFonts w:ascii="Times New Roman;Times;serif" w:hAnsi="Times New Roman;Times;serif"/>
          <w:b/>
          <w:sz w:val="20"/>
        </w:rPr>
        <w:t>Item 1A. Risk Factors.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There have been no material changes to the risk factors disclosed in Item 1A. Risk Factors of our Annual Report on Form 10-K for the year ended December 27, 2025, as updated by the Part II - Item 1A Risk Factors of our Quarterly Report on Form 10-Q for the quarter ended March 28, 2026.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76" w:name="Item2UnregisteredSalesofEquitySecurities"/>
      <w:bookmarkStart w:id="1377" w:name="_b3cb616d_2ebc_4712_b69e_244bda65eaf8"/>
      <w:bookmarkEnd w:id="1376"/>
      <w:bookmarkEnd w:id="1377"/>
      <w:r>
        <w:rPr>
          <w:rFonts w:ascii="Times New Roman;Times;serif" w:hAnsi="Times New Roman;Times;serif"/>
          <w:b/>
          <w:sz w:val="20"/>
        </w:rPr>
        <w:t>Item 2. Unregistered Sales of Equity Securities and Use of Proceeds.</w:t>
      </w:r>
    </w:p>
    <w:p>
      <w:pPr>
        <w:pStyle w:val="TextBody"/>
        <w:bidi w:val="0"/>
        <w:spacing w:before="0" w:after="240"/>
        <w:ind w:left="907" w:right="0" w:hanging="0"/>
        <w:jc w:val="left"/>
        <w:rPr>
          <w:rFonts w:ascii="Times New Roman;Times;serif" w:hAnsi="Times New Roman;Times;serif"/>
          <w:i/>
          <w:sz w:val="20"/>
        </w:rPr>
      </w:pPr>
      <w:r>
        <w:rPr>
          <w:rFonts w:ascii="Times New Roman;Times;serif" w:hAnsi="Times New Roman;Times;serif"/>
          <w:i/>
          <w:sz w:val="20"/>
        </w:rPr>
        <w:t>Director Compensation Plan</w:t>
      </w:r>
    </w:p>
    <w:tbl>
      <w:tblPr>
        <w:tblW w:w="10205" w:type="dxa"/>
        <w:jc w:val="left"/>
        <w:tblInd w:w="0" w:type="dxa"/>
        <w:tblLayout w:type="fixed"/>
        <w:tblCellMar>
          <w:top w:w="28" w:type="dxa"/>
          <w:left w:w="28" w:type="dxa"/>
          <w:bottom w:w="28" w:type="dxa"/>
          <w:right w:w="28" w:type="dxa"/>
        </w:tblCellMar>
      </w:tblPr>
      <w:tblGrid>
        <w:gridCol w:w="124"/>
        <w:gridCol w:w="267"/>
        <w:gridCol w:w="9814"/>
      </w:tblGrid>
      <w:tr>
        <w:trPr/>
        <w:tc>
          <w:tcPr>
            <w:tcW w:w="124" w:type="dxa"/>
            <w:tcBorders/>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1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the annual retainer payable to each of our non-employee directors (such portion for each director is $135,000 for 2026) is paid in shares of our common stock. The retainer is deemed earned in equal quarterly installments on February 1, May 1, August 1, and November 1. We use the market price per share on each such installment date (or the preceding day if there were no trades on that installment date) to determine the number of shares issuable to each non-employee director, and except as described below, the shares are issued to the director within five business days.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907" w:right="0" w:hanging="0"/>
        <w:jc w:val="left"/>
        <w:rPr>
          <w:rFonts w:ascii="Times New Roman;Times;serif" w:hAnsi="Times New Roman;Times;serif"/>
          <w:sz w:val="20"/>
        </w:rPr>
      </w:pPr>
      <w:r>
        <w:rPr>
          <w:rFonts w:ascii="Times New Roman;Times;serif" w:hAnsi="Times New Roman;Times;serif"/>
          <w:sz w:val="20"/>
        </w:rPr>
        <w:t>We maintain a Director Compensation Plan (the “Plan”) pursuant to which non-employee directors can elect to (1) receive shares of our common stock, on a deferred basis, in lieu of all or a portion of the annual retainer payable to the director in cash (which deferred cash is used to purchase our common stock on a deferred basis at the rate of 110% of the deferred cash amount), and/or (2) defer receipt of all or a portion of the annual retainer payable to the director in the form of our common stock. Any shares of common stock issuable to a director on a deferred basis pursuant to the Plan are not actually issued until the deferred payment date specified pursuant to the Plan, which is typically after a director’s retirement from the Board. However, on the date such shares are deemed earned by the director, we issue deferred stock units (“DSUs”) to a bookkeeping account for each director to represent the shares issuable in the future pursuant to the Plan. Directors who have DSUs credited to their account pursuant to the Plan receive additional DSUs credited to their account whenever a dividend is paid on the Company’s common stock.</w:t>
      </w:r>
    </w:p>
    <w:p>
      <w:pPr>
        <w:pStyle w:val="TextBody"/>
        <w:bidi w:val="0"/>
        <w:spacing w:before="0" w:after="240"/>
        <w:ind w:left="907" w:right="0" w:hanging="0"/>
        <w:jc w:val="left"/>
        <w:rPr>
          <w:rFonts w:ascii="Times New Roman;Times;serif" w:hAnsi="Times New Roman;Times;serif"/>
          <w:sz w:val="20"/>
        </w:rPr>
      </w:pPr>
      <w:r>
        <w:rPr>
          <w:rFonts w:ascii="Times New Roman;Times;serif" w:hAnsi="Times New Roman;Times;serif"/>
          <w:sz w:val="20"/>
        </w:rPr>
        <w:t>On May 1, 2026, the Company issued 1,196 shares of its common stock to non-employee directors as part of the annual retainer payable to directors in stock (i.e., shares that were issued on a current basis and not deferred pursuant to the Plan). The Company issued all shares described in this paragraph pursuant to an exemption from registration under Section 4(2) of the Securities Act of 1933 due to the fact that the issuance of the shares was made on a private basis pursuant to the Plan.</w:t>
      </w:r>
    </w:p>
    <w:p>
      <w:pPr>
        <w:pStyle w:val="TextBody"/>
        <w:bidi w:val="0"/>
        <w:spacing w:before="0" w:after="240"/>
        <w:ind w:left="907" w:right="0" w:hanging="0"/>
        <w:jc w:val="left"/>
        <w:rPr>
          <w:rFonts w:ascii="Times New Roman;Times;serif" w:hAnsi="Times New Roman;Times;serif"/>
          <w:i/>
          <w:sz w:val="20"/>
        </w:rPr>
      </w:pPr>
      <w:r>
        <w:rPr>
          <w:rFonts w:ascii="Times New Roman;Times;serif" w:hAnsi="Times New Roman;Times;serif"/>
          <w:i/>
          <w:sz w:val="20"/>
        </w:rPr>
        <w:t>Deferred Compensation Plan</w:t>
      </w:r>
    </w:p>
    <w:p>
      <w:pPr>
        <w:pStyle w:val="TextBody"/>
        <w:bidi w:val="0"/>
        <w:spacing w:before="0" w:after="120"/>
        <w:ind w:left="907" w:right="0" w:hanging="0"/>
        <w:jc w:val="left"/>
        <w:rPr>
          <w:rFonts w:ascii="Times New Roman;Times;serif" w:hAnsi="Times New Roman;Times;serif"/>
          <w:sz w:val="20"/>
        </w:rPr>
      </w:pPr>
      <w:r>
        <w:rPr>
          <w:rFonts w:ascii="Times New Roman;Times;serif" w:hAnsi="Times New Roman;Times;serif"/>
          <w:sz w:val="20"/>
        </w:rPr>
        <w:t xml:space="preserve">We maintain a Deferred Compensation Plan (the “DCP”) which allows key employees to defer a portion of their salary and/or cash incentive compensation. Participants in the DCP may elect to invest the deferred amounts in certain investment alternatives, including our common stock. Also, under the DCP, if a key employee’s ownership of our common stock is below certain targeted thresholds, the amount of deferral must be used to invest in shares of our common stock. All amounts deferred to the DCP that are invested in our common stock are invested at a price per share representing a 15% discount to the prevailing market price of our stock. In general, each employee receives a payout of his or her DCP account one year from the date her or she terminates employment with the Company, unless termination of employment is due to retirement, death or change in control, in which case the employee or his or her beneficiary may receive the distribution earlier, subject to DCP provisions. </w:t>
      </w:r>
    </w:p>
    <w:p>
      <w:pPr>
        <w:pStyle w:val="TextBody"/>
        <w:bidi w:val="0"/>
        <w:spacing w:before="0" w:after="120"/>
        <w:ind w:left="907" w:right="0" w:hanging="0"/>
        <w:jc w:val="left"/>
        <w:rPr>
          <w:rFonts w:ascii="Times New Roman;Times;serif" w:hAnsi="Times New Roman;Times;serif"/>
          <w:sz w:val="20"/>
        </w:rPr>
      </w:pPr>
      <w:r>
        <w:rPr>
          <w:rFonts w:ascii="Times New Roman;Times;serif" w:hAnsi="Times New Roman;Times;serif"/>
          <w:sz w:val="20"/>
        </w:rPr>
        <w:t>The Company issued all shares described in this paragraph pursuant to an exemption under Section 4(2) of the Securities Act of 1933 due to the fact that the issuance of the shares was made on a private basis pursuant to the DCP. On February 19, 2026, we issued a total of 61,748 shares to employees who elected to defer a portion of their annual incentive bonus into our common stock. In addition, shares were issued on the respective employees’ last payroll dates in each month. During 2026 we issued 19,428 shares to employees who elected to defer a portion of their salaries into our common stock, which were as follows:</w:t>
      </w:r>
    </w:p>
    <w:tbl>
      <w:tblPr>
        <w:tblW w:w="4458" w:type="dxa"/>
        <w:jc w:val="left"/>
        <w:tblInd w:w="0" w:type="dxa"/>
        <w:tblLayout w:type="fixed"/>
        <w:tblCellMar>
          <w:top w:w="0" w:type="dxa"/>
          <w:left w:w="0" w:type="dxa"/>
          <w:bottom w:w="0" w:type="dxa"/>
          <w:right w:w="0" w:type="dxa"/>
        </w:tblCellMar>
      </w:tblPr>
      <w:tblGrid>
        <w:gridCol w:w="2881"/>
        <w:gridCol w:w="346"/>
        <w:gridCol w:w="1231"/>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1829435" cy="175260"/>
                      <wp:effectExtent l="0" t="0" r="0" b="0"/>
                      <wp:wrapNone/>
                      <wp:docPr id="545" name="Frame545"/>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19710" cy="175260"/>
                      <wp:effectExtent l="0" t="0" r="0" b="0"/>
                      <wp:wrapNone/>
                      <wp:docPr id="546" name="Frame5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781685" cy="175260"/>
                      <wp:effectExtent l="0" t="0" r="0" b="0"/>
                      <wp:wrapNone/>
                      <wp:docPr id="547" name="Frame547"/>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r>
      <w:tr>
        <w:trPr/>
        <w:tc>
          <w:tcPr>
            <w:tcW w:w="2881"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Date issued</w:t>
            </w:r>
          </w:p>
        </w:tc>
        <w:tc>
          <w:tcPr>
            <w:tcW w:w="346" w:type="dxa"/>
            <w:tcBorders/>
            <w:vAlign w:val="center"/>
          </w:tcPr>
          <w:p>
            <w:pPr>
              <w:pStyle w:val="TableContents"/>
              <w:bidi w:val="0"/>
              <w:spacing w:before="0" w:after="1"/>
              <w:ind w:left="0" w:right="0" w:hanging="0"/>
              <w:jc w:val="center"/>
              <w:rPr/>
            </w:pPr>
            <w:r>
              <w:rPr/>
              <w:t>  ​ ​ ​</w:t>
            </w:r>
          </w:p>
        </w:tc>
        <w:tc>
          <w:tcPr>
            <w:tcW w:w="123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issued</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January 29, 2026</w:t>
            </w:r>
          </w:p>
        </w:tc>
        <w:tc>
          <w:tcPr>
            <w:tcW w:w="346" w:type="dxa"/>
            <w:tcBorders/>
            <w:shd w:fill="CCEEFF" w:val="clear"/>
            <w:vAlign w:val="center"/>
          </w:tcPr>
          <w:p>
            <w:pPr>
              <w:pStyle w:val="TableContents"/>
              <w:bidi w:val="0"/>
              <w:spacing w:before="0" w:after="1"/>
              <w:ind w:left="0" w:right="0" w:hanging="0"/>
              <w:jc w:val="left"/>
              <w:rPr/>
            </w:pPr>
            <w:r>
              <w:rPr/>
              <w:t>​</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January 30, 2026</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2,872</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February 26, 2026</w:t>
            </w:r>
          </w:p>
        </w:tc>
        <w:tc>
          <w:tcPr>
            <w:tcW w:w="346" w:type="dxa"/>
            <w:tcBorders/>
            <w:shd w:fill="CCEEFF" w:val="clear"/>
            <w:vAlign w:val="center"/>
          </w:tcPr>
          <w:p>
            <w:pPr>
              <w:pStyle w:val="TableContents"/>
              <w:bidi w:val="0"/>
              <w:spacing w:before="0" w:after="1"/>
              <w:ind w:left="0" w:right="0" w:hanging="0"/>
              <w:jc w:val="left"/>
              <w:rPr/>
            </w:pPr>
            <w:r>
              <w:rPr/>
              <w:t>​</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February 27, 2026</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2,896</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March 26, 2026</w:t>
            </w:r>
          </w:p>
        </w:tc>
        <w:tc>
          <w:tcPr>
            <w:tcW w:w="346" w:type="dxa"/>
            <w:tcBorders/>
            <w:shd w:fill="CCEEFF" w:val="clear"/>
            <w:vAlign w:val="center"/>
          </w:tcPr>
          <w:p>
            <w:pPr>
              <w:pStyle w:val="TableContents"/>
              <w:bidi w:val="0"/>
              <w:spacing w:before="0" w:after="1"/>
              <w:ind w:left="0" w:right="0" w:hanging="0"/>
              <w:jc w:val="left"/>
              <w:rPr/>
            </w:pPr>
            <w:r>
              <w:rPr/>
              <w:t>​</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March 28, 2026</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3,233</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 30, 2026</w:t>
            </w:r>
          </w:p>
        </w:tc>
        <w:tc>
          <w:tcPr>
            <w:tcW w:w="346" w:type="dxa"/>
            <w:tcBorders/>
            <w:shd w:fill="CCEEFF" w:val="clear"/>
            <w:vAlign w:val="center"/>
          </w:tcPr>
          <w:p>
            <w:pPr>
              <w:pStyle w:val="TableContents"/>
              <w:bidi w:val="0"/>
              <w:spacing w:before="0" w:after="1"/>
              <w:ind w:left="0" w:right="0" w:hanging="0"/>
              <w:jc w:val="left"/>
              <w:rPr/>
            </w:pPr>
            <w:r>
              <w:rPr/>
              <w:t>​</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 30, 2026</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3,293</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May 28, 2026</w:t>
            </w:r>
          </w:p>
        </w:tc>
        <w:tc>
          <w:tcPr>
            <w:tcW w:w="346" w:type="dxa"/>
            <w:tcBorders/>
            <w:shd w:fill="CCEEFF" w:val="clear"/>
            <w:vAlign w:val="center"/>
          </w:tcPr>
          <w:p>
            <w:pPr>
              <w:pStyle w:val="TableContents"/>
              <w:bidi w:val="0"/>
              <w:spacing w:before="0" w:after="1"/>
              <w:ind w:left="0" w:right="0" w:hanging="0"/>
              <w:jc w:val="left"/>
              <w:rPr/>
            </w:pPr>
            <w:r>
              <w:rPr/>
              <w:t>​</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May 29, 2026</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3,624</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25, 2026</w:t>
            </w:r>
          </w:p>
        </w:tc>
        <w:tc>
          <w:tcPr>
            <w:tcW w:w="346" w:type="dxa"/>
            <w:tcBorders/>
            <w:shd w:fill="CCEEFF" w:val="clear"/>
            <w:vAlign w:val="center"/>
          </w:tcPr>
          <w:p>
            <w:pPr>
              <w:pStyle w:val="TableContents"/>
              <w:bidi w:val="0"/>
              <w:spacing w:before="0" w:after="1"/>
              <w:ind w:left="0" w:right="0" w:hanging="0"/>
              <w:jc w:val="left"/>
              <w:rPr/>
            </w:pPr>
            <w:r>
              <w:rPr/>
              <w:t>​</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27, 2026</w:t>
            </w:r>
          </w:p>
        </w:tc>
        <w:tc>
          <w:tcPr>
            <w:tcW w:w="346" w:type="dxa"/>
            <w:tcBorders/>
            <w:vAlign w:val="center"/>
          </w:tcPr>
          <w:p>
            <w:pPr>
              <w:pStyle w:val="TableContents"/>
              <w:bidi w:val="0"/>
              <w:spacing w:before="0" w:after="1"/>
              <w:ind w:left="0" w:right="0" w:hanging="0"/>
              <w:jc w:val="left"/>
              <w:rPr/>
            </w:pPr>
            <w:r>
              <w:rPr/>
              <w:t>​</w:t>
            </w:r>
          </w:p>
        </w:tc>
        <w:tc>
          <w:tcPr>
            <w:tcW w:w="12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3,251</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common stock shares issued</w:t>
            </w:r>
          </w:p>
        </w:tc>
        <w:tc>
          <w:tcPr>
            <w:tcW w:w="346" w:type="dxa"/>
            <w:tcBorders/>
            <w:shd w:fill="CCEEFF" w:val="clear"/>
            <w:vAlign w:val="center"/>
          </w:tcPr>
          <w:p>
            <w:pPr>
              <w:pStyle w:val="TableContents"/>
              <w:bidi w:val="0"/>
              <w:spacing w:before="0" w:after="1"/>
              <w:ind w:left="0" w:right="0" w:hanging="0"/>
              <w:jc w:val="left"/>
              <w:rPr/>
            </w:pPr>
            <w:r>
              <w:rPr/>
              <w:t>​</w:t>
            </w:r>
          </w:p>
        </w:tc>
        <w:tc>
          <w:tcPr>
            <w:tcW w:w="1231"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19,428</w:t>
            </w:r>
          </w:p>
        </w:tc>
      </w:tr>
    </w:tbl>
    <w:tbl>
      <w:tblPr>
        <w:tblW w:w="981" w:type="dxa"/>
        <w:jc w:val="left"/>
        <w:tblInd w:w="0" w:type="dxa"/>
        <w:tblLayout w:type="fixed"/>
        <w:tblCellMar>
          <w:top w:w="28" w:type="dxa"/>
          <w:left w:w="28" w:type="dxa"/>
          <w:bottom w:w="28" w:type="dxa"/>
          <w:right w:w="28" w:type="dxa"/>
        </w:tblCellMar>
      </w:tblPr>
      <w:tblGrid>
        <w:gridCol w:w="124"/>
        <w:gridCol w:w="331"/>
        <w:gridCol w:w="52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tbl>
      <w:tblPr>
        <w:tblW w:w="3531" w:type="dxa"/>
        <w:jc w:val="left"/>
        <w:tblInd w:w="0" w:type="dxa"/>
        <w:tblLayout w:type="fixed"/>
        <w:tblCellMar>
          <w:top w:w="28" w:type="dxa"/>
          <w:left w:w="28" w:type="dxa"/>
          <w:bottom w:w="28" w:type="dxa"/>
          <w:right w:w="28" w:type="dxa"/>
        </w:tblCellMar>
      </w:tblPr>
      <w:tblGrid>
        <w:gridCol w:w="124"/>
        <w:gridCol w:w="316"/>
        <w:gridCol w:w="309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3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purchases of equity securities.</w:t>
            </w:r>
          </w:p>
        </w:tc>
      </w:tr>
    </w:tbl>
    <w:tbl>
      <w:tblPr>
        <w:tblW w:w="7283" w:type="dxa"/>
        <w:jc w:val="left"/>
        <w:tblInd w:w="0" w:type="dxa"/>
        <w:tblLayout w:type="fixed"/>
        <w:tblCellMar>
          <w:top w:w="0" w:type="dxa"/>
          <w:left w:w="0" w:type="dxa"/>
          <w:bottom w:w="0" w:type="dxa"/>
          <w:right w:w="0" w:type="dxa"/>
        </w:tblCellMar>
      </w:tblPr>
      <w:tblGrid>
        <w:gridCol w:w="2086"/>
        <w:gridCol w:w="346"/>
        <w:gridCol w:w="781"/>
        <w:gridCol w:w="346"/>
        <w:gridCol w:w="211"/>
        <w:gridCol w:w="571"/>
        <w:gridCol w:w="346"/>
        <w:gridCol w:w="781"/>
        <w:gridCol w:w="346"/>
        <w:gridCol w:w="211"/>
        <w:gridCol w:w="1258"/>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1324610" cy="175260"/>
                      <wp:effectExtent l="0" t="0" r="0" b="0"/>
                      <wp:wrapNone/>
                      <wp:docPr id="548" name="Frame548"/>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19710" cy="175260"/>
                      <wp:effectExtent l="0" t="0" r="0" b="0"/>
                      <wp:wrapNone/>
                      <wp:docPr id="549" name="Frame5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495935" cy="175260"/>
                      <wp:effectExtent l="0" t="0" r="0" b="0"/>
                      <wp:wrapNone/>
                      <wp:docPr id="550" name="Frame5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19710" cy="175260"/>
                      <wp:effectExtent l="0" t="0" r="0" b="0"/>
                      <wp:wrapNone/>
                      <wp:docPr id="551" name="Frame5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133985" cy="175260"/>
                      <wp:effectExtent l="0" t="0" r="0" b="0"/>
                      <wp:wrapNone/>
                      <wp:docPr id="552" name="Frame5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362585" cy="175260"/>
                      <wp:effectExtent l="0" t="0" r="0" b="0"/>
                      <wp:wrapNone/>
                      <wp:docPr id="553" name="Frame55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19710" cy="175260"/>
                      <wp:effectExtent l="0" t="0" r="0" b="0"/>
                      <wp:wrapNone/>
                      <wp:docPr id="554" name="Frame5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495935" cy="175260"/>
                      <wp:effectExtent l="0" t="0" r="0" b="0"/>
                      <wp:wrapNone/>
                      <wp:docPr id="555" name="Frame55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19710" cy="175260"/>
                      <wp:effectExtent l="0" t="0" r="0" b="0"/>
                      <wp:wrapNone/>
                      <wp:docPr id="556" name="Frame5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133985" cy="175260"/>
                      <wp:effectExtent l="0" t="0" r="0" b="0"/>
                      <wp:wrapNone/>
                      <wp:docPr id="557" name="Frame5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798830" cy="175260"/>
                      <wp:effectExtent l="0" t="0" r="0" b="0"/>
                      <wp:wrapNone/>
                      <wp:docPr id="558" name="Frame558"/>
                      <a:graphic xmlns:a="http://schemas.openxmlformats.org/drawingml/2006/main">
                        <a:graphicData uri="http://schemas.microsoft.com/office/word/2010/wordprocessingShape">
                          <wps:wsp>
                            <wps:cNvSpPr txBox="1"/>
                            <wps:spPr>
                              <a:xfrm>
                                <a:off x="0" y="0"/>
                                <a:ext cx="798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Month</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w:t>
            </w:r>
          </w:p>
        </w:tc>
        <w:tc>
          <w:tcPr>
            <w:tcW w:w="346" w:type="dxa"/>
            <w:tcBorders/>
            <w:vAlign w:val="center"/>
          </w:tcPr>
          <w:p>
            <w:pPr>
              <w:pStyle w:val="TableContents"/>
              <w:bidi w:val="0"/>
              <w:spacing w:before="0" w:after="0"/>
              <w:ind w:left="0" w:right="0" w:hanging="0"/>
              <w:jc w:val="center"/>
              <w:rPr/>
            </w:pPr>
            <w:r>
              <w:rPr/>
              <w:t>  ​ ​ ​</w:t>
            </w:r>
          </w:p>
        </w:tc>
        <w:tc>
          <w:tcPr>
            <w:tcW w:w="146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29 - May 2, 2026</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215,323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215,323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76,662,655</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3 - 30, 2026</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924,256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82.65</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924,256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2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274,012</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31 - June 27, 2026</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195,650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82.46</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195,650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58"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283,867,125</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Note: May includes 2,191 shares tendered by certain employees of the Company (and repurchased by the Company) in order to satisfy their respective tax withholding obligations resulting from the vesting of restricted stock awards. The Company treats these share repurchases against its board-approved share repurchase authorizations described below.</w:t>
      </w:r>
    </w:p>
    <w:tbl>
      <w:tblPr>
        <w:tblW w:w="3257" w:type="dxa"/>
        <w:jc w:val="left"/>
        <w:tblInd w:w="0" w:type="dxa"/>
        <w:tblLayout w:type="fixed"/>
        <w:tblCellMar>
          <w:top w:w="0" w:type="dxa"/>
          <w:left w:w="0" w:type="dxa"/>
          <w:bottom w:w="0" w:type="dxa"/>
          <w:right w:w="0" w:type="dxa"/>
        </w:tblCellMar>
      </w:tblPr>
      <w:tblGrid>
        <w:gridCol w:w="346"/>
        <w:gridCol w:w="291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number of shares purchased.</w:t>
            </w:r>
          </w:p>
        </w:tc>
      </w:tr>
    </w:tbl>
    <w:tbl>
      <w:tblPr>
        <w:tblW w:w="2837" w:type="dxa"/>
        <w:jc w:val="left"/>
        <w:tblInd w:w="0" w:type="dxa"/>
        <w:tblLayout w:type="fixed"/>
        <w:tblCellMar>
          <w:top w:w="0" w:type="dxa"/>
          <w:left w:w="0" w:type="dxa"/>
          <w:bottom w:w="0" w:type="dxa"/>
          <w:right w:w="0" w:type="dxa"/>
        </w:tblCellMar>
      </w:tblPr>
      <w:tblGrid>
        <w:gridCol w:w="346"/>
        <w:gridCol w:w="249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4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price paid per share.</w:t>
            </w:r>
          </w:p>
        </w:tc>
      </w:tr>
    </w:tbl>
    <w:tbl>
      <w:tblPr>
        <w:tblW w:w="7202" w:type="dxa"/>
        <w:jc w:val="left"/>
        <w:tblInd w:w="0" w:type="dxa"/>
        <w:tblLayout w:type="fixed"/>
        <w:tblCellMar>
          <w:top w:w="0" w:type="dxa"/>
          <w:left w:w="0" w:type="dxa"/>
          <w:bottom w:w="0" w:type="dxa"/>
          <w:right w:w="0" w:type="dxa"/>
        </w:tblCellMar>
      </w:tblPr>
      <w:tblGrid>
        <w:gridCol w:w="346"/>
        <w:gridCol w:w="685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8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number of shares purchased as part of publicly announced plans or programs.</w:t>
            </w:r>
          </w:p>
        </w:tc>
      </w:tr>
    </w:tbl>
    <w:tbl>
      <w:tblPr>
        <w:tblW w:w="7832" w:type="dxa"/>
        <w:jc w:val="left"/>
        <w:tblInd w:w="0" w:type="dxa"/>
        <w:tblLayout w:type="fixed"/>
        <w:tblCellMar>
          <w:top w:w="0" w:type="dxa"/>
          <w:left w:w="0" w:type="dxa"/>
          <w:bottom w:w="0" w:type="dxa"/>
          <w:right w:w="0" w:type="dxa"/>
        </w:tblCellMar>
      </w:tblPr>
      <w:tblGrid>
        <w:gridCol w:w="346"/>
        <w:gridCol w:w="748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74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dollar value of shares that may yet be purchased under the plans or programs.</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1,139,579 shares reported as repurchased between March 29, 2026 and May 30, 2026 in the table above were repurchased pursuant to the share repurchase authorization approved by our board on July 23, 2025 to repurchase up to $300 million worth of our common stock through July 31, 2026. On and effective as of May 29, 2026, our board authorized the repurchase of up to $300 million worth of shares of our common stock through the period ending April 30, 2027. This authorization supersedes and replaces any prior authorization. The balance of shares reported for the period from May 31, 2026, through June 27, 2026 were purchased pursuant to the new share authorization.</w:t>
            </w:r>
          </w:p>
        </w:tc>
      </w:tr>
    </w:tbl>
    <w:p>
      <w:pPr>
        <w:pStyle w:val="TextBody"/>
        <w:bidi w:val="0"/>
        <w:spacing w:before="0" w:after="240"/>
        <w:ind w:left="0" w:right="0" w:hanging="0"/>
        <w:jc w:val="left"/>
        <w:rPr>
          <w:rFonts w:ascii="Times New Roman;Times;serif" w:hAnsi="Times New Roman;Times;serif"/>
          <w:b/>
          <w:sz w:val="20"/>
        </w:rPr>
      </w:pPr>
      <w:bookmarkStart w:id="1378" w:name="Item5OtherInformation_609482"/>
      <w:bookmarkStart w:id="1379" w:name="_4488a6f5_9640_469a_9ee7_74e8000276e1"/>
      <w:bookmarkEnd w:id="1378"/>
      <w:bookmarkEnd w:id="1379"/>
      <w:r>
        <w:rPr>
          <w:rFonts w:ascii="Times New Roman;Times;serif" w:hAnsi="Times New Roman;Times;serif"/>
          <w:b/>
          <w:sz w:val="20"/>
        </w:rPr>
        <w:t>Item 5. Other Information.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quarter ended June 27, 2026, no director or officer adopted, modified, or terminated a “Rule 10b5-1 trading arrangement” or a “non-Rule 10b5-1 trading arrangement,” as each term is defined in Item 408(a) of Regulation S-K.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380" w:name="Item6Exhibits_615396"/>
      <w:bookmarkEnd w:id="1380"/>
      <w:r>
        <w:rPr>
          <w:rFonts w:ascii="Times New Roman;Times;serif" w:hAnsi="Times New Roman;Times;serif"/>
          <w:b/>
          <w:sz w:val="20"/>
        </w:rPr>
        <w:t>Item 6.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exhibits (listed by number corresponding to the Exhibit Table as Item 601 in Regulation S-K) are filed with this report:</w:t>
      </w:r>
    </w:p>
    <w:tbl>
      <w:tblPr>
        <w:tblW w:w="10205" w:type="dxa"/>
        <w:jc w:val="left"/>
        <w:tblInd w:w="0" w:type="dxa"/>
        <w:tblLayout w:type="fixed"/>
        <w:tblCellMar>
          <w:top w:w="0" w:type="dxa"/>
          <w:left w:w="0" w:type="dxa"/>
          <w:bottom w:w="0" w:type="dxa"/>
          <w:right w:w="0" w:type="dxa"/>
        </w:tblCellMar>
      </w:tblPr>
      <w:tblGrid>
        <w:gridCol w:w="436"/>
        <w:gridCol w:w="601"/>
        <w:gridCol w:w="9168"/>
      </w:tblGrid>
      <w:tr>
        <w:trPr/>
        <w:tc>
          <w:tcPr>
            <w:tcW w:w="43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9168" w:type="dxa"/>
            <w:tcBorders/>
            <w:vAlign w:val="center"/>
          </w:tcPr>
          <w:p>
            <w:pPr>
              <w:pStyle w:val="TableContents"/>
              <w:bidi w:val="0"/>
              <w:spacing w:before="0" w:after="0"/>
              <w:ind w:left="0" w:right="0" w:hanging="0"/>
              <w:jc w:val="left"/>
              <w:rPr/>
            </w:pPr>
            <w:r>
              <w:rPr/>
              <w:t>​</w:t>
            </w:r>
          </w:p>
        </w:tc>
      </w:tr>
      <w:tr>
        <w:trPr/>
        <w:tc>
          <w:tcPr>
            <w:tcW w:w="4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w:t>
            </w:r>
          </w:p>
        </w:tc>
        <w:tc>
          <w:tcPr>
            <w:tcW w:w="9769"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Certifications.</w:t>
            </w:r>
          </w:p>
        </w:tc>
      </w:tr>
      <w:tr>
        <w:trPr/>
        <w:tc>
          <w:tcPr>
            <w:tcW w:w="43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9168" w:type="dxa"/>
            <w:tcBorders/>
            <w:vAlign w:val="center"/>
          </w:tcPr>
          <w:p>
            <w:pPr>
              <w:pStyle w:val="TableContents"/>
              <w:bidi w:val="0"/>
              <w:spacing w:before="0" w:after="0"/>
              <w:ind w:left="0" w:right="0" w:hanging="0"/>
              <w:jc w:val="left"/>
              <w:rPr/>
            </w:pPr>
            <w:r>
              <w:rPr/>
              <w:t>​</w:t>
            </w:r>
          </w:p>
        </w:tc>
      </w:tr>
      <w:tr>
        <w:trPr/>
        <w:tc>
          <w:tcPr>
            <w:tcW w:w="43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168" w:type="dxa"/>
            <w:tcBorders/>
            <w:vAlign w:val="center"/>
          </w:tcPr>
          <w:p>
            <w:pPr>
              <w:pStyle w:val="TableContents"/>
              <w:bidi w:val="0"/>
              <w:spacing w:before="0" w:after="0"/>
              <w:ind w:left="0" w:right="0" w:hanging="0"/>
              <w:jc w:val="both"/>
              <w:rPr/>
            </w:pPr>
            <w:hyperlink w:anchor="ufpi-20260627xex31da.htm">
              <w:r>
                <w:rPr>
                  <w:rStyle w:val="InternetLink"/>
                  <w:rFonts w:ascii="Times New Roman;Times;serif" w:hAnsi="Times New Roman;Times;serif"/>
                  <w:b w:val="false"/>
                  <w:i w:val="false"/>
                  <w:caps w:val="false"/>
                  <w:smallCaps w:val="false"/>
                  <w:sz w:val="20"/>
                </w:rPr>
                <w:t>Certificate of the Chief Executive Officer of UFP Industries, Inc., pursuant to Section 302 of the Sarbanes-Oxley Act of 2002 (18 U.S.C. 1350).</w:t>
              </w:r>
            </w:hyperlink>
          </w:p>
        </w:tc>
      </w:tr>
      <w:tr>
        <w:trPr/>
        <w:tc>
          <w:tcPr>
            <w:tcW w:w="43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9168" w:type="dxa"/>
            <w:tcBorders/>
            <w:vAlign w:val="center"/>
          </w:tcPr>
          <w:p>
            <w:pPr>
              <w:pStyle w:val="TableContents"/>
              <w:bidi w:val="0"/>
              <w:spacing w:before="0" w:after="0"/>
              <w:ind w:left="0" w:right="0" w:hanging="0"/>
              <w:jc w:val="left"/>
              <w:rPr/>
            </w:pPr>
            <w:r>
              <w:rPr/>
              <w:t>​</w:t>
            </w:r>
          </w:p>
        </w:tc>
      </w:tr>
      <w:tr>
        <w:trPr/>
        <w:tc>
          <w:tcPr>
            <w:tcW w:w="43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168" w:type="dxa"/>
            <w:tcBorders/>
            <w:vAlign w:val="center"/>
          </w:tcPr>
          <w:p>
            <w:pPr>
              <w:pStyle w:val="TableContents"/>
              <w:bidi w:val="0"/>
              <w:spacing w:before="0" w:after="0"/>
              <w:ind w:left="0" w:right="0" w:hanging="0"/>
              <w:jc w:val="both"/>
              <w:rPr/>
            </w:pPr>
            <w:hyperlink w:anchor="ufpi-20260627xex31db.htm">
              <w:r>
                <w:rPr>
                  <w:rStyle w:val="InternetLink"/>
                  <w:rFonts w:ascii="Times New Roman;Times;serif" w:hAnsi="Times New Roman;Times;serif"/>
                  <w:b w:val="false"/>
                  <w:i w:val="false"/>
                  <w:caps w:val="false"/>
                  <w:smallCaps w:val="false"/>
                  <w:sz w:val="20"/>
                </w:rPr>
                <w:t>Certificate of the Chief Financial Officer of UFP Industries, Inc., pursuant to Section 302 of the Sarbanes-Oxley Act of 2002 (18 U.S.C. 1350).</w:t>
              </w:r>
            </w:hyperlink>
          </w:p>
        </w:tc>
      </w:tr>
      <w:tr>
        <w:trPr/>
        <w:tc>
          <w:tcPr>
            <w:tcW w:w="43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9168" w:type="dxa"/>
            <w:tcBorders/>
            <w:vAlign w:val="center"/>
          </w:tcPr>
          <w:p>
            <w:pPr>
              <w:pStyle w:val="TableContents"/>
              <w:bidi w:val="0"/>
              <w:spacing w:before="0" w:after="0"/>
              <w:ind w:left="0" w:right="0" w:hanging="0"/>
              <w:jc w:val="left"/>
              <w:rPr/>
            </w:pPr>
            <w:r>
              <w:rPr/>
              <w:t>​</w:t>
            </w:r>
          </w:p>
        </w:tc>
      </w:tr>
      <w:tr>
        <w:trPr/>
        <w:tc>
          <w:tcPr>
            <w:tcW w:w="4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w:t>
            </w:r>
          </w:p>
        </w:tc>
        <w:tc>
          <w:tcPr>
            <w:tcW w:w="9769"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Certifications.</w:t>
            </w:r>
          </w:p>
        </w:tc>
      </w:tr>
      <w:tr>
        <w:trPr/>
        <w:tc>
          <w:tcPr>
            <w:tcW w:w="43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9168" w:type="dxa"/>
            <w:tcBorders/>
            <w:vAlign w:val="center"/>
          </w:tcPr>
          <w:p>
            <w:pPr>
              <w:pStyle w:val="TableContents"/>
              <w:bidi w:val="0"/>
              <w:spacing w:before="0" w:after="0"/>
              <w:ind w:left="0" w:right="0" w:hanging="0"/>
              <w:jc w:val="left"/>
              <w:rPr/>
            </w:pPr>
            <w:r>
              <w:rPr/>
              <w:t>​</w:t>
            </w:r>
          </w:p>
        </w:tc>
      </w:tr>
      <w:tr>
        <w:trPr/>
        <w:tc>
          <w:tcPr>
            <w:tcW w:w="43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168" w:type="dxa"/>
            <w:tcBorders/>
            <w:vAlign w:val="center"/>
          </w:tcPr>
          <w:p>
            <w:pPr>
              <w:pStyle w:val="TableContents"/>
              <w:bidi w:val="0"/>
              <w:spacing w:before="0" w:after="0"/>
              <w:ind w:left="0" w:right="0" w:hanging="0"/>
              <w:jc w:val="both"/>
              <w:rPr/>
            </w:pPr>
            <w:hyperlink w:anchor="ufpi-20260627xex32da.htm">
              <w:r>
                <w:rPr>
                  <w:rStyle w:val="InternetLink"/>
                  <w:rFonts w:ascii="Times New Roman;Times;serif" w:hAnsi="Times New Roman;Times;serif"/>
                  <w:b w:val="false"/>
                  <w:i w:val="false"/>
                  <w:caps w:val="false"/>
                  <w:smallCaps w:val="false"/>
                  <w:sz w:val="20"/>
                </w:rPr>
                <w:t>Certificate of the Chief Executive Officer of UFP Industries, Inc., pursuant to Section 906 of the Sarbanes-Oxley Act of 2002 (18 U.S.C. 1350).</w:t>
              </w:r>
            </w:hyperlink>
          </w:p>
        </w:tc>
      </w:tr>
      <w:tr>
        <w:trPr/>
        <w:tc>
          <w:tcPr>
            <w:tcW w:w="43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9168" w:type="dxa"/>
            <w:tcBorders/>
            <w:vAlign w:val="center"/>
          </w:tcPr>
          <w:p>
            <w:pPr>
              <w:pStyle w:val="TableContents"/>
              <w:bidi w:val="0"/>
              <w:spacing w:before="0" w:after="0"/>
              <w:ind w:left="0" w:right="0" w:hanging="0"/>
              <w:jc w:val="left"/>
              <w:rPr/>
            </w:pPr>
            <w:r>
              <w:rPr/>
              <w:t>​</w:t>
            </w:r>
          </w:p>
        </w:tc>
      </w:tr>
      <w:tr>
        <w:trPr/>
        <w:tc>
          <w:tcPr>
            <w:tcW w:w="43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168" w:type="dxa"/>
            <w:tcBorders/>
            <w:vAlign w:val="center"/>
          </w:tcPr>
          <w:p>
            <w:pPr>
              <w:pStyle w:val="TableContents"/>
              <w:bidi w:val="0"/>
              <w:spacing w:before="0" w:after="0"/>
              <w:ind w:left="0" w:right="0" w:hanging="0"/>
              <w:jc w:val="both"/>
              <w:rPr/>
            </w:pPr>
            <w:hyperlink w:anchor="ufpi-20260627xex32db.htm">
              <w:r>
                <w:rPr>
                  <w:rStyle w:val="InternetLink"/>
                  <w:rFonts w:ascii="Times New Roman;Times;serif" w:hAnsi="Times New Roman;Times;serif"/>
                  <w:b w:val="false"/>
                  <w:i w:val="false"/>
                  <w:caps w:val="false"/>
                  <w:smallCaps w:val="false"/>
                  <w:sz w:val="20"/>
                </w:rPr>
                <w:t>Certificate of the Chief Financial Officer of UFP Industries, Inc., pursuant to Section 906 of the Sarbanes-Oxley Act of 2002 (18 U.S.C. 1350).</w:t>
              </w:r>
            </w:hyperlink>
          </w:p>
        </w:tc>
      </w:tr>
      <w:tr>
        <w:trPr/>
        <w:tc>
          <w:tcPr>
            <w:tcW w:w="43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9168" w:type="dxa"/>
            <w:tcBorders/>
            <w:vAlign w:val="center"/>
          </w:tcPr>
          <w:p>
            <w:pPr>
              <w:pStyle w:val="TableContents"/>
              <w:bidi w:val="0"/>
              <w:spacing w:before="0" w:after="0"/>
              <w:ind w:left="0" w:right="0" w:hanging="0"/>
              <w:jc w:val="left"/>
              <w:rPr/>
            </w:pPr>
            <w:r>
              <w:rPr/>
              <w:t>​</w:t>
            </w:r>
          </w:p>
        </w:tc>
      </w:tr>
      <w:tr>
        <w:trPr/>
        <w:tc>
          <w:tcPr>
            <w:tcW w:w="4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w:t>
            </w:r>
          </w:p>
        </w:tc>
        <w:tc>
          <w:tcPr>
            <w:tcW w:w="9769"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Interactive Data File formatted in iXBRL (Inline eXtensible Business Reporting Language).</w:t>
            </w:r>
          </w:p>
        </w:tc>
      </w:tr>
      <w:tr>
        <w:trPr/>
        <w:tc>
          <w:tcPr>
            <w:tcW w:w="43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9168" w:type="dxa"/>
            <w:tcBorders/>
            <w:vAlign w:val="center"/>
          </w:tcPr>
          <w:p>
            <w:pPr>
              <w:pStyle w:val="TableContents"/>
              <w:bidi w:val="0"/>
              <w:spacing w:before="0" w:after="0"/>
              <w:ind w:left="0" w:right="0" w:hanging="0"/>
              <w:jc w:val="left"/>
              <w:rPr/>
            </w:pPr>
            <w:r>
              <w:rPr/>
              <w:t>​</w:t>
            </w:r>
          </w:p>
        </w:tc>
      </w:tr>
      <w:tr>
        <w:trPr/>
        <w:tc>
          <w:tcPr>
            <w:tcW w:w="43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(INS)</w:t>
            </w:r>
          </w:p>
        </w:tc>
        <w:tc>
          <w:tcPr>
            <w:tcW w:w="916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iXBRL Instance Document.</w:t>
            </w:r>
          </w:p>
        </w:tc>
      </w:tr>
      <w:tr>
        <w:trPr/>
        <w:tc>
          <w:tcPr>
            <w:tcW w:w="43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9168" w:type="dxa"/>
            <w:tcBorders/>
            <w:vAlign w:val="center"/>
          </w:tcPr>
          <w:p>
            <w:pPr>
              <w:pStyle w:val="TableContents"/>
              <w:bidi w:val="0"/>
              <w:spacing w:before="0" w:after="0"/>
              <w:ind w:left="0" w:right="0" w:hanging="0"/>
              <w:jc w:val="left"/>
              <w:rPr/>
            </w:pPr>
            <w:r>
              <w:rPr/>
              <w:t>​</w:t>
            </w:r>
          </w:p>
        </w:tc>
      </w:tr>
      <w:tr>
        <w:trPr/>
        <w:tc>
          <w:tcPr>
            <w:tcW w:w="43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(SCH)</w:t>
            </w:r>
          </w:p>
        </w:tc>
        <w:tc>
          <w:tcPr>
            <w:tcW w:w="916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iXBRL Schema Document.</w:t>
            </w:r>
          </w:p>
        </w:tc>
      </w:tr>
      <w:tr>
        <w:trPr/>
        <w:tc>
          <w:tcPr>
            <w:tcW w:w="43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9168" w:type="dxa"/>
            <w:tcBorders/>
            <w:vAlign w:val="center"/>
          </w:tcPr>
          <w:p>
            <w:pPr>
              <w:pStyle w:val="TableContents"/>
              <w:bidi w:val="0"/>
              <w:spacing w:before="0" w:after="0"/>
              <w:ind w:left="0" w:right="0" w:hanging="0"/>
              <w:jc w:val="left"/>
              <w:rPr/>
            </w:pPr>
            <w:r>
              <w:rPr/>
              <w:t>​</w:t>
            </w:r>
          </w:p>
        </w:tc>
      </w:tr>
      <w:tr>
        <w:trPr/>
        <w:tc>
          <w:tcPr>
            <w:tcW w:w="43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(CAL)</w:t>
            </w:r>
          </w:p>
        </w:tc>
        <w:tc>
          <w:tcPr>
            <w:tcW w:w="916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iXBRL Taxonomy Extension Calculation Linkbase Document.</w:t>
            </w:r>
          </w:p>
        </w:tc>
      </w:tr>
      <w:tr>
        <w:trPr/>
        <w:tc>
          <w:tcPr>
            <w:tcW w:w="43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9168" w:type="dxa"/>
            <w:tcBorders/>
            <w:vAlign w:val="center"/>
          </w:tcPr>
          <w:p>
            <w:pPr>
              <w:pStyle w:val="TableContents"/>
              <w:bidi w:val="0"/>
              <w:spacing w:before="0" w:after="0"/>
              <w:ind w:left="0" w:right="0" w:hanging="0"/>
              <w:jc w:val="left"/>
              <w:rPr/>
            </w:pPr>
            <w:r>
              <w:rPr/>
              <w:t>​</w:t>
            </w:r>
          </w:p>
        </w:tc>
      </w:tr>
      <w:tr>
        <w:trPr/>
        <w:tc>
          <w:tcPr>
            <w:tcW w:w="43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(LAB)</w:t>
            </w:r>
          </w:p>
        </w:tc>
        <w:tc>
          <w:tcPr>
            <w:tcW w:w="916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iXBRL Taxonomy Extension Label Linkbase Document.</w:t>
            </w:r>
          </w:p>
        </w:tc>
      </w:tr>
      <w:tr>
        <w:trPr/>
        <w:tc>
          <w:tcPr>
            <w:tcW w:w="43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9168" w:type="dxa"/>
            <w:tcBorders/>
            <w:vAlign w:val="center"/>
          </w:tcPr>
          <w:p>
            <w:pPr>
              <w:pStyle w:val="TableContents"/>
              <w:bidi w:val="0"/>
              <w:spacing w:before="0" w:after="0"/>
              <w:ind w:left="0" w:right="0" w:hanging="0"/>
              <w:jc w:val="left"/>
              <w:rPr/>
            </w:pPr>
            <w:r>
              <w:rPr/>
              <w:t>​</w:t>
            </w:r>
          </w:p>
        </w:tc>
      </w:tr>
      <w:tr>
        <w:trPr/>
        <w:tc>
          <w:tcPr>
            <w:tcW w:w="43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w:t>
            </w:r>
          </w:p>
        </w:tc>
        <w:tc>
          <w:tcPr>
            <w:tcW w:w="916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iXBRL Taxonomy Extension Presentation Linkbase Document.</w:t>
            </w:r>
          </w:p>
        </w:tc>
      </w:tr>
      <w:tr>
        <w:trPr/>
        <w:tc>
          <w:tcPr>
            <w:tcW w:w="43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9168" w:type="dxa"/>
            <w:tcBorders/>
            <w:vAlign w:val="center"/>
          </w:tcPr>
          <w:p>
            <w:pPr>
              <w:pStyle w:val="TableContents"/>
              <w:bidi w:val="0"/>
              <w:spacing w:before="0" w:after="0"/>
              <w:ind w:left="0" w:right="0" w:hanging="0"/>
              <w:jc w:val="left"/>
              <w:rPr/>
            </w:pPr>
            <w:r>
              <w:rPr/>
              <w:t>​</w:t>
            </w:r>
          </w:p>
        </w:tc>
      </w:tr>
      <w:tr>
        <w:trPr/>
        <w:tc>
          <w:tcPr>
            <w:tcW w:w="43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(DEF)</w:t>
            </w:r>
          </w:p>
        </w:tc>
        <w:tc>
          <w:tcPr>
            <w:tcW w:w="916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iXBRL Taxonomy Extension Definition Linkbase Document.</w:t>
            </w:r>
          </w:p>
        </w:tc>
      </w:tr>
      <w:tr>
        <w:trPr/>
        <w:tc>
          <w:tcPr>
            <w:tcW w:w="43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both"/>
              <w:rPr/>
            </w:pPr>
            <w:r>
              <w:rPr/>
              <w:t>​</w:t>
            </w:r>
          </w:p>
        </w:tc>
        <w:tc>
          <w:tcPr>
            <w:tcW w:w="9168" w:type="dxa"/>
            <w:tcBorders/>
            <w:vAlign w:val="center"/>
          </w:tcPr>
          <w:p>
            <w:pPr>
              <w:pStyle w:val="TableContents"/>
              <w:bidi w:val="0"/>
              <w:spacing w:before="0" w:after="0"/>
              <w:ind w:left="0" w:right="0" w:hanging="0"/>
              <w:jc w:val="both"/>
              <w:rPr/>
            </w:pPr>
            <w:r>
              <w:rPr/>
              <w:t>​</w:t>
            </w:r>
          </w:p>
        </w:tc>
      </w:tr>
      <w:tr>
        <w:trPr/>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769"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(the cover page XBRL tags are embedded in the Inline XBRL document).</w:t>
            </w:r>
          </w:p>
        </w:tc>
      </w:tr>
    </w:tbl>
    <w:p>
      <w:pPr>
        <w:pStyle w:val="TextBody"/>
        <w:pBdr/>
        <w:bidi w:val="0"/>
        <w:spacing w:before="0" w:after="0"/>
        <w:ind w:left="0" w:right="0" w:hanging="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hanging="0"/>
        <w:jc w:val="center"/>
        <w:rPr>
          <w:rFonts w:ascii="Times New Roman;Times;serif" w:hAnsi="Times New Roman;Times;serif"/>
          <w:b/>
          <w:sz w:val="20"/>
        </w:rPr>
      </w:pPr>
      <w:bookmarkStart w:id="1381" w:name="_0b40918b_50e5_4be5_b910_117ed963e41c"/>
      <w:bookmarkEnd w:id="1381"/>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and Exchange Act of 1934, the registrant has duly caused this report to be signed on its behalf by the undersigned thereunto duly authorized.</w:t>
      </w:r>
    </w:p>
    <w:tbl>
      <w:tblPr>
        <w:tblW w:w="4578" w:type="dxa"/>
        <w:jc w:val="left"/>
        <w:tblInd w:w="0" w:type="dxa"/>
        <w:tblLayout w:type="fixed"/>
        <w:tblCellMar>
          <w:top w:w="0" w:type="dxa"/>
          <w:left w:w="0" w:type="dxa"/>
          <w:bottom w:w="0" w:type="dxa"/>
          <w:right w:w="0" w:type="dxa"/>
        </w:tblCellMar>
      </w:tblPr>
      <w:tblGrid>
        <w:gridCol w:w="1846"/>
        <w:gridCol w:w="406"/>
        <w:gridCol w:w="2326"/>
      </w:tblGrid>
      <w:tr>
        <w:trPr/>
        <w:tc>
          <w:tcPr>
            <w:tcW w:w="1846" w:type="dxa"/>
            <w:tcBorders/>
            <w:vAlign w:val="center"/>
          </w:tcPr>
          <w:p>
            <w:pPr>
              <w:pStyle w:val="TableContents"/>
              <w:bidi w:val="0"/>
              <w:spacing w:before="0" w:after="0"/>
              <w:ind w:left="0" w:right="0" w:hanging="0"/>
              <w:jc w:val="left"/>
              <w:rPr/>
            </w:pPr>
            <w:r>
              <w:rPr/>
              <w:t>​</w:t>
            </w:r>
          </w:p>
        </w:tc>
        <w:tc>
          <w:tcPr>
            <w:tcW w:w="2732" w:type="dxa"/>
            <w:gridSpan w:val="2"/>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UFP INDUSTRIES, INC.</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32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5, 2026</w:t>
            </w:r>
          </w:p>
        </w:tc>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326" w:type="dxa"/>
            <w:tcBorders>
              <w:bottom w:val="single" w:sz="1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William D. Schwartz, Jr.</w:t>
            </w:r>
          </w:p>
        </w:tc>
      </w:tr>
      <w:tr>
        <w:trPr/>
        <w:tc>
          <w:tcPr>
            <w:tcW w:w="1846" w:type="dxa"/>
            <w:tcBorders/>
            <w:vAlign w:val="center"/>
          </w:tcPr>
          <w:p>
            <w:pPr>
              <w:pStyle w:val="TableContents"/>
              <w:bidi w:val="0"/>
              <w:spacing w:before="0" w:after="0"/>
              <w:ind w:left="0" w:right="0" w:hanging="0"/>
              <w:jc w:val="left"/>
              <w:rPr/>
            </w:pPr>
            <w:r>
              <w:rPr/>
              <w:t>​</w:t>
            </w:r>
          </w:p>
        </w:tc>
        <w:tc>
          <w:tcPr>
            <w:tcW w:w="2732"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William D. Schwartz, Jr.,</w:t>
            </w:r>
          </w:p>
        </w:tc>
      </w:tr>
      <w:tr>
        <w:trPr/>
        <w:tc>
          <w:tcPr>
            <w:tcW w:w="1846" w:type="dxa"/>
            <w:tcBorders/>
            <w:vAlign w:val="center"/>
          </w:tcPr>
          <w:p>
            <w:pPr>
              <w:pStyle w:val="TableContents"/>
              <w:bidi w:val="0"/>
              <w:spacing w:before="0" w:after="0"/>
              <w:ind w:left="0" w:right="0" w:hanging="0"/>
              <w:jc w:val="left"/>
              <w:rPr/>
            </w:pPr>
            <w:r>
              <w:rPr/>
              <w:t>​</w:t>
            </w:r>
          </w:p>
        </w:tc>
        <w:tc>
          <w:tcPr>
            <w:tcW w:w="2732"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 and</w:t>
            </w:r>
          </w:p>
        </w:tc>
      </w:tr>
      <w:tr>
        <w:trPr/>
        <w:tc>
          <w:tcPr>
            <w:tcW w:w="1846" w:type="dxa"/>
            <w:tcBorders/>
            <w:vAlign w:val="center"/>
          </w:tcPr>
          <w:p>
            <w:pPr>
              <w:pStyle w:val="TableContents"/>
              <w:bidi w:val="0"/>
              <w:spacing w:before="0" w:after="0"/>
              <w:ind w:left="0" w:right="0" w:hanging="0"/>
              <w:jc w:val="left"/>
              <w:rPr/>
            </w:pPr>
            <w:r>
              <w:rPr/>
              <w:t>​</w:t>
            </w:r>
          </w:p>
        </w:tc>
        <w:tc>
          <w:tcPr>
            <w:tcW w:w="273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32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5, 2026</w:t>
            </w:r>
          </w:p>
        </w:tc>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326" w:type="dxa"/>
            <w:tcBorders>
              <w:bottom w:val="single" w:sz="1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Michael R. Cole</w:t>
            </w:r>
          </w:p>
        </w:tc>
      </w:tr>
      <w:tr>
        <w:trPr/>
        <w:tc>
          <w:tcPr>
            <w:tcW w:w="1846" w:type="dxa"/>
            <w:tcBorders/>
            <w:vAlign w:val="center"/>
          </w:tcPr>
          <w:p>
            <w:pPr>
              <w:pStyle w:val="TableContents"/>
              <w:bidi w:val="0"/>
              <w:spacing w:before="0" w:after="0"/>
              <w:ind w:left="0" w:right="0" w:hanging="0"/>
              <w:jc w:val="left"/>
              <w:rPr/>
            </w:pPr>
            <w:r>
              <w:rPr/>
              <w:t>​</w:t>
            </w:r>
          </w:p>
        </w:tc>
        <w:tc>
          <w:tcPr>
            <w:tcW w:w="2732"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Michael R. Cole,</w:t>
            </w:r>
          </w:p>
        </w:tc>
      </w:tr>
      <w:tr>
        <w:trPr/>
        <w:tc>
          <w:tcPr>
            <w:tcW w:w="1846" w:type="dxa"/>
            <w:tcBorders/>
            <w:vAlign w:val="center"/>
          </w:tcPr>
          <w:p>
            <w:pPr>
              <w:pStyle w:val="TableContents"/>
              <w:bidi w:val="0"/>
              <w:spacing w:before="0" w:after="0"/>
              <w:ind w:left="0" w:right="0" w:hanging="0"/>
              <w:jc w:val="left"/>
              <w:rPr/>
            </w:pPr>
            <w:r>
              <w:rPr/>
              <w:t>​</w:t>
            </w:r>
          </w:p>
        </w:tc>
        <w:tc>
          <w:tcPr>
            <w:tcW w:w="2732"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before="0" w:after="0"/>
              <w:ind w:left="0" w:right="0" w:hanging="0"/>
              <w:jc w:val="left"/>
              <w:rPr/>
            </w:pPr>
            <w:r>
              <w:rPr/>
              <w:t>​</w:t>
            </w:r>
          </w:p>
        </w:tc>
        <w:tc>
          <w:tcPr>
            <w:tcW w:w="2732"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Officer and</w:t>
            </w:r>
          </w:p>
        </w:tc>
      </w:tr>
      <w:tr>
        <w:trPr/>
        <w:tc>
          <w:tcPr>
            <w:tcW w:w="1846" w:type="dxa"/>
            <w:tcBorders/>
            <w:vAlign w:val="center"/>
          </w:tcPr>
          <w:p>
            <w:pPr>
              <w:pStyle w:val="TableContents"/>
              <w:bidi w:val="0"/>
              <w:spacing w:before="0" w:after="0"/>
              <w:ind w:left="0" w:right="0" w:hanging="0"/>
              <w:jc w:val="left"/>
              <w:rPr/>
            </w:pPr>
            <w:r>
              <w:rPr/>
              <w:t>​</w:t>
            </w:r>
          </w:p>
        </w:tc>
        <w:tc>
          <w:tcPr>
            <w:tcW w:w="2732"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240"/>
        <w:ind w:left="0" w:right="0" w:hanging="0"/>
        <w:jc w:val="right"/>
        <w:rPr>
          <w:rFonts w:ascii="Times New Roman;Times;serif" w:hAnsi="Times New Roman;Times;serif"/>
          <w:b/>
          <w:sz w:val="20"/>
        </w:rPr>
      </w:pPr>
      <w:bookmarkStart w:id="1382" w:name="ufpi-20260627xex31da.htm"/>
      <w:bookmarkStart w:id="1383" w:name="ksufpi20260627xex31da"/>
      <w:bookmarkEnd w:id="1382"/>
      <w:bookmarkEnd w:id="1383"/>
      <w:r>
        <w:rPr>
          <w:rFonts w:ascii="Times New Roman;Times;serif" w:hAnsi="Times New Roman;Times;serif"/>
          <w:b/>
          <w:sz w:val="20"/>
        </w:rPr>
        <w:t>Exhibit 31(a)</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William D. Schwartz, Jr., certify that:</w:t>
      </w:r>
    </w:p>
    <w:tbl>
      <w:tblPr>
        <w:tblW w:w="5395" w:type="dxa"/>
        <w:jc w:val="left"/>
        <w:tblInd w:w="0" w:type="dxa"/>
        <w:tblLayout w:type="fixed"/>
        <w:tblCellMar>
          <w:top w:w="0" w:type="dxa"/>
          <w:left w:w="0" w:type="dxa"/>
          <w:bottom w:w="0" w:type="dxa"/>
          <w:right w:w="0" w:type="dxa"/>
        </w:tblCellMar>
      </w:tblPr>
      <w:tblGrid>
        <w:gridCol w:w="170"/>
        <w:gridCol w:w="522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report on Form 10-Q of UFP Industries,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6512" w:type="dxa"/>
        <w:jc w:val="center"/>
        <w:tblInd w:w="0" w:type="dxa"/>
        <w:tblLayout w:type="fixed"/>
        <w:tblCellMar>
          <w:top w:w="0" w:type="dxa"/>
          <w:left w:w="0" w:type="dxa"/>
          <w:bottom w:w="0" w:type="dxa"/>
          <w:right w:w="0" w:type="dxa"/>
        </w:tblCellMar>
      </w:tblPr>
      <w:tblGrid>
        <w:gridCol w:w="1846"/>
        <w:gridCol w:w="4666"/>
      </w:tblGrid>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r>
              <w:rPr>
                <w:rFonts w:ascii="Times New Roman;Times;serif" w:hAnsi="Times New Roman;Times;serif"/>
                <w:sz w:val="20"/>
                <w:u w:val="single"/>
              </w:rPr>
              <w:t xml:space="preserve"> August 5, 2026</w:t>
            </w:r>
          </w:p>
        </w:tc>
        <w:tc>
          <w:tcPr>
            <w:tcW w:w="46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William D. Schwartz, Jr.</w:t>
            </w:r>
          </w:p>
        </w:tc>
      </w:tr>
      <w:tr>
        <w:trPr/>
        <w:tc>
          <w:tcPr>
            <w:tcW w:w="1846" w:type="dxa"/>
            <w:tcBorders/>
            <w:vAlign w:val="center"/>
          </w:tcPr>
          <w:p>
            <w:pPr>
              <w:pStyle w:val="TableContents"/>
              <w:bidi w:val="0"/>
              <w:spacing w:before="0" w:after="0"/>
              <w:ind w:left="0" w:right="0" w:hanging="0"/>
              <w:jc w:val="left"/>
              <w:rPr/>
            </w:pPr>
            <w:r>
              <w:rPr/>
              <w:t>​</w:t>
            </w:r>
          </w:p>
        </w:tc>
        <w:tc>
          <w:tcPr>
            <w:tcW w:w="46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D. Schwartz, Jr.,</w:t>
            </w:r>
          </w:p>
        </w:tc>
      </w:tr>
      <w:tr>
        <w:trPr/>
        <w:tc>
          <w:tcPr>
            <w:tcW w:w="1846" w:type="dxa"/>
            <w:tcBorders/>
            <w:vAlign w:val="center"/>
          </w:tcPr>
          <w:p>
            <w:pPr>
              <w:pStyle w:val="TableContents"/>
              <w:bidi w:val="0"/>
              <w:spacing w:before="0" w:after="0"/>
              <w:ind w:left="0" w:right="0" w:hanging="0"/>
              <w:jc w:val="left"/>
              <w:rPr/>
            </w:pPr>
            <w:r>
              <w:rPr/>
              <w:t>​</w:t>
            </w:r>
          </w:p>
        </w:tc>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84" w:name="ufpi-20260627xex31db.htm"/>
      <w:bookmarkStart w:id="1385" w:name="ksufpi20260627xex31db"/>
      <w:bookmarkEnd w:id="1384"/>
      <w:bookmarkEnd w:id="1385"/>
      <w:r>
        <w:rPr>
          <w:rFonts w:ascii="Times New Roman;Times;serif" w:hAnsi="Times New Roman;Times;serif"/>
          <w:b/>
          <w:sz w:val="20"/>
        </w:rPr>
        <w:t>Exhibit 31(b)</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Michael R. Cole, certify that:</w:t>
      </w:r>
    </w:p>
    <w:tbl>
      <w:tblPr>
        <w:tblW w:w="5395" w:type="dxa"/>
        <w:jc w:val="left"/>
        <w:tblInd w:w="0" w:type="dxa"/>
        <w:tblLayout w:type="fixed"/>
        <w:tblCellMar>
          <w:top w:w="0" w:type="dxa"/>
          <w:left w:w="0" w:type="dxa"/>
          <w:bottom w:w="0" w:type="dxa"/>
          <w:right w:w="0" w:type="dxa"/>
        </w:tblCellMar>
      </w:tblPr>
      <w:tblGrid>
        <w:gridCol w:w="170"/>
        <w:gridCol w:w="522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report on Form 10-Q of UFP Industries,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6587" w:type="dxa"/>
        <w:jc w:val="center"/>
        <w:tblInd w:w="0" w:type="dxa"/>
        <w:tblLayout w:type="fixed"/>
        <w:tblCellMar>
          <w:top w:w="0" w:type="dxa"/>
          <w:left w:w="0" w:type="dxa"/>
          <w:bottom w:w="0" w:type="dxa"/>
          <w:right w:w="0" w:type="dxa"/>
        </w:tblCellMar>
      </w:tblPr>
      <w:tblGrid>
        <w:gridCol w:w="1846"/>
        <w:gridCol w:w="4741"/>
      </w:tblGrid>
      <w:tr>
        <w:trPr/>
        <w:tc>
          <w:tcPr>
            <w:tcW w:w="18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r>
              <w:rPr>
                <w:rFonts w:ascii="Times New Roman;Times;serif" w:hAnsi="Times New Roman;Times;serif"/>
                <w:sz w:val="20"/>
                <w:u w:val="single"/>
              </w:rPr>
              <w:t>August 5, 2026</w:t>
            </w:r>
          </w:p>
        </w:tc>
        <w:tc>
          <w:tcPr>
            <w:tcW w:w="47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 Cole</w:t>
            </w:r>
          </w:p>
        </w:tc>
      </w:tr>
      <w:tr>
        <w:trPr/>
        <w:tc>
          <w:tcPr>
            <w:tcW w:w="1846" w:type="dxa"/>
            <w:tcBorders/>
            <w:vAlign w:val="center"/>
          </w:tcPr>
          <w:p>
            <w:pPr>
              <w:pStyle w:val="TableContents"/>
              <w:bidi w:val="0"/>
              <w:spacing w:before="0" w:after="0"/>
              <w:ind w:left="0" w:right="0" w:hanging="0"/>
              <w:jc w:val="left"/>
              <w:rPr/>
            </w:pPr>
            <w:r>
              <w:rPr/>
              <w:t>​</w:t>
            </w:r>
          </w:p>
        </w:tc>
        <w:tc>
          <w:tcPr>
            <w:tcW w:w="47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 Cole</w:t>
            </w:r>
          </w:p>
        </w:tc>
      </w:tr>
      <w:tr>
        <w:trPr/>
        <w:tc>
          <w:tcPr>
            <w:tcW w:w="1846" w:type="dxa"/>
            <w:tcBorders/>
            <w:vAlign w:val="center"/>
          </w:tcPr>
          <w:p>
            <w:pPr>
              <w:pStyle w:val="TableContents"/>
              <w:bidi w:val="0"/>
              <w:spacing w:before="0" w:after="0"/>
              <w:ind w:left="0" w:right="0" w:hanging="0"/>
              <w:jc w:val="left"/>
              <w:rPr/>
            </w:pPr>
            <w:r>
              <w:rPr/>
              <w:t>​</w:t>
            </w:r>
          </w:p>
        </w:tc>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86" w:name="ufpi-20260627xex32da.htm"/>
      <w:bookmarkStart w:id="1387" w:name="ksufpi20260627xex32da"/>
      <w:bookmarkEnd w:id="1386"/>
      <w:bookmarkEnd w:id="1387"/>
      <w:r>
        <w:rPr>
          <w:rFonts w:ascii="Times New Roman;Times;serif" w:hAnsi="Times New Roman;Times;serif"/>
          <w:b/>
          <w:sz w:val="20"/>
        </w:rPr>
        <w:t>Exhibit 32(a)</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CERTIFICATE OF THE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 AND PRINCIPAL EXECUTIVE OFFICER OF</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UFP INDUSTRIES,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Section 906 of the Sarbanes-Oxley Act of 2002 (18 U.S.C. 1350):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William D. Schwartz, Jr., Chief Executive Officer and Principal Executive Officer of UFP Industries, Inc., certify, to the best of my knowledge and belief, pursuant to Section 906 of the Sarbanes-Oxley Act of 2002 (18 U.S.C. 1350) that:</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on Form 10-Q for the quarterly period ended June 27, 2026, which this statement accompanies, fully complies with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quarterly report on Form 10-Q for the quarterly period ended June 27, 2026, fairly presents, in all material respects, the financial condition and results of operations of UFP Industries, Inc.</w:t>
            </w:r>
          </w:p>
        </w:tc>
      </w:tr>
    </w:tbl>
    <w:tbl>
      <w:tblPr>
        <w:tblW w:w="6512" w:type="dxa"/>
        <w:jc w:val="center"/>
        <w:tblInd w:w="0" w:type="dxa"/>
        <w:tblLayout w:type="fixed"/>
        <w:tblCellMar>
          <w:top w:w="0" w:type="dxa"/>
          <w:left w:w="0" w:type="dxa"/>
          <w:bottom w:w="0" w:type="dxa"/>
          <w:right w:w="0" w:type="dxa"/>
        </w:tblCellMar>
      </w:tblPr>
      <w:tblGrid>
        <w:gridCol w:w="1846"/>
        <w:gridCol w:w="4666"/>
      </w:tblGrid>
      <w:tr>
        <w:trPr/>
        <w:tc>
          <w:tcPr>
            <w:tcW w:w="1846" w:type="dxa"/>
            <w:tcBorders/>
            <w:vAlign w:val="center"/>
          </w:tcPr>
          <w:p>
            <w:pPr>
              <w:pStyle w:val="TableContents"/>
              <w:bidi w:val="0"/>
              <w:spacing w:before="0" w:after="0"/>
              <w:ind w:left="0" w:right="0" w:hanging="0"/>
              <w:jc w:val="left"/>
              <w:rPr/>
            </w:pPr>
            <w:r>
              <w:rPr/>
              <w:t>​</w:t>
            </w:r>
          </w:p>
        </w:tc>
        <w:tc>
          <w:tcPr>
            <w:tcW w:w="466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UFP INDUSTRIES, INC.</w:t>
            </w:r>
          </w:p>
        </w:tc>
      </w:tr>
      <w:tr>
        <w:trPr/>
        <w:tc>
          <w:tcPr>
            <w:tcW w:w="1846" w:type="dxa"/>
            <w:tcBorders/>
            <w:vAlign w:val="center"/>
          </w:tcPr>
          <w:p>
            <w:pPr>
              <w:pStyle w:val="TableContents"/>
              <w:bidi w:val="0"/>
              <w:spacing w:before="0" w:after="0"/>
              <w:ind w:left="0" w:right="0" w:hanging="0"/>
              <w:jc w:val="left"/>
              <w:rPr/>
            </w:pPr>
            <w:r>
              <w:rPr/>
              <w:t>​</w:t>
            </w:r>
          </w:p>
        </w:tc>
        <w:tc>
          <w:tcPr>
            <w:tcW w:w="466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r>
              <w:rPr>
                <w:rFonts w:ascii="Times New Roman;Times;serif" w:hAnsi="Times New Roman;Times;serif"/>
                <w:sz w:val="20"/>
                <w:u w:val="single"/>
              </w:rPr>
              <w:t>August 5, 2026</w:t>
            </w:r>
          </w:p>
        </w:tc>
        <w:tc>
          <w:tcPr>
            <w:tcW w:w="46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William D. Schwartz, Jr.</w:t>
            </w:r>
          </w:p>
        </w:tc>
      </w:tr>
      <w:tr>
        <w:trPr/>
        <w:tc>
          <w:tcPr>
            <w:tcW w:w="1846" w:type="dxa"/>
            <w:tcBorders/>
            <w:vAlign w:val="center"/>
          </w:tcPr>
          <w:p>
            <w:pPr>
              <w:pStyle w:val="TableContents"/>
              <w:bidi w:val="0"/>
              <w:spacing w:before="0" w:after="0"/>
              <w:ind w:left="0" w:right="0" w:hanging="0"/>
              <w:jc w:val="left"/>
              <w:rPr/>
            </w:pPr>
            <w:r>
              <w:rPr/>
              <w:t>​</w:t>
            </w:r>
          </w:p>
        </w:tc>
        <w:tc>
          <w:tcPr>
            <w:tcW w:w="46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D. Schwartz, Jr.,</w:t>
            </w:r>
          </w:p>
        </w:tc>
      </w:tr>
      <w:tr>
        <w:trPr/>
        <w:tc>
          <w:tcPr>
            <w:tcW w:w="1846" w:type="dxa"/>
            <w:tcBorders/>
            <w:vAlign w:val="center"/>
          </w:tcPr>
          <w:p>
            <w:pPr>
              <w:pStyle w:val="TableContents"/>
              <w:bidi w:val="0"/>
              <w:spacing w:before="0" w:after="0"/>
              <w:ind w:left="0" w:right="0" w:hanging="0"/>
              <w:jc w:val="left"/>
              <w:rPr/>
            </w:pPr>
            <w:r>
              <w:rPr/>
              <w:t>​</w:t>
            </w:r>
          </w:p>
        </w:tc>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Principal Executive Officer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pStyle w:val="TextBody"/>
        <w:bidi w:val="0"/>
        <w:spacing w:lineRule="auto" w:line="343"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88" w:name="ufpi-20260627xex32db.htm"/>
      <w:bookmarkStart w:id="1389" w:name="ksufpi20260627xex32db"/>
      <w:bookmarkEnd w:id="1388"/>
      <w:bookmarkEnd w:id="1389"/>
      <w:r>
        <w:rPr>
          <w:rFonts w:ascii="Times New Roman;Times;serif" w:hAnsi="Times New Roman;Times;serif"/>
          <w:b/>
          <w:sz w:val="20"/>
        </w:rPr>
        <w:t>Exhibit 32(b)</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CERTIFICATE OF THE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 OF</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UFP INDUSTRIES,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Section 906 of the Sarbanes-Oxley Act of 2002 (18 U.S.C. 1350):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Michael R. Cole, Chief Financial Officer of UFP Industries, Inc., certify, to the best of my knowledge and belief, pursuant to Section 906 of the Sarbanes-Oxley Act of 2002 (18 U.S.C. 1350) that:</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on Form 10-Q for the quarterly period ended June 27, 2026, which this statement accompanies, fully complies with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quarterly report on Form 10-Q for the quarterly period ended June 27, 2026, fairly presents, in all material respects, the financial condition and results of operations of UFP Industries, Inc.</w:t>
            </w:r>
          </w:p>
        </w:tc>
      </w:tr>
    </w:tbl>
    <w:tbl>
      <w:tblPr>
        <w:tblW w:w="6392" w:type="dxa"/>
        <w:jc w:val="center"/>
        <w:tblInd w:w="0" w:type="dxa"/>
        <w:tblLayout w:type="fixed"/>
        <w:tblCellMar>
          <w:top w:w="0" w:type="dxa"/>
          <w:left w:w="0" w:type="dxa"/>
          <w:bottom w:w="0" w:type="dxa"/>
          <w:right w:w="0" w:type="dxa"/>
        </w:tblCellMar>
      </w:tblPr>
      <w:tblGrid>
        <w:gridCol w:w="1846"/>
        <w:gridCol w:w="4546"/>
      </w:tblGrid>
      <w:tr>
        <w:trPr/>
        <w:tc>
          <w:tcPr>
            <w:tcW w:w="1846" w:type="dxa"/>
            <w:tcBorders/>
            <w:vAlign w:val="center"/>
          </w:tcPr>
          <w:p>
            <w:pPr>
              <w:pStyle w:val="TableContents"/>
              <w:bidi w:val="0"/>
              <w:spacing w:before="0" w:after="0"/>
              <w:ind w:left="0" w:right="0" w:hanging="0"/>
              <w:jc w:val="left"/>
              <w:rPr/>
            </w:pPr>
            <w:r>
              <w:rPr/>
              <w:t>​</w:t>
            </w:r>
          </w:p>
        </w:tc>
        <w:tc>
          <w:tcPr>
            <w:tcW w:w="454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UFP INDUSTRIES, INC.</w:t>
            </w:r>
          </w:p>
        </w:tc>
      </w:tr>
      <w:tr>
        <w:trPr/>
        <w:tc>
          <w:tcPr>
            <w:tcW w:w="1846" w:type="dxa"/>
            <w:tcBorders/>
            <w:vAlign w:val="center"/>
          </w:tcPr>
          <w:p>
            <w:pPr>
              <w:pStyle w:val="TableContents"/>
              <w:bidi w:val="0"/>
              <w:spacing w:before="0" w:after="0"/>
              <w:ind w:left="0" w:right="0" w:hanging="0"/>
              <w:jc w:val="left"/>
              <w:rPr/>
            </w:pPr>
            <w:r>
              <w:rPr/>
              <w:t>​</w:t>
            </w:r>
          </w:p>
        </w:tc>
        <w:tc>
          <w:tcPr>
            <w:tcW w:w="454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r>
              <w:rPr>
                <w:rFonts w:ascii="Times New Roman;Times;serif" w:hAnsi="Times New Roman;Times;serif"/>
                <w:sz w:val="20"/>
                <w:u w:val="single"/>
              </w:rPr>
              <w:t>August 5, 2026</w:t>
            </w:r>
          </w:p>
        </w:tc>
        <w:tc>
          <w:tcPr>
            <w:tcW w:w="45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Michael R. Cole</w:t>
            </w:r>
          </w:p>
        </w:tc>
      </w:tr>
      <w:tr>
        <w:trPr/>
        <w:tc>
          <w:tcPr>
            <w:tcW w:w="1846" w:type="dxa"/>
            <w:tcBorders/>
            <w:vAlign w:val="center"/>
          </w:tcPr>
          <w:p>
            <w:pPr>
              <w:pStyle w:val="TableContents"/>
              <w:bidi w:val="0"/>
              <w:spacing w:before="0" w:after="0"/>
              <w:ind w:left="0" w:right="0" w:hanging="0"/>
              <w:jc w:val="left"/>
              <w:rPr/>
            </w:pPr>
            <w:r>
              <w:rPr/>
              <w:t>​</w:t>
            </w:r>
          </w:p>
        </w:tc>
        <w:tc>
          <w:tcPr>
            <w:tcW w:w="45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 Cole,</w:t>
            </w:r>
          </w:p>
        </w:tc>
      </w:tr>
      <w:tr>
        <w:trPr/>
        <w:tc>
          <w:tcPr>
            <w:tcW w:w="1846" w:type="dxa"/>
            <w:tcBorders/>
            <w:vAlign w:val="center"/>
          </w:tcPr>
          <w:p>
            <w:pPr>
              <w:pStyle w:val="TableContents"/>
              <w:bidi w:val="0"/>
              <w:spacing w:before="0" w:after="0"/>
              <w:ind w:left="0" w:right="0" w:hanging="0"/>
              <w:jc w:val="left"/>
              <w:rPr/>
            </w:pPr>
            <w:r>
              <w:rPr/>
              <w:t>​</w:t>
            </w:r>
          </w:p>
        </w:tc>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Principal Financial Officer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pStyle w:val="TextBody"/>
        <w:bidi w:val="0"/>
        <w:spacing w:lineRule="auto" w:line="343"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21720</Words>
  <Characters>116731</Characters>
  <CharactersWithSpaces>142206</CharactersWithSpaces>
  <Paragraphs>10361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