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152400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60"/>
        <w:spacing w:after="0"/>
        <w:rPr>
          <w:sz w:val="20"/>
          <w:szCs w:val="20"/>
          <w:color w:val="auto"/>
        </w:rPr>
      </w:pPr>
      <w:r>
        <w:rPr>
          <w:rFonts w:ascii="Arial" w:cs="Arial" w:eastAsia="Arial" w:hAnsi="Arial"/>
          <w:sz w:val="36"/>
          <w:szCs w:val="36"/>
          <w:b w:val="1"/>
          <w:bCs w:val="1"/>
          <w:color w:val="auto"/>
        </w:rPr>
        <w:t>SCHEDULE 14A</w:t>
      </w:r>
    </w:p>
    <w:p>
      <w:pPr>
        <w:spacing w:after="0" w:line="14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SCHEDULE 14A INFORMATION</w:t>
      </w:r>
    </w:p>
    <w:p>
      <w:pPr>
        <w:ind w:left="4740"/>
        <w:spacing w:after="0" w:line="234" w:lineRule="auto"/>
        <w:rPr>
          <w:sz w:val="20"/>
          <w:szCs w:val="20"/>
          <w:color w:val="auto"/>
        </w:rPr>
      </w:pPr>
      <w:r>
        <w:rPr>
          <w:rFonts w:ascii="Arial" w:cs="Arial" w:eastAsia="Arial" w:hAnsi="Arial"/>
          <w:sz w:val="18"/>
          <w:szCs w:val="18"/>
          <w:b w:val="1"/>
          <w:bCs w:val="1"/>
          <w:color w:val="auto"/>
        </w:rPr>
        <w:t> </w:t>
      </w:r>
    </w:p>
    <w:p>
      <w:pPr>
        <w:jc w:val="center"/>
        <w:ind w:right="-300"/>
        <w:spacing w:after="0" w:line="235" w:lineRule="auto"/>
        <w:rPr>
          <w:sz w:val="20"/>
          <w:szCs w:val="20"/>
          <w:color w:val="auto"/>
        </w:rPr>
      </w:pPr>
      <w:r>
        <w:rPr>
          <w:rFonts w:ascii="Arial" w:cs="Arial" w:eastAsia="Arial" w:hAnsi="Arial"/>
          <w:sz w:val="18"/>
          <w:szCs w:val="18"/>
          <w:b w:val="1"/>
          <w:bCs w:val="1"/>
          <w:color w:val="auto"/>
        </w:rPr>
        <w:t>Proxy Statement Pursuant to Section 14(a) of the</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Preliminary Proxy Statement</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Confidential, for Use of the Commission Only (as permitted by Rule 14a-6(e)(2))</w:t>
      </w:r>
    </w:p>
    <w:p>
      <w:pPr>
        <w:spacing w:after="0" w:line="16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214630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60"/>
        <w:spacing w:after="0"/>
        <w:rPr>
          <w:sz w:val="20"/>
          <w:szCs w:val="20"/>
          <w:color w:val="auto"/>
        </w:rPr>
      </w:pPr>
      <w:r>
        <w:rPr>
          <w:rFonts w:ascii="Arial" w:cs="Arial" w:eastAsia="Arial" w:hAnsi="Arial"/>
          <w:sz w:val="45"/>
          <w:szCs w:val="45"/>
          <w:b w:val="1"/>
          <w:bCs w:val="1"/>
          <w:color w:val="auto"/>
        </w:rPr>
        <w:t>UFP INDUSTRIES, INC.</w:t>
      </w:r>
    </w:p>
    <w:p>
      <w:pPr>
        <w:spacing w:after="0" w:line="14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180340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fee required.</w:t>
      </w:r>
    </w:p>
    <w:p>
      <w:pPr>
        <w:spacing w:after="0" w:line="15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paid previously with preliminary materials.</w:t>
      </w:r>
    </w:p>
    <w:p>
      <w:pPr>
        <w:spacing w:after="0" w:line="1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189230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377825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240030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300" cy="41148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2801 East Beltline NE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Rapids, MI 49525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580"/>
        <w:spacing w:after="0" w:line="266" w:lineRule="auto"/>
        <w:rPr>
          <w:sz w:val="20"/>
          <w:szCs w:val="20"/>
          <w:color w:val="auto"/>
        </w:rPr>
      </w:pPr>
      <w:r>
        <w:rPr>
          <w:rFonts w:ascii="Arial" w:cs="Arial" w:eastAsia="Arial" w:hAnsi="Arial"/>
          <w:sz w:val="16"/>
          <w:szCs w:val="16"/>
          <w:color w:val="auto"/>
        </w:rPr>
        <w:t>The Annual Meeting of Shareholders of UFP Industries, Inc. (the “Company”) will be held at 3310 Eagle Park Dr NE, Grand Rapids, MI 49525, on Wednesday, April 24, 2024, at 8:30 a.m. EDT (registration begins at 8:00 a.m. EDT)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654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126365</wp:posOffset>
            </wp:positionV>
            <wp:extent cx="26606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065" cy="26543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126365</wp:posOffset>
            </wp:positionV>
            <wp:extent cx="26606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065" cy="26543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 xml:space="preserve">  </w:t>
            </w:r>
          </w:p>
        </w:tc>
        <w:tc>
          <w:tcPr>
            <w:tcW w:w="3120" w:type="dxa"/>
            <w:vAlign w:val="bottom"/>
          </w:tcPr>
          <w:p>
            <w:pPr>
              <w:ind w:left="640"/>
              <w:spacing w:after="0"/>
              <w:rPr>
                <w:sz w:val="20"/>
                <w:szCs w:val="20"/>
                <w:color w:val="auto"/>
              </w:rPr>
            </w:pPr>
            <w:r>
              <w:rPr>
                <w:rFonts w:ascii="Arial" w:cs="Arial" w:eastAsia="Arial" w:hAnsi="Arial"/>
                <w:sz w:val="16"/>
                <w:szCs w:val="16"/>
                <w:color w:val="auto"/>
              </w:rPr>
              <w:t xml:space="preserve">  </w:t>
            </w:r>
          </w:p>
        </w:tc>
        <w:tc>
          <w:tcPr>
            <w:tcW w:w="3520" w:type="dxa"/>
            <w:vAlign w:val="bottom"/>
          </w:tcPr>
          <w:p>
            <w:pPr>
              <w:ind w:left="720"/>
              <w:spacing w:after="0"/>
              <w:rPr>
                <w:sz w:val="20"/>
                <w:szCs w:val="20"/>
                <w:color w:val="auto"/>
              </w:rPr>
            </w:pPr>
            <w:r>
              <w:rPr>
                <w:rFonts w:ascii="Arial" w:cs="Arial" w:eastAsia="Arial" w:hAnsi="Arial"/>
                <w:sz w:val="16"/>
                <w:szCs w:val="16"/>
                <w:color w:val="auto"/>
              </w:rPr>
              <w:t xml:space="preserve">  </w:t>
            </w:r>
          </w:p>
        </w:tc>
      </w:tr>
      <w:tr>
        <w:trPr>
          <w:trHeight w:val="358"/>
        </w:trPr>
        <w:tc>
          <w:tcPr>
            <w:tcW w:w="2580" w:type="dxa"/>
            <w:vAlign w:val="bottom"/>
          </w:tcPr>
          <w:p>
            <w:pPr>
              <w:spacing w:after="0"/>
              <w:rPr>
                <w:sz w:val="20"/>
                <w:szCs w:val="20"/>
                <w:color w:val="auto"/>
              </w:rPr>
            </w:pPr>
            <w:r>
              <w:rPr>
                <w:rFonts w:ascii="Arial" w:cs="Arial" w:eastAsia="Arial" w:hAnsi="Arial"/>
                <w:sz w:val="13"/>
                <w:szCs w:val="13"/>
                <w:b w:val="1"/>
                <w:bCs w:val="1"/>
                <w:color w:val="017B52"/>
              </w:rPr>
              <w:t>DATE &amp; TIME</w:t>
            </w:r>
          </w:p>
        </w:tc>
        <w:tc>
          <w:tcPr>
            <w:tcW w:w="3120" w:type="dxa"/>
            <w:vAlign w:val="bottom"/>
          </w:tcPr>
          <w:p>
            <w:pPr>
              <w:ind w:left="640"/>
              <w:spacing w:after="0"/>
              <w:rPr>
                <w:sz w:val="20"/>
                <w:szCs w:val="20"/>
                <w:color w:val="auto"/>
              </w:rPr>
            </w:pPr>
            <w:r>
              <w:rPr>
                <w:rFonts w:ascii="Arial" w:cs="Arial" w:eastAsia="Arial" w:hAnsi="Arial"/>
                <w:sz w:val="13"/>
                <w:szCs w:val="13"/>
                <w:b w:val="1"/>
                <w:bCs w:val="1"/>
                <w:color w:val="017B52"/>
              </w:rPr>
              <w:t>PLACE</w:t>
            </w:r>
          </w:p>
        </w:tc>
        <w:tc>
          <w:tcPr>
            <w:tcW w:w="3520" w:type="dxa"/>
            <w:vAlign w:val="bottom"/>
          </w:tcPr>
          <w:p>
            <w:pPr>
              <w:ind w:left="720"/>
              <w:spacing w:after="0"/>
              <w:rPr>
                <w:sz w:val="20"/>
                <w:szCs w:val="20"/>
                <w:color w:val="auto"/>
              </w:rPr>
            </w:pPr>
            <w:r>
              <w:rPr>
                <w:rFonts w:ascii="Arial" w:cs="Arial" w:eastAsia="Arial" w:hAnsi="Arial"/>
                <w:sz w:val="13"/>
                <w:szCs w:val="13"/>
                <w:b w:val="1"/>
                <w:bCs w:val="1"/>
                <w:color w:val="017B52"/>
              </w:rPr>
              <w:t>RECORD DATE</w:t>
            </w:r>
          </w:p>
        </w:tc>
      </w:tr>
      <w:tr>
        <w:trPr>
          <w:trHeight w:val="372"/>
        </w:trPr>
        <w:tc>
          <w:tcPr>
            <w:tcW w:w="2580" w:type="dxa"/>
            <w:vAlign w:val="bottom"/>
          </w:tcPr>
          <w:p>
            <w:pPr>
              <w:spacing w:after="0"/>
              <w:rPr>
                <w:sz w:val="20"/>
                <w:szCs w:val="20"/>
                <w:color w:val="auto"/>
              </w:rPr>
            </w:pPr>
            <w:r>
              <w:rPr>
                <w:rFonts w:ascii="Arial" w:cs="Arial" w:eastAsia="Arial" w:hAnsi="Arial"/>
                <w:sz w:val="16"/>
                <w:szCs w:val="16"/>
                <w:color w:val="auto"/>
              </w:rPr>
              <w:t>Wednesday, April 24, 2024</w:t>
            </w:r>
          </w:p>
        </w:tc>
        <w:tc>
          <w:tcPr>
            <w:tcW w:w="3120" w:type="dxa"/>
            <w:vAlign w:val="bottom"/>
          </w:tcPr>
          <w:p>
            <w:pPr>
              <w:ind w:left="640"/>
              <w:spacing w:after="0"/>
              <w:rPr>
                <w:sz w:val="20"/>
                <w:szCs w:val="20"/>
                <w:color w:val="auto"/>
              </w:rPr>
            </w:pPr>
            <w:r>
              <w:rPr>
                <w:rFonts w:ascii="Arial" w:cs="Arial" w:eastAsia="Arial" w:hAnsi="Arial"/>
                <w:sz w:val="16"/>
                <w:szCs w:val="16"/>
                <w:color w:val="auto"/>
              </w:rPr>
              <w:t>3310 Eagle Park Dr NE</w:t>
            </w:r>
          </w:p>
        </w:tc>
        <w:tc>
          <w:tcPr>
            <w:tcW w:w="3520" w:type="dxa"/>
            <w:vAlign w:val="bottom"/>
          </w:tcPr>
          <w:p>
            <w:pPr>
              <w:ind w:left="720"/>
              <w:spacing w:after="0"/>
              <w:rPr>
                <w:sz w:val="20"/>
                <w:szCs w:val="20"/>
                <w:color w:val="auto"/>
              </w:rPr>
            </w:pPr>
            <w:r>
              <w:rPr>
                <w:rFonts w:ascii="Arial" w:cs="Arial" w:eastAsia="Arial" w:hAnsi="Arial"/>
                <w:sz w:val="16"/>
                <w:szCs w:val="16"/>
                <w:color w:val="auto"/>
              </w:rPr>
              <w:t>February 28, 2024</w:t>
            </w: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8:30 a.m. EDT (registration</w:t>
            </w:r>
          </w:p>
        </w:tc>
        <w:tc>
          <w:tcPr>
            <w:tcW w:w="3120" w:type="dxa"/>
            <w:vAlign w:val="bottom"/>
          </w:tcPr>
          <w:p>
            <w:pPr>
              <w:ind w:left="640"/>
              <w:spacing w:after="0"/>
              <w:rPr>
                <w:sz w:val="20"/>
                <w:szCs w:val="20"/>
                <w:color w:val="auto"/>
              </w:rPr>
            </w:pPr>
            <w:r>
              <w:rPr>
                <w:rFonts w:ascii="Arial" w:cs="Arial" w:eastAsia="Arial" w:hAnsi="Arial"/>
                <w:sz w:val="16"/>
                <w:szCs w:val="16"/>
                <w:color w:val="auto"/>
              </w:rPr>
              <w:t>Grand Rapids, MI 49525</w:t>
            </w:r>
          </w:p>
        </w:tc>
        <w:tc>
          <w:tcPr>
            <w:tcW w:w="3520" w:type="dxa"/>
            <w:vAlign w:val="bottom"/>
          </w:tcPr>
          <w:p>
            <w:pPr>
              <w:ind w:left="720"/>
              <w:spacing w:after="0"/>
              <w:rPr>
                <w:sz w:val="20"/>
                <w:szCs w:val="20"/>
                <w:color w:val="auto"/>
              </w:rPr>
            </w:pPr>
            <w:r>
              <w:rPr>
                <w:rFonts w:ascii="Arial" w:cs="Arial" w:eastAsia="Arial" w:hAnsi="Arial"/>
                <w:sz w:val="16"/>
                <w:szCs w:val="16"/>
                <w:color w:val="auto"/>
              </w:rPr>
              <w:t>You can vote if you were a shareholder</w:t>
            </w:r>
          </w:p>
        </w:tc>
      </w:t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begins at 8:00 a.m. EDT)</w:t>
            </w:r>
          </w:p>
        </w:tc>
        <w:tc>
          <w:tcPr>
            <w:tcW w:w="3120" w:type="dxa"/>
            <w:vAlign w:val="bottom"/>
          </w:tcPr>
          <w:p>
            <w:pPr>
              <w:spacing w:after="0"/>
              <w:rPr>
                <w:sz w:val="18"/>
                <w:szCs w:val="18"/>
                <w:color w:val="auto"/>
              </w:rPr>
            </w:pPr>
          </w:p>
        </w:tc>
        <w:tc>
          <w:tcPr>
            <w:tcW w:w="3520" w:type="dxa"/>
            <w:vAlign w:val="bottom"/>
          </w:tcPr>
          <w:p>
            <w:pPr>
              <w:ind w:left="720"/>
              <w:spacing w:after="0"/>
              <w:rPr>
                <w:sz w:val="20"/>
                <w:szCs w:val="20"/>
                <w:color w:val="auto"/>
              </w:rPr>
            </w:pPr>
            <w:r>
              <w:rPr>
                <w:rFonts w:ascii="Arial" w:cs="Arial" w:eastAsia="Arial" w:hAnsi="Arial"/>
                <w:sz w:val="16"/>
                <w:szCs w:val="16"/>
                <w:color w:val="auto"/>
              </w:rPr>
              <w:t>of record on February 28, 2024</w:t>
            </w:r>
          </w:p>
        </w:tc>
      </w:tr>
    </w:tbl>
    <w:p>
      <w:pPr>
        <w:spacing w:after="0" w:line="200" w:lineRule="exact"/>
        <w:rPr>
          <w:sz w:val="20"/>
          <w:szCs w:val="20"/>
          <w:color w:val="auto"/>
        </w:rPr>
      </w:pPr>
    </w:p>
    <w:p>
      <w:pPr>
        <w:spacing w:after="0" w:line="287" w:lineRule="exact"/>
        <w:rPr>
          <w:sz w:val="20"/>
          <w:szCs w:val="20"/>
          <w:color w:val="auto"/>
        </w:rPr>
      </w:pPr>
    </w:p>
    <w:p>
      <w:pPr>
        <w:ind w:left="660" w:hanging="357"/>
        <w:spacing w:after="0"/>
        <w:tabs>
          <w:tab w:leader="none" w:pos="66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elect three directors for three-year terms expiring in 2027.</w:t>
      </w:r>
    </w:p>
    <w:p>
      <w:pPr>
        <w:spacing w:after="0" w:line="167" w:lineRule="exact"/>
        <w:rPr>
          <w:rFonts w:ascii="Arial" w:cs="Arial" w:eastAsia="Arial" w:hAnsi="Arial"/>
          <w:sz w:val="16"/>
          <w:szCs w:val="16"/>
          <w:color w:val="017B52"/>
        </w:rPr>
      </w:pPr>
    </w:p>
    <w:p>
      <w:pPr>
        <w:ind w:left="660" w:right="140" w:hanging="357"/>
        <w:spacing w:after="0" w:line="286" w:lineRule="auto"/>
        <w:tabs>
          <w:tab w:leader="none" w:pos="66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consider and vote upon a proposal to approve an Amendment to the Company’s Articles of Incorporation to authorize an additional 100,000,000 shares of Common Stock.</w:t>
      </w:r>
    </w:p>
    <w:p>
      <w:pPr>
        <w:spacing w:after="0" w:line="101" w:lineRule="exact"/>
        <w:rPr>
          <w:rFonts w:ascii="Arial" w:cs="Arial" w:eastAsia="Arial" w:hAnsi="Arial"/>
          <w:sz w:val="16"/>
          <w:szCs w:val="16"/>
          <w:color w:val="017B52"/>
        </w:rPr>
      </w:pPr>
    </w:p>
    <w:p>
      <w:pPr>
        <w:ind w:left="660" w:hanging="357"/>
        <w:spacing w:after="0"/>
        <w:tabs>
          <w:tab w:leader="none" w:pos="66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ratify the appointment of Deloitte &amp; Touche LLP as our independent registered public accounting firm for fiscal 2024.</w:t>
      </w:r>
    </w:p>
    <w:p>
      <w:pPr>
        <w:spacing w:after="0" w:line="167" w:lineRule="exact"/>
        <w:rPr>
          <w:rFonts w:ascii="Arial" w:cs="Arial" w:eastAsia="Arial" w:hAnsi="Arial"/>
          <w:sz w:val="16"/>
          <w:szCs w:val="16"/>
          <w:color w:val="017B52"/>
        </w:rPr>
      </w:pPr>
    </w:p>
    <w:p>
      <w:pPr>
        <w:ind w:left="660" w:hanging="357"/>
        <w:spacing w:after="0"/>
        <w:tabs>
          <w:tab w:leader="none" w:pos="66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participate in an advisory vote to approve the compensation paid to our Named Executives.</w:t>
      </w:r>
    </w:p>
    <w:p>
      <w:pPr>
        <w:spacing w:after="0" w:line="167" w:lineRule="exact"/>
        <w:rPr>
          <w:rFonts w:ascii="Arial" w:cs="Arial" w:eastAsia="Arial" w:hAnsi="Arial"/>
          <w:sz w:val="16"/>
          <w:szCs w:val="16"/>
          <w:color w:val="017B52"/>
        </w:rPr>
      </w:pPr>
    </w:p>
    <w:p>
      <w:pPr>
        <w:ind w:left="660" w:hanging="357"/>
        <w:spacing w:after="0"/>
        <w:tabs>
          <w:tab w:leader="none" w:pos="660" w:val="left"/>
        </w:tabs>
        <w:numPr>
          <w:ilvl w:val="0"/>
          <w:numId w:val="1"/>
        </w:numPr>
        <w:rPr>
          <w:rFonts w:ascii="Arial" w:cs="Arial" w:eastAsia="Arial" w:hAnsi="Arial"/>
          <w:sz w:val="16"/>
          <w:szCs w:val="16"/>
          <w:color w:val="017B52"/>
        </w:rPr>
      </w:pPr>
      <w:r>
        <w:rPr>
          <w:rFonts w:ascii="Arial" w:cs="Arial" w:eastAsia="Arial" w:hAnsi="Arial"/>
          <w:sz w:val="16"/>
          <w:szCs w:val="16"/>
          <w:color w:val="auto"/>
        </w:rPr>
        <w:t>To transact such other business as may properly come before the meeting or any adjournment thereof.</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Shareholders of record at the close of business on February 28, 2024, are entitled to notice of and to vote at the meeting. To vote by telephone, shareholders of record may call toll-free on a touch-tone telephone, 1-800-690-6903, enter the control number located on their proxy card or Notice of Internet Availability of Proxy Materials, and follow the recorded instructions. To vote via the Internet, shareholders of record may go to www.proxyvote.com, enter the control number located on their proxy card or Notice, and follow the instructions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596646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462915"/>
                    </a:xfrm>
                    <a:prstGeom prst="rect">
                      <a:avLst/>
                    </a:prstGeom>
                    <a:noFill/>
                  </pic:spPr>
                </pic:pic>
              </a:graphicData>
            </a:graphic>
          </wp:anchor>
        </w:drawing>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17B52"/>
        </w:rPr>
        <w:t>Your vote is important. Even if you plan to attend the meeting, PLEASE VOTE YOUR PROXY PROMPTLY.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293370</wp:posOffset>
            </wp:positionV>
            <wp:extent cx="116586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33333"/>
        </w:rPr>
        <w:t>David A. Tutas,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General Counsel and Secretary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333333"/>
        </w:rPr>
        <w:t>March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24003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017B5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144145</wp:posOffset>
            </wp:positionV>
            <wp:extent cx="274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3420" w:type="dxa"/>
            <w:vAlign w:val="bottom"/>
            <w:gridSpan w:val="10"/>
          </w:tcPr>
          <w:p>
            <w:pPr>
              <w:spacing w:after="0"/>
              <w:rPr>
                <w:sz w:val="20"/>
                <w:szCs w:val="20"/>
                <w:color w:val="auto"/>
              </w:rPr>
            </w:pPr>
            <w:r>
              <w:rPr>
                <w:rFonts w:ascii="Arial" w:cs="Arial" w:eastAsia="Arial" w:hAnsi="Arial"/>
                <w:sz w:val="16"/>
                <w:szCs w:val="16"/>
                <w:color w:val="0000EE"/>
              </w:rPr>
              <w:t>Notice of 2024 Annual Meeting of Shareholders</w:t>
            </w:r>
          </w:p>
        </w:tc>
        <w:tc>
          <w:tcPr>
            <w:tcW w:w="5800" w:type="dxa"/>
            <w:vAlign w:val="bottom"/>
            <w:gridSpan w:val="5"/>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0000EE"/>
                <w:w w:val="99"/>
              </w:rPr>
              <w:t>2024 Proxy Statement</w:t>
            </w:r>
          </w:p>
        </w:tc>
        <w:tc>
          <w:tcPr>
            <w:tcW w:w="1800" w:type="dxa"/>
            <w:vAlign w:val="bottom"/>
            <w:gridSpan w:val="8"/>
          </w:tcPr>
          <w:p>
            <w:pPr>
              <w:spacing w:after="0"/>
              <w:rPr>
                <w:sz w:val="24"/>
                <w:szCs w:val="24"/>
                <w:color w:val="auto"/>
              </w:rPr>
            </w:pPr>
          </w:p>
        </w:tc>
        <w:tc>
          <w:tcPr>
            <w:tcW w:w="5800" w:type="dxa"/>
            <w:vAlign w:val="bottom"/>
            <w:gridSpan w:val="5"/>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Voting Securities and Record Date</w:t>
            </w:r>
          </w:p>
        </w:tc>
        <w:tc>
          <w:tcPr>
            <w:tcW w:w="160" w:type="dxa"/>
            <w:vAlign w:val="bottom"/>
            <w:gridSpan w:val="2"/>
          </w:tcPr>
          <w:p>
            <w:pPr>
              <w:ind w:left="80"/>
              <w:spacing w:after="0"/>
              <w:rPr>
                <w:sz w:val="20"/>
                <w:szCs w:val="20"/>
                <w:color w:val="auto"/>
              </w:rPr>
            </w:pPr>
            <w:r>
              <w:rPr>
                <w:rFonts w:ascii="Arial" w:cs="Arial" w:eastAsia="Arial" w:hAnsi="Arial"/>
                <w:sz w:val="10"/>
                <w:szCs w:val="10"/>
                <w:color w:val="0000EE"/>
                <w:w w:val="71"/>
              </w:rPr>
              <w:t>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0000EE"/>
                <w:w w:val="99"/>
              </w:rPr>
              <w:t>Election Of Directors</w:t>
            </w:r>
          </w:p>
        </w:tc>
        <w:tc>
          <w:tcPr>
            <w:tcW w:w="860" w:type="dxa"/>
            <w:vAlign w:val="bottom"/>
            <w:gridSpan w:val="3"/>
          </w:tcPr>
          <w:p>
            <w:pPr>
              <w:spacing w:after="0"/>
              <w:rPr>
                <w:sz w:val="24"/>
                <w:szCs w:val="24"/>
                <w:color w:val="auto"/>
              </w:rPr>
            </w:pPr>
          </w:p>
        </w:tc>
        <w:tc>
          <w:tcPr>
            <w:tcW w:w="6740" w:type="dxa"/>
            <w:vAlign w:val="bottom"/>
            <w:gridSpan w:val="10"/>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0"/>
                <w:szCs w:val="10"/>
                <w:b w:val="1"/>
                <w:bCs w:val="1"/>
                <w:color w:val="0000EE"/>
                <w:w w:val="71"/>
              </w:rPr>
              <w:t>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Incumbent Directors – Term Expiring in 2025</w:t>
            </w:r>
          </w:p>
        </w:tc>
        <w:tc>
          <w:tcPr>
            <w:tcW w:w="160" w:type="dxa"/>
            <w:vAlign w:val="bottom"/>
            <w:gridSpan w:val="2"/>
          </w:tcPr>
          <w:p>
            <w:pPr>
              <w:spacing w:after="0"/>
              <w:rPr>
                <w:sz w:val="20"/>
                <w:szCs w:val="20"/>
                <w:color w:val="auto"/>
              </w:rPr>
            </w:pPr>
            <w:r>
              <w:rPr>
                <w:rFonts w:ascii="Arial" w:cs="Arial" w:eastAsia="Arial" w:hAnsi="Arial"/>
                <w:sz w:val="15"/>
                <w:szCs w:val="15"/>
                <w:color w:val="0000EE"/>
                <w:w w:val="71"/>
              </w:rPr>
              <w:t>11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Incumbent Directors – Term Expiring in 2026</w:t>
            </w:r>
          </w:p>
        </w:tc>
        <w:tc>
          <w:tcPr>
            <w:tcW w:w="1000" w:type="dxa"/>
            <w:vAlign w:val="bottom"/>
            <w:gridSpan w:val="3"/>
          </w:tcPr>
          <w:p>
            <w:pPr>
              <w:spacing w:after="0"/>
              <w:rPr>
                <w:sz w:val="20"/>
                <w:szCs w:val="20"/>
                <w:color w:val="auto"/>
              </w:rPr>
            </w:pPr>
            <w:r>
              <w:rPr>
                <w:rFonts w:ascii="Arial" w:cs="Arial" w:eastAsia="Arial" w:hAnsi="Arial"/>
                <w:sz w:val="16"/>
                <w:szCs w:val="16"/>
                <w:color w:val="0000EE"/>
              </w:rPr>
              <w:t>13</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16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rPr>
              <w:t>Board Diversity Matrix</w:t>
            </w:r>
          </w:p>
        </w:tc>
        <w:tc>
          <w:tcPr>
            <w:tcW w:w="1580" w:type="dxa"/>
            <w:vAlign w:val="bottom"/>
            <w:tcBorders>
              <w:top w:val="single" w:sz="8" w:color="0000EE"/>
            </w:tcBorders>
            <w:gridSpan w:val="7"/>
          </w:tcPr>
          <w:p>
            <w:pPr>
              <w:spacing w:after="0"/>
              <w:rPr>
                <w:sz w:val="24"/>
                <w:szCs w:val="24"/>
                <w:color w:val="auto"/>
              </w:rPr>
            </w:pPr>
          </w:p>
        </w:tc>
        <w:tc>
          <w:tcPr>
            <w:tcW w:w="6020" w:type="dxa"/>
            <w:vAlign w:val="bottom"/>
            <w:gridSpan w:val="6"/>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w w:val="71"/>
              </w:rPr>
              <w:t>15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30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Corporate Governance and Board Matters</w:t>
            </w:r>
          </w:p>
        </w:tc>
        <w:tc>
          <w:tcPr>
            <w:tcW w:w="6180" w:type="dxa"/>
            <w:vAlign w:val="bottom"/>
            <w:gridSpan w:val="7"/>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15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rPr>
              <w:t>Proposal to Increase Capital Stock</w:t>
            </w:r>
          </w:p>
        </w:tc>
        <w:tc>
          <w:tcPr>
            <w:tcW w:w="6540" w:type="dxa"/>
            <w:vAlign w:val="bottom"/>
            <w:gridSpan w:val="9"/>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b w:val="1"/>
                <w:bCs w:val="1"/>
                <w:color w:val="0000EE"/>
                <w:w w:val="71"/>
              </w:rPr>
              <w:t>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b w:val="1"/>
                <w:bCs w:val="1"/>
                <w:color w:val="0000EE"/>
              </w:rPr>
              <w:t>Proposal for Ratification of Deloitte &amp; Touche LLP as Independent Registered Public Accounting</w:t>
            </w:r>
          </w:p>
        </w:tc>
        <w:tc>
          <w:tcPr>
            <w:tcW w:w="1000" w:type="dxa"/>
            <w:vAlign w:val="bottom"/>
            <w:gridSpan w:val="3"/>
            <w:vMerge w:val="restart"/>
          </w:tcPr>
          <w:p>
            <w:pPr>
              <w:spacing w:after="0"/>
              <w:rPr>
                <w:sz w:val="20"/>
                <w:szCs w:val="20"/>
                <w:color w:val="auto"/>
              </w:rPr>
            </w:pPr>
            <w:r>
              <w:rPr>
                <w:rFonts w:ascii="Arial" w:cs="Arial" w:eastAsia="Arial" w:hAnsi="Arial"/>
                <w:sz w:val="16"/>
                <w:szCs w:val="16"/>
                <w:b w:val="1"/>
                <w:bCs w:val="1"/>
                <w:color w:val="0000EE"/>
              </w:rPr>
              <w:t>23</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42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6"/>
                <w:szCs w:val="16"/>
                <w:b w:val="1"/>
                <w:bCs w:val="1"/>
                <w:color w:val="0000EE"/>
              </w:rPr>
              <w:t>Firm for Fiscal 2024</w:t>
            </w:r>
          </w:p>
        </w:tc>
        <w:tc>
          <w:tcPr>
            <w:tcW w:w="18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Audit Committee Report</w:t>
            </w:r>
          </w:p>
        </w:tc>
        <w:tc>
          <w:tcPr>
            <w:tcW w:w="7480" w:type="dxa"/>
            <w:vAlign w:val="bottom"/>
            <w:gridSpan w:val="12"/>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Advisory (Non-Binding) Vote on Executive Compensation</w:t>
            </w:r>
          </w:p>
        </w:tc>
        <w:tc>
          <w:tcPr>
            <w:tcW w:w="1000" w:type="dxa"/>
            <w:vAlign w:val="bottom"/>
            <w:gridSpan w:val="3"/>
          </w:tcPr>
          <w:p>
            <w:pPr>
              <w:spacing w:after="0"/>
              <w:rPr>
                <w:sz w:val="20"/>
                <w:szCs w:val="20"/>
                <w:color w:val="auto"/>
              </w:rPr>
            </w:pPr>
            <w:r>
              <w:rPr>
                <w:rFonts w:ascii="Arial" w:cs="Arial" w:eastAsia="Arial" w:hAnsi="Arial"/>
                <w:sz w:val="16"/>
                <w:szCs w:val="16"/>
                <w:color w:val="0000EE"/>
              </w:rPr>
              <w:t>25</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6"/>
                <w:szCs w:val="16"/>
                <w:color w:val="0000EE"/>
              </w:rPr>
              <w:t>Securities Ownership of Management and Directors</w:t>
            </w:r>
          </w:p>
        </w:tc>
        <w:tc>
          <w:tcPr>
            <w:tcW w:w="380" w:type="dxa"/>
            <w:vAlign w:val="bottom"/>
            <w:tcBorders>
              <w:top w:val="single" w:sz="8" w:color="0000EE"/>
            </w:tcBorders>
          </w:tcPr>
          <w:p>
            <w:pPr>
              <w:spacing w:after="0"/>
              <w:rPr>
                <w:sz w:val="24"/>
                <w:szCs w:val="24"/>
                <w:color w:val="auto"/>
              </w:rPr>
            </w:pPr>
          </w:p>
        </w:tc>
        <w:tc>
          <w:tcPr>
            <w:tcW w:w="5120" w:type="dxa"/>
            <w:vAlign w:val="bottom"/>
            <w:gridSpan w:val="2"/>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5"/>
                <w:szCs w:val="15"/>
                <w:color w:val="0000EE"/>
                <w:w w:val="71"/>
              </w:rPr>
              <w:t>26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19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rPr>
              <w:t>Executive Compensation</w:t>
            </w:r>
          </w:p>
        </w:tc>
        <w:tc>
          <w:tcPr>
            <w:tcW w:w="7280" w:type="dxa"/>
            <w:vAlign w:val="bottom"/>
            <w:gridSpan w:val="11"/>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b w:val="1"/>
                <w:bCs w:val="1"/>
                <w:color w:val="0000EE"/>
                <w:w w:val="71"/>
              </w:rPr>
              <w:t>27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Compensation Discussion and Analysis</w:t>
            </w:r>
          </w:p>
        </w:tc>
        <w:tc>
          <w:tcPr>
            <w:tcW w:w="1000" w:type="dxa"/>
            <w:vAlign w:val="bottom"/>
            <w:gridSpan w:val="3"/>
          </w:tcPr>
          <w:p>
            <w:pPr>
              <w:spacing w:after="0"/>
              <w:rPr>
                <w:sz w:val="20"/>
                <w:szCs w:val="20"/>
                <w:color w:val="auto"/>
              </w:rPr>
            </w:pPr>
            <w:r>
              <w:rPr>
                <w:rFonts w:ascii="Arial" w:cs="Arial" w:eastAsia="Arial" w:hAnsi="Arial"/>
                <w:sz w:val="16"/>
                <w:szCs w:val="16"/>
                <w:color w:val="0000EE"/>
              </w:rPr>
              <w:t>27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40" w:type="dxa"/>
            <w:vAlign w:val="bottom"/>
            <w:tcBorders>
              <w:right w:val="single" w:sz="8" w:color="0000EE"/>
            </w:tcBorders>
            <w:gridSpan w:val="7"/>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35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Personnel and Compensation Committee Report</w:t>
            </w:r>
          </w:p>
        </w:tc>
        <w:tc>
          <w:tcPr>
            <w:tcW w:w="5720" w:type="dxa"/>
            <w:vAlign w:val="bottom"/>
            <w:gridSpan w:val="4"/>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5"/>
                <w:szCs w:val="15"/>
                <w:color w:val="0000EE"/>
                <w:w w:val="71"/>
              </w:rPr>
              <w:t>33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Arial" w:cs="Arial" w:eastAsia="Arial" w:hAnsi="Arial"/>
                <w:sz w:val="16"/>
                <w:szCs w:val="16"/>
                <w:color w:val="0000EE"/>
              </w:rPr>
              <w:t>Other Post-Employment Compensation</w:t>
            </w:r>
          </w:p>
        </w:tc>
        <w:tc>
          <w:tcPr>
            <w:tcW w:w="1000" w:type="dxa"/>
            <w:vAlign w:val="bottom"/>
            <w:gridSpan w:val="3"/>
          </w:tcPr>
          <w:p>
            <w:pPr>
              <w:spacing w:after="0"/>
              <w:rPr>
                <w:sz w:val="20"/>
                <w:szCs w:val="20"/>
                <w:color w:val="auto"/>
              </w:rPr>
            </w:pPr>
            <w:r>
              <w:rPr>
                <w:rFonts w:ascii="Arial" w:cs="Arial" w:eastAsia="Arial" w:hAnsi="Arial"/>
                <w:sz w:val="16"/>
                <w:szCs w:val="16"/>
                <w:color w:val="0000EE"/>
              </w:rPr>
              <w:t>40</w:t>
            </w:r>
          </w:p>
        </w:tc>
        <w:tc>
          <w:tcPr>
            <w:tcW w:w="0" w:type="dxa"/>
            <w:vAlign w:val="bottom"/>
          </w:tcPr>
          <w:p>
            <w:pPr>
              <w:spacing w:after="0"/>
              <w:rPr>
                <w:sz w:val="1"/>
                <w:szCs w:val="1"/>
                <w:color w:val="auto"/>
              </w:rPr>
            </w:pPr>
          </w:p>
        </w:tc>
      </w:tr>
      <w:tr>
        <w:trPr>
          <w:trHeight w:val="500"/>
        </w:trPr>
        <w:tc>
          <w:tcPr>
            <w:tcW w:w="800" w:type="dxa"/>
            <w:vAlign w:val="bottom"/>
            <w:tcBorders>
              <w:bottom w:val="single" w:sz="8" w:color="auto"/>
            </w:tcBorders>
          </w:tcPr>
          <w:p>
            <w:pPr>
              <w:spacing w:after="0"/>
              <w:rPr>
                <w:sz w:val="24"/>
                <w:szCs w:val="24"/>
                <w:color w:val="auto"/>
              </w:rPr>
            </w:pPr>
          </w:p>
        </w:tc>
        <w:tc>
          <w:tcPr>
            <w:tcW w:w="15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720"/>
        <w:spacing w:after="0"/>
        <w:rPr>
          <w:sz w:val="20"/>
          <w:szCs w:val="20"/>
          <w:color w:val="auto"/>
        </w:rPr>
      </w:pPr>
      <w:r>
        <w:rPr>
          <w:rFonts w:ascii="Arial" w:cs="Arial" w:eastAsia="Arial" w:hAnsi="Arial"/>
          <w:sz w:val="17"/>
          <w:szCs w:val="17"/>
          <w:b w:val="1"/>
          <w:bCs w:val="1"/>
          <w:color w:val="auto"/>
        </w:rPr>
        <w:t>UFP Industries, Inc.</w:t>
      </w:r>
    </w:p>
    <w:p>
      <w:pPr>
        <w:spacing w:after="0" w:line="31" w:lineRule="exact"/>
        <w:rPr>
          <w:sz w:val="20"/>
          <w:szCs w:val="20"/>
          <w:color w:val="auto"/>
        </w:rPr>
      </w:pPr>
    </w:p>
    <w:p>
      <w:pPr>
        <w:ind w:left="7960"/>
        <w:spacing w:after="0"/>
        <w:rPr>
          <w:sz w:val="20"/>
          <w:szCs w:val="20"/>
          <w:color w:val="auto"/>
        </w:rPr>
      </w:pPr>
      <w:r>
        <w:rPr>
          <w:rFonts w:ascii="Arial" w:cs="Arial" w:eastAsia="Arial" w:hAnsi="Arial"/>
          <w:sz w:val="14"/>
          <w:szCs w:val="14"/>
          <w:color w:val="auto"/>
        </w:rPr>
        <w:t>2801 East Beltline 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Rapids, MI 49525</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Annual Meeting of Shareholders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24, 2024</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General Questions and Answers about the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information regarding the meeting and the voting process, presented in a question and answer format.</w:t>
      </w:r>
    </w:p>
    <w:p>
      <w:pPr>
        <w:spacing w:after="0" w:line="315" w:lineRule="exact"/>
        <w:rPr>
          <w:sz w:val="20"/>
          <w:szCs w:val="20"/>
          <w:color w:val="auto"/>
        </w:rPr>
      </w:pPr>
    </w:p>
    <w:p>
      <w:pPr>
        <w:ind w:left="500" w:hanging="494"/>
        <w:spacing w:after="0"/>
        <w:tabs>
          <w:tab w:leader="none" w:pos="500" w:val="left"/>
        </w:tabs>
        <w:numPr>
          <w:ilvl w:val="0"/>
          <w:numId w:val="2"/>
        </w:numPr>
        <w:rPr>
          <w:rFonts w:ascii="Arial" w:cs="Arial" w:eastAsia="Arial" w:hAnsi="Arial"/>
          <w:sz w:val="22"/>
          <w:szCs w:val="22"/>
          <w:b w:val="1"/>
          <w:bCs w:val="1"/>
          <w:color w:val="333333"/>
        </w:rPr>
      </w:pPr>
      <w:r>
        <w:rPr>
          <w:rFonts w:ascii="Arial" w:cs="Arial" w:eastAsia="Arial" w:hAnsi="Arial"/>
          <w:sz w:val="22"/>
          <w:szCs w:val="22"/>
          <w:b w:val="1"/>
          <w:bCs w:val="1"/>
          <w:color w:val="333333"/>
        </w:rPr>
        <w:t>What is a proxy?</w:t>
      </w:r>
    </w:p>
    <w:p>
      <w:pPr>
        <w:spacing w:after="0" w:line="301" w:lineRule="exact"/>
        <w:rPr>
          <w:sz w:val="20"/>
          <w:szCs w:val="20"/>
          <w:color w:val="auto"/>
        </w:rPr>
      </w:pPr>
    </w:p>
    <w:p>
      <w:pPr>
        <w:ind w:left="500" w:right="60" w:hanging="494"/>
        <w:spacing w:after="0" w:line="189" w:lineRule="auto"/>
        <w:tabs>
          <w:tab w:leader="none" w:pos="500" w:val="left"/>
        </w:tabs>
        <w:numPr>
          <w:ilvl w:val="0"/>
          <w:numId w:val="3"/>
        </w:numPr>
        <w:rPr>
          <w:rFonts w:ascii="Arial" w:cs="Arial" w:eastAsia="Arial" w:hAnsi="Arial"/>
          <w:sz w:val="43"/>
          <w:szCs w:val="43"/>
          <w:b w:val="1"/>
          <w:bCs w:val="1"/>
          <w:color w:val="333333"/>
          <w:vertAlign w:val="subscript"/>
        </w:rPr>
      </w:pPr>
      <w:r>
        <w:rPr>
          <w:rFonts w:ascii="Arial" w:cs="Arial" w:eastAsia="Arial" w:hAnsi="Arial"/>
          <w:sz w:val="16"/>
          <w:szCs w:val="16"/>
          <w:color w:val="auto"/>
        </w:rPr>
        <w:t>A proxy is your authorization for someone else to vote for you in the way that you want to vote and allows you to be represented at our Annual Meeting of Shareholders (“Annual Meeting”) if you are unable to attend. When you complete and submit a proxy card, use the automated telephone voting system, or use the Internet voting system, you are submitting a proxy. The Board of Directors of the Company is soliciting this proxy. As used in this proxy statement, the terms “the Company,” “we,” “our” and “us” all refer to UFP Industries, Inc. and its subsidiaries.</w:t>
      </w:r>
    </w:p>
    <w:p>
      <w:pPr>
        <w:spacing w:after="0" w:line="286" w:lineRule="exact"/>
        <w:rPr>
          <w:sz w:val="20"/>
          <w:szCs w:val="20"/>
          <w:color w:val="auto"/>
        </w:rPr>
      </w:pPr>
    </w:p>
    <w:p>
      <w:pPr>
        <w:ind w:left="500" w:hanging="494"/>
        <w:spacing w:after="0"/>
        <w:tabs>
          <w:tab w:leader="none" w:pos="500" w:val="left"/>
        </w:tabs>
        <w:numPr>
          <w:ilvl w:val="0"/>
          <w:numId w:val="4"/>
        </w:numPr>
        <w:rPr>
          <w:rFonts w:ascii="Arial" w:cs="Arial" w:eastAsia="Arial" w:hAnsi="Arial"/>
          <w:sz w:val="22"/>
          <w:szCs w:val="22"/>
          <w:b w:val="1"/>
          <w:bCs w:val="1"/>
          <w:color w:val="333333"/>
        </w:rPr>
      </w:pPr>
      <w:r>
        <w:rPr>
          <w:rFonts w:ascii="Arial" w:cs="Arial" w:eastAsia="Arial" w:hAnsi="Arial"/>
          <w:sz w:val="22"/>
          <w:szCs w:val="22"/>
          <w:b w:val="1"/>
          <w:bCs w:val="1"/>
          <w:color w:val="333333"/>
        </w:rPr>
        <w:t>What is a proxy statement?</w:t>
      </w:r>
    </w:p>
    <w:p>
      <w:pPr>
        <w:spacing w:after="0" w:line="288" w:lineRule="exact"/>
        <w:rPr>
          <w:sz w:val="20"/>
          <w:szCs w:val="20"/>
          <w:color w:val="auto"/>
        </w:rPr>
      </w:pPr>
    </w:p>
    <w:p>
      <w:pPr>
        <w:jc w:val="both"/>
        <w:ind w:left="500" w:hanging="494"/>
        <w:spacing w:after="0" w:line="181" w:lineRule="auto"/>
        <w:tabs>
          <w:tab w:leader="none" w:pos="500" w:val="left"/>
        </w:tabs>
        <w:numPr>
          <w:ilvl w:val="0"/>
          <w:numId w:val="5"/>
        </w:numPr>
        <w:rPr>
          <w:rFonts w:ascii="Arial" w:cs="Arial" w:eastAsia="Arial" w:hAnsi="Arial"/>
          <w:sz w:val="38"/>
          <w:szCs w:val="38"/>
          <w:b w:val="1"/>
          <w:bCs w:val="1"/>
          <w:color w:val="333333"/>
          <w:vertAlign w:val="subscript"/>
        </w:rPr>
      </w:pPr>
      <w:r>
        <w:rPr>
          <w:rFonts w:ascii="Arial" w:cs="Arial" w:eastAsia="Arial" w:hAnsi="Arial"/>
          <w:sz w:val="15"/>
          <w:szCs w:val="15"/>
          <w:color w:val="auto"/>
        </w:rPr>
        <w:t>A proxy statement is a document required by the United States Securities and Exchange Commission (“SEC”) to explain the matters on which you are being asked to vote by proxy and to disclose certain related information. This proxy statement was first made available to our shareholders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-22225</wp:posOffset>
            </wp:positionV>
            <wp:extent cx="5143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67" w:lineRule="exact"/>
        <w:rPr>
          <w:sz w:val="20"/>
          <w:szCs w:val="20"/>
          <w:color w:val="auto"/>
        </w:rPr>
      </w:pPr>
    </w:p>
    <w:p>
      <w:pPr>
        <w:ind w:left="500" w:right="740" w:hanging="494"/>
        <w:spacing w:after="0" w:line="256" w:lineRule="auto"/>
        <w:tabs>
          <w:tab w:leader="none" w:pos="500" w:val="left"/>
        </w:tabs>
        <w:numPr>
          <w:ilvl w:val="0"/>
          <w:numId w:val="6"/>
        </w:numPr>
        <w:rPr>
          <w:rFonts w:ascii="Arial" w:cs="Arial" w:eastAsia="Arial" w:hAnsi="Arial"/>
          <w:sz w:val="22"/>
          <w:szCs w:val="22"/>
          <w:b w:val="1"/>
          <w:bCs w:val="1"/>
          <w:color w:val="333333"/>
        </w:rPr>
      </w:pPr>
      <w:r>
        <w:rPr>
          <w:rFonts w:ascii="Arial" w:cs="Arial" w:eastAsia="Arial" w:hAnsi="Arial"/>
          <w:sz w:val="22"/>
          <w:szCs w:val="22"/>
          <w:b w:val="1"/>
          <w:bCs w:val="1"/>
          <w:color w:val="333333"/>
        </w:rPr>
        <w:t>Why am I receiving my proxy materials electronically instead of receiving paper copies through the mail?</w:t>
      </w:r>
    </w:p>
    <w:p>
      <w:pPr>
        <w:spacing w:after="0" w:line="244" w:lineRule="exact"/>
        <w:rPr>
          <w:sz w:val="20"/>
          <w:szCs w:val="20"/>
          <w:color w:val="auto"/>
        </w:rPr>
      </w:pPr>
    </w:p>
    <w:p>
      <w:pPr>
        <w:ind w:left="500" w:right="80" w:hanging="494"/>
        <w:spacing w:after="0" w:line="181" w:lineRule="auto"/>
        <w:tabs>
          <w:tab w:leader="none" w:pos="500" w:val="left"/>
        </w:tabs>
        <w:numPr>
          <w:ilvl w:val="0"/>
          <w:numId w:val="7"/>
        </w:numPr>
        <w:rPr>
          <w:rFonts w:ascii="Arial" w:cs="Arial" w:eastAsia="Arial" w:hAnsi="Arial"/>
          <w:sz w:val="38"/>
          <w:szCs w:val="38"/>
          <w:b w:val="1"/>
          <w:bCs w:val="1"/>
          <w:color w:val="333333"/>
          <w:vertAlign w:val="subscript"/>
        </w:rPr>
      </w:pPr>
      <w:r>
        <w:rPr>
          <w:rFonts w:ascii="Arial" w:cs="Arial" w:eastAsia="Arial" w:hAnsi="Arial"/>
          <w:sz w:val="15"/>
          <w:szCs w:val="15"/>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166" w:lineRule="exact"/>
        <w:rPr>
          <w:rFonts w:ascii="Arial" w:cs="Arial" w:eastAsia="Arial" w:hAnsi="Arial"/>
          <w:sz w:val="38"/>
          <w:szCs w:val="38"/>
          <w:b w:val="1"/>
          <w:bCs w:val="1"/>
          <w:color w:val="333333"/>
          <w:vertAlign w:val="subscript"/>
        </w:rPr>
      </w:pPr>
    </w:p>
    <w:p>
      <w:pPr>
        <w:ind w:left="520" w:right="20"/>
        <w:spacing w:after="0" w:line="255" w:lineRule="auto"/>
        <w:rPr>
          <w:rFonts w:ascii="Arial" w:cs="Arial" w:eastAsia="Arial" w:hAnsi="Arial"/>
          <w:sz w:val="38"/>
          <w:szCs w:val="38"/>
          <w:b w:val="1"/>
          <w:bCs w:val="1"/>
          <w:color w:val="333333"/>
          <w:vertAlign w:val="subscript"/>
        </w:rPr>
      </w:pPr>
      <w:r>
        <w:rPr>
          <w:rFonts w:ascii="Arial" w:cs="Arial" w:eastAsia="Arial" w:hAnsi="Arial"/>
          <w:sz w:val="16"/>
          <w:szCs w:val="16"/>
          <w:color w:val="auto"/>
        </w:rPr>
        <w:t>On or about           , 2024,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it. The Notice instructs you on how to electronically access and review all the information contained in this proxy statement and the annual report, and it provides you with information on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-508000</wp:posOffset>
            </wp:positionV>
            <wp:extent cx="5143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12" w:lineRule="exact"/>
        <w:rPr>
          <w:sz w:val="20"/>
          <w:szCs w:val="20"/>
          <w:color w:val="auto"/>
        </w:rPr>
      </w:pPr>
    </w:p>
    <w:p>
      <w:pPr>
        <w:ind w:left="520"/>
        <w:spacing w:after="0" w:line="286" w:lineRule="auto"/>
        <w:rPr>
          <w:sz w:val="20"/>
          <w:szCs w:val="20"/>
          <w:color w:val="auto"/>
        </w:rPr>
      </w:pPr>
      <w:r>
        <w:rPr>
          <w:rFonts w:ascii="Arial" w:cs="Arial" w:eastAsia="Arial" w:hAnsi="Arial"/>
          <w:sz w:val="16"/>
          <w:szCs w:val="16"/>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 w:name="page5"/>
    <w:bookmarkEnd w:id="4"/>
    <w:p>
      <w:pPr>
        <w:spacing w:after="0" w:line="194" w:lineRule="auto"/>
        <w:framePr w:w="9200" w:h="195" w:wrap="auto" w:vAnchor="page" w:hAnchor="page" w:x="1200" w:y="2942"/>
        <w:rPr>
          <w:rFonts w:ascii="Arial" w:cs="Arial" w:eastAsia="Arial" w:hAnsi="Arial"/>
          <w:sz w:val="21"/>
          <w:szCs w:val="21"/>
          <w:b w:val="1"/>
          <w:bCs w:val="1"/>
          <w:color w:val="333333"/>
        </w:rPr>
      </w:pPr>
      <w:r>
        <w:rPr>
          <w:rFonts w:ascii="Arial" w:cs="Arial" w:eastAsia="Arial" w:hAnsi="Arial"/>
          <w:sz w:val="21"/>
          <w:szCs w:val="21"/>
          <w:b w:val="1"/>
          <w:bCs w:val="1"/>
          <w:color w:val="333333"/>
        </w:rPr>
        <w:t>Q:  What is the difference between a shareholder of record and a “street name” holder?</w:t>
      </w:r>
    </w:p>
    <w:p>
      <w:pPr>
        <w:spacing w:after="0" w:line="184" w:lineRule="auto"/>
        <w:framePr w:w="9000" w:h="344" w:wrap="auto" w:vAnchor="page" w:hAnchor="page" w:x="1200" w:y="3482"/>
        <w:rPr>
          <w:rFonts w:ascii="Arial" w:cs="Arial" w:eastAsia="Arial" w:hAnsi="Arial"/>
          <w:sz w:val="15"/>
          <w:szCs w:val="15"/>
          <w:b w:val="1"/>
          <w:bCs w:val="1"/>
          <w:color w:val="333333"/>
        </w:rPr>
      </w:pPr>
      <w:r>
        <w:rPr>
          <w:rFonts w:ascii="Arial" w:cs="Arial" w:eastAsia="Arial" w:hAnsi="Arial"/>
          <w:sz w:val="39"/>
          <w:szCs w:val="39"/>
          <w:b w:val="1"/>
          <w:bCs w:val="1"/>
          <w:color w:val="333333"/>
          <w:vertAlign w:val="subscript"/>
        </w:rPr>
        <w:t>A:</w:t>
      </w:r>
      <w:r>
        <w:rPr>
          <w:rFonts w:ascii="Arial" w:cs="Arial" w:eastAsia="Arial" w:hAnsi="Arial"/>
          <w:sz w:val="15"/>
          <w:szCs w:val="15"/>
          <w:b w:val="1"/>
          <w:bCs w:val="1"/>
          <w:color w:val="333333"/>
        </w:rPr>
        <w:t xml:space="preserve"> If your shares are registered directly in your name, you are considered the shareholder of record with respect to those shares.</w:t>
      </w:r>
    </w:p>
    <w:p>
      <w:pPr>
        <w:spacing w:after="0" w:line="235" w:lineRule="auto"/>
        <w:framePr w:w="8820" w:h="903" w:wrap="auto" w:vAnchor="page" w:hAnchor="page" w:x="1720" w:y="4043"/>
        <w:rPr>
          <w:rFonts w:ascii="Arial" w:cs="Arial" w:eastAsia="Arial" w:hAnsi="Arial"/>
          <w:sz w:val="16"/>
          <w:szCs w:val="16"/>
          <w:b w:val="1"/>
          <w:bCs w:val="1"/>
          <w:color w:val="333333"/>
        </w:rPr>
      </w:pPr>
      <w:r>
        <w:rPr>
          <w:rFonts w:ascii="Arial" w:cs="Arial" w:eastAsia="Arial" w:hAnsi="Arial"/>
          <w:sz w:val="16"/>
          <w:szCs w:val="16"/>
          <w:b w:val="1"/>
          <w:bCs w:val="1"/>
          <w:color w:val="333333"/>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on how to vote their shares. See “How can I vote?” below.</w:t>
      </w:r>
    </w:p>
    <w:p>
      <w:pPr>
        <w:spacing w:after="0" w:line="185" w:lineRule="auto"/>
        <w:framePr w:w="2240" w:h="195" w:wrap="auto" w:vAnchor="page" w:hAnchor="page" w:x="1200" w:y="5304"/>
        <w:rPr>
          <w:rFonts w:ascii="Arial" w:cs="Arial" w:eastAsia="Arial" w:hAnsi="Arial"/>
          <w:sz w:val="22"/>
          <w:szCs w:val="22"/>
          <w:b w:val="1"/>
          <w:bCs w:val="1"/>
          <w:color w:val="333333"/>
        </w:rPr>
      </w:pPr>
      <w:r>
        <w:rPr>
          <w:rFonts w:ascii="Arial" w:cs="Arial" w:eastAsia="Arial" w:hAnsi="Arial"/>
          <w:sz w:val="22"/>
          <w:szCs w:val="22"/>
          <w:b w:val="1"/>
          <w:bCs w:val="1"/>
          <w:color w:val="333333"/>
        </w:rPr>
        <w:t>Q:  How can I vote?</w:t>
      </w:r>
    </w:p>
    <w:p>
      <w:pPr>
        <w:spacing w:after="0" w:line="218" w:lineRule="auto"/>
        <w:framePr w:w="8500" w:h="336" w:wrap="auto" w:vAnchor="page" w:hAnchor="page" w:x="1720" w:y="5555"/>
        <w:rPr>
          <w:rFonts w:ascii="Arial" w:cs="Arial" w:eastAsia="Arial" w:hAnsi="Arial"/>
          <w:sz w:val="16"/>
          <w:szCs w:val="16"/>
          <w:b w:val="1"/>
          <w:bCs w:val="1"/>
          <w:color w:val="333333"/>
        </w:rPr>
      </w:pPr>
      <w:r>
        <w:rPr>
          <w:rFonts w:ascii="Arial" w:cs="Arial" w:eastAsia="Arial" w:hAnsi="Arial"/>
          <w:sz w:val="16"/>
          <w:szCs w:val="16"/>
          <w:b w:val="1"/>
          <w:bCs w:val="1"/>
          <w:color w:val="333333"/>
        </w:rPr>
        <w:t>If your shares are held in “street name,” follow the instructions provided by your bank, broker or other nominee. If your shares are held in your name, you may vote in one of four ways:</w:t>
      </w:r>
    </w:p>
    <w:p>
      <w:pPr>
        <w:spacing w:after="0" w:line="228" w:lineRule="auto"/>
        <w:framePr w:w="8920" w:h="525" w:wrap="auto" w:vAnchor="page" w:hAnchor="page" w:x="1700" w:y="2059"/>
        <w:rPr>
          <w:rFonts w:ascii="Arial" w:cs="Arial" w:eastAsia="Arial" w:hAnsi="Arial"/>
          <w:sz w:val="16"/>
          <w:szCs w:val="16"/>
          <w:b w:val="1"/>
          <w:bCs w:val="1"/>
          <w:color w:val="333333"/>
        </w:rPr>
      </w:pPr>
      <w:r>
        <w:rPr>
          <w:rFonts w:ascii="Arial" w:cs="Arial" w:eastAsia="Arial" w:hAnsi="Arial"/>
          <w:sz w:val="16"/>
          <w:szCs w:val="16"/>
          <w:b w:val="1"/>
          <w:bCs w:val="1"/>
          <w:color w:val="333333"/>
        </w:rPr>
        <w:t>Only record holders of the Company’s common stock at the close of business on February 28, 2024 (the “Record Date”), can vote at the Annual Meeting. Each shareholder of record has one vote, for each share of common stock owned, on each matter presented for a vote at the Annual Meeting.</w:t>
      </w:r>
    </w:p>
    <w:p>
      <w:pPr>
        <w:spacing w:after="0" w:line="191" w:lineRule="auto"/>
        <w:framePr w:w="8640" w:h="147" w:wrap="auto" w:vAnchor="page" w:hAnchor="page" w:x="1700" w:y="965"/>
        <w:rPr>
          <w:rFonts w:ascii="Arial" w:cs="Arial" w:eastAsia="Arial" w:hAnsi="Arial"/>
          <w:sz w:val="16"/>
          <w:szCs w:val="16"/>
          <w:b w:val="1"/>
          <w:bCs w:val="1"/>
          <w:color w:val="333333"/>
        </w:rPr>
      </w:pPr>
      <w:r>
        <w:rPr>
          <w:rFonts w:ascii="Arial" w:cs="Arial" w:eastAsia="Arial" w:hAnsi="Arial"/>
          <w:sz w:val="16"/>
          <w:szCs w:val="16"/>
          <w:b w:val="1"/>
          <w:bCs w:val="1"/>
          <w:color w:val="333333"/>
        </w:rPr>
        <w:t xml:space="preserve">You may view this proxy statement and our 2023 Report to Shareholders electronically by going to </w:t>
      </w:r>
      <w:r>
        <w:rPr>
          <w:rFonts w:ascii="Arial" w:cs="Arial" w:eastAsia="Arial" w:hAnsi="Arial"/>
          <w:sz w:val="16"/>
          <w:szCs w:val="16"/>
          <w:b w:val="1"/>
          <w:bCs w:val="1"/>
          <w:u w:val="single" w:color="auto"/>
          <w:color w:val="333333"/>
        </w:rPr>
        <w:t>www.proxyvote.com.</w:t>
      </w:r>
    </w:p>
    <w:p>
      <w:pPr>
        <w:spacing w:after="0" w:line="342" w:lineRule="auto"/>
        <w:framePr w:w="6880" w:h="722" w:wrap="auto" w:vAnchor="page" w:hAnchor="page" w:x="1200" w:y="431"/>
        <w:rPr>
          <w:rFonts w:ascii="Arial" w:cs="Arial" w:eastAsia="Arial" w:hAnsi="Arial"/>
          <w:sz w:val="22"/>
          <w:szCs w:val="22"/>
          <w:b w:val="1"/>
          <w:bCs w:val="1"/>
          <w:color w:val="333333"/>
        </w:rPr>
      </w:pPr>
      <w:r>
        <w:rPr>
          <w:rFonts w:ascii="Arial" w:cs="Arial" w:eastAsia="Arial" w:hAnsi="Arial"/>
          <w:sz w:val="22"/>
          <w:szCs w:val="22"/>
          <w:b w:val="1"/>
          <w:bCs w:val="1"/>
          <w:color w:val="333333"/>
        </w:rPr>
        <w:t>Q: Where is this year’s proxy statement available electronically? A:</w:t>
      </w:r>
    </w:p>
    <w:p>
      <w:pPr>
        <w:spacing w:after="0" w:line="342" w:lineRule="auto"/>
        <w:framePr w:w="2120" w:h="722" w:wrap="auto" w:vAnchor="page" w:hAnchor="page" w:x="1200" w:y="1524"/>
        <w:rPr>
          <w:rFonts w:ascii="Arial" w:cs="Arial" w:eastAsia="Arial" w:hAnsi="Arial"/>
          <w:sz w:val="22"/>
          <w:szCs w:val="22"/>
          <w:b w:val="1"/>
          <w:bCs w:val="1"/>
          <w:color w:val="333333"/>
        </w:rPr>
      </w:pPr>
      <w:r>
        <w:rPr>
          <w:rFonts w:ascii="Arial" w:cs="Arial" w:eastAsia="Arial" w:hAnsi="Arial"/>
          <w:sz w:val="22"/>
          <w:szCs w:val="22"/>
          <w:b w:val="1"/>
          <w:bCs w:val="1"/>
          <w:color w:val="333333"/>
        </w:rPr>
        <w:t>Q: Who can vote? A:</w:t>
      </w:r>
    </w:p>
    <w:p>
      <w:pPr>
        <w:spacing w:after="0" w:line="181" w:lineRule="auto"/>
        <w:framePr w:w="1620" w:h="122" w:wrap="auto" w:vAnchor="page" w:hAnchor="page" w:x="1200" w:y="14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18"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157"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144"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17"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200" w:lineRule="exact"/>
        <w:rPr>
          <w:rFonts w:ascii="Times New Roman" w:cs="Times New Roman" w:eastAsia="Times New Roman" w:hAnsi="Times New Roman"/>
          <w:sz w:val="14"/>
          <w:szCs w:val="14"/>
          <w:b w:val="1"/>
          <w:bCs w:val="1"/>
          <w:u w:val="single" w:color="auto"/>
          <w:color w:val="0000EE"/>
        </w:rPr>
      </w:pPr>
    </w:p>
    <w:p>
      <w:pPr>
        <w:spacing w:after="0" w:line="8" w:lineRule="exact"/>
        <w:rPr>
          <w:rFonts w:ascii="Times New Roman" w:cs="Times New Roman" w:eastAsia="Times New Roman" w:hAnsi="Times New Roman"/>
          <w:sz w:val="14"/>
          <w:szCs w:val="14"/>
          <w:b w:val="1"/>
          <w:bCs w:val="1"/>
          <w:u w:val="single" w:color="auto"/>
          <w:color w:val="0000EE"/>
        </w:rPr>
      </w:pPr>
    </w:p>
    <w:p>
      <w:pPr>
        <w:spacing w:after="0" w:line="296" w:lineRule="exact"/>
        <w:rPr>
          <w:rFonts w:ascii="Times New Roman" w:cs="Times New Roman" w:eastAsia="Times New Roman" w:hAnsi="Times New Roman"/>
          <w:sz w:val="14"/>
          <w:szCs w:val="14"/>
          <w:b w:val="1"/>
          <w:bCs w:val="1"/>
          <w:u w:val="single" w:color="auto"/>
          <w:color w:val="0000EE"/>
        </w:rPr>
      </w:pPr>
    </w:p>
    <w:p>
      <w:pPr>
        <w:spacing w:after="0"/>
        <w:tabs>
          <w:tab w:leader="none" w:pos="520" w:val="left"/>
          <w:tab w:leader="none" w:pos="3160" w:val="left"/>
        </w:tabs>
        <w:rPr>
          <w:sz w:val="20"/>
          <w:szCs w:val="20"/>
          <w:color w:val="auto"/>
        </w:rPr>
      </w:pPr>
      <w:r>
        <w:rPr>
          <w:rFonts w:ascii="Arial" w:cs="Arial" w:eastAsia="Arial" w:hAnsi="Arial"/>
          <w:sz w:val="22"/>
          <w:szCs w:val="22"/>
          <w:b w:val="1"/>
          <w:bCs w:val="1"/>
          <w:color w:val="017B52"/>
        </w:rPr>
        <w:t>A:</w:t>
      </w:r>
      <w:r>
        <w:rPr>
          <w:sz w:val="20"/>
          <w:szCs w:val="20"/>
          <w:color w:val="auto"/>
        </w:rPr>
        <w:tab/>
      </w:r>
      <w:r>
        <w:rPr>
          <w:rFonts w:ascii="Arial" w:cs="Arial" w:eastAsia="Arial" w:hAnsi="Arial"/>
          <w:sz w:val="13"/>
          <w:szCs w:val="13"/>
          <w:b w:val="1"/>
          <w:bCs w:val="1"/>
          <w:color w:val="017B52"/>
        </w:rPr>
        <w:t>VIA INTERNET:</w:t>
      </w:r>
      <w:r>
        <w:rPr>
          <w:sz w:val="20"/>
          <w:szCs w:val="20"/>
          <w:color w:val="auto"/>
        </w:rPr>
        <w:tab/>
      </w:r>
      <w:r>
        <w:rPr>
          <w:rFonts w:ascii="Arial" w:cs="Arial" w:eastAsia="Arial" w:hAnsi="Arial"/>
          <w:sz w:val="12"/>
          <w:szCs w:val="12"/>
          <w:b w:val="1"/>
          <w:bCs w:val="1"/>
          <w:color w:val="4D8C6C"/>
        </w:rPr>
        <w:t>BY TELEPHONE:</w:t>
      </w:r>
    </w:p>
    <w:p>
      <w:pPr>
        <w:sectPr>
          <w:pgSz w:w="11900" w:h="16838" w:orient="portrait"/>
          <w:cols w:equalWidth="0" w:num="1">
            <w:col w:w="9219"/>
          </w:cols>
          <w:pgMar w:left="1240" w:top="1440" w:right="1440" w:bottom="1440" w:gutter="0" w:footer="0" w:header="0"/>
        </w:sectPr>
      </w:pPr>
    </w:p>
    <w:p>
      <w:pPr>
        <w:spacing w:after="0" w:line="301" w:lineRule="exact"/>
        <w:rPr>
          <w:rFonts w:ascii="Times New Roman" w:cs="Times New Roman" w:eastAsia="Times New Roman" w:hAnsi="Times New Roman"/>
          <w:sz w:val="14"/>
          <w:szCs w:val="14"/>
          <w:b w:val="1"/>
          <w:bCs w:val="1"/>
          <w:u w:val="single" w:color="auto"/>
          <w:color w:val="0000EE"/>
        </w:rPr>
      </w:pPr>
    </w:p>
    <w:p>
      <w:pPr>
        <w:jc w:val="both"/>
        <w:ind w:left="540" w:right="60"/>
        <w:spacing w:after="0" w:line="253" w:lineRule="auto"/>
        <w:rPr>
          <w:sz w:val="20"/>
          <w:szCs w:val="20"/>
          <w:color w:val="auto"/>
        </w:rPr>
      </w:pPr>
      <w:r>
        <w:rPr>
          <w:rFonts w:ascii="Arial" w:cs="Arial" w:eastAsia="Arial" w:hAnsi="Arial"/>
          <w:sz w:val="16"/>
          <w:szCs w:val="16"/>
          <w:color w:val="333333"/>
        </w:rPr>
        <w:t xml:space="preserve">Go to </w:t>
      </w:r>
      <w:r>
        <w:rPr>
          <w:rFonts w:ascii="Arial" w:cs="Arial" w:eastAsia="Arial" w:hAnsi="Arial"/>
          <w:sz w:val="16"/>
          <w:szCs w:val="16"/>
          <w:color w:val="3333FF"/>
        </w:rPr>
        <w:t>www.proxyvote.com</w:t>
      </w:r>
      <w:r>
        <w:rPr>
          <w:rFonts w:ascii="Arial" w:cs="Arial" w:eastAsia="Arial" w:hAnsi="Arial"/>
          <w:sz w:val="16"/>
          <w:szCs w:val="16"/>
          <w:color w:val="333333"/>
        </w:rPr>
        <w:t xml:space="preserve"> and follow the instructions. You may do this at your convenience,</w:t>
      </w:r>
    </w:p>
    <w:p>
      <w:pPr>
        <w:spacing w:after="0" w:line="1" w:lineRule="exact"/>
        <w:rPr>
          <w:rFonts w:ascii="Times New Roman" w:cs="Times New Roman" w:eastAsia="Times New Roman" w:hAnsi="Times New Roman"/>
          <w:sz w:val="14"/>
          <w:szCs w:val="14"/>
          <w:b w:val="1"/>
          <w:bCs w:val="1"/>
          <w:u w:val="single" w:color="auto"/>
          <w:color w:val="0000EE"/>
        </w:rPr>
      </w:pPr>
    </w:p>
    <w:p>
      <w:pPr>
        <w:ind w:left="540"/>
        <w:spacing w:after="0" w:line="251" w:lineRule="auto"/>
        <w:rPr>
          <w:sz w:val="20"/>
          <w:szCs w:val="20"/>
          <w:color w:val="auto"/>
        </w:rPr>
      </w:pPr>
      <w:r>
        <w:rPr>
          <w:rFonts w:ascii="Arial" w:cs="Arial" w:eastAsia="Arial" w:hAnsi="Arial"/>
          <w:sz w:val="16"/>
          <w:szCs w:val="16"/>
          <w:color w:val="333333"/>
        </w:rPr>
        <w:t>24 hours a day, 7 days a week. You will need to have your proxy card or Notice in hand. The deadline for Internet voting is 11:59 p.m. EDT, April 23, 2024.</w:t>
      </w:r>
    </w:p>
    <w:p>
      <w:pPr>
        <w:spacing w:after="0" w:line="20" w:lineRule="exact"/>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br w:type="column"/>
      </w:r>
    </w:p>
    <w:p>
      <w:pPr>
        <w:spacing w:after="0" w:line="281"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Call toll-free 1-800-690-6903 and follow</w:t>
      </w:r>
    </w:p>
    <w:p>
      <w:pPr>
        <w:spacing w:after="0" w:line="21"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the instructions. You may do this at your</w:t>
      </w:r>
    </w:p>
    <w:p>
      <w:pPr>
        <w:spacing w:after="0" w:line="5"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convenience, 24 hours a day, 7 days a</w:t>
      </w:r>
    </w:p>
    <w:p>
      <w:pPr>
        <w:spacing w:after="0" w:line="5"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week. You will need to have your proxy</w:t>
      </w:r>
    </w:p>
    <w:p>
      <w:pPr>
        <w:spacing w:after="0" w:line="5"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card or Notice in hand. The deadline for</w:t>
      </w:r>
    </w:p>
    <w:p>
      <w:pPr>
        <w:spacing w:after="0" w:line="5"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voting by telephone is 11:59 p.m. EDT,</w:t>
      </w:r>
    </w:p>
    <w:p>
      <w:pPr>
        <w:spacing w:after="0" w:line="5"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April 23, 2024.</w:t>
      </w:r>
    </w:p>
    <w:p>
      <w:pPr>
        <w:spacing w:after="0" w:line="411" w:lineRule="exact"/>
        <w:rPr>
          <w:rFonts w:ascii="Times New Roman" w:cs="Times New Roman" w:eastAsia="Times New Roman" w:hAnsi="Times New Roman"/>
          <w:sz w:val="14"/>
          <w:szCs w:val="14"/>
          <w:b w:val="1"/>
          <w:bCs w:val="1"/>
          <w:u w:val="single" w:color="auto"/>
          <w:color w:val="0000EE"/>
        </w:rPr>
      </w:pPr>
    </w:p>
    <w:p>
      <w:pPr>
        <w:sectPr>
          <w:pgSz w:w="11900" w:h="16838" w:orient="portrait"/>
          <w:cols w:equalWidth="0" w:num="2">
            <w:col w:w="2860" w:space="320"/>
            <w:col w:w="6039"/>
          </w:cols>
          <w:pgMar w:left="1240" w:top="1440" w:right="1440" w:bottom="1440" w:gutter="0" w:footer="0" w:header="0"/>
          <w:type w:val="continuous"/>
        </w:sectPr>
      </w:pPr>
    </w:p>
    <w:p>
      <w:pPr>
        <w:spacing w:after="0" w:line="168" w:lineRule="exact"/>
        <w:rPr>
          <w:rFonts w:ascii="Times New Roman" w:cs="Times New Roman" w:eastAsia="Times New Roman" w:hAnsi="Times New Roman"/>
          <w:sz w:val="14"/>
          <w:szCs w:val="14"/>
          <w:b w:val="1"/>
          <w:bCs w:val="1"/>
          <w:u w:val="single" w:color="auto"/>
          <w:color w:val="0000EE"/>
        </w:rPr>
      </w:pPr>
    </w:p>
    <w:p>
      <w:pPr>
        <w:ind w:left="540"/>
        <w:spacing w:after="0"/>
        <w:rPr>
          <w:sz w:val="20"/>
          <w:szCs w:val="20"/>
          <w:color w:val="auto"/>
        </w:rPr>
      </w:pPr>
      <w:r>
        <w:rPr>
          <w:rFonts w:ascii="Arial" w:cs="Arial" w:eastAsia="Arial" w:hAnsi="Arial"/>
          <w:sz w:val="13"/>
          <w:szCs w:val="13"/>
          <w:b w:val="1"/>
          <w:bCs w:val="1"/>
          <w:color w:val="4D8C6C"/>
        </w:rPr>
        <w:t>IN WRITING:</w:t>
      </w:r>
    </w:p>
    <w:p>
      <w:pPr>
        <w:spacing w:after="0" w:line="246" w:lineRule="exact"/>
        <w:rPr>
          <w:rFonts w:ascii="Times New Roman" w:cs="Times New Roman" w:eastAsia="Times New Roman" w:hAnsi="Times New Roman"/>
          <w:sz w:val="14"/>
          <w:szCs w:val="14"/>
          <w:b w:val="1"/>
          <w:bCs w:val="1"/>
          <w:u w:val="single" w:color="auto"/>
          <w:color w:val="0000EE"/>
        </w:rPr>
      </w:pPr>
    </w:p>
    <w:p>
      <w:pPr>
        <w:ind w:left="540"/>
        <w:spacing w:after="0" w:line="256" w:lineRule="auto"/>
        <w:rPr>
          <w:sz w:val="20"/>
          <w:szCs w:val="20"/>
          <w:color w:val="auto"/>
        </w:rPr>
      </w:pPr>
      <w:r>
        <w:rPr>
          <w:rFonts w:ascii="Arial" w:cs="Arial" w:eastAsia="Arial" w:hAnsi="Arial"/>
          <w:sz w:val="16"/>
          <w:szCs w:val="16"/>
          <w:color w:val="333333"/>
        </w:rPr>
        <w:t>Complete, sign, date and return the proxy card in the return envelope provided with your proxy card, so that it is received no later than April 23, 2024.</w:t>
      </w:r>
    </w:p>
    <w:p>
      <w:pPr>
        <w:spacing w:after="0" w:line="20" w:lineRule="exact"/>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br w:type="column"/>
      </w:r>
    </w:p>
    <w:p>
      <w:pPr>
        <w:spacing w:after="0" w:line="148"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3"/>
          <w:szCs w:val="13"/>
          <w:b w:val="1"/>
          <w:bCs w:val="1"/>
          <w:color w:val="4D8C6C"/>
        </w:rPr>
        <w:t>IN PERSON:</w:t>
      </w:r>
    </w:p>
    <w:p>
      <w:pPr>
        <w:spacing w:after="0" w:line="246"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Attend the Annual Meeting to cast your</w:t>
      </w:r>
    </w:p>
    <w:p>
      <w:pPr>
        <w:spacing w:after="0" w:line="21" w:lineRule="exact"/>
        <w:rPr>
          <w:rFonts w:ascii="Times New Roman" w:cs="Times New Roman" w:eastAsia="Times New Roman" w:hAnsi="Times New Roman"/>
          <w:sz w:val="14"/>
          <w:szCs w:val="14"/>
          <w:b w:val="1"/>
          <w:bCs w:val="1"/>
          <w:u w:val="single" w:color="auto"/>
          <w:color w:val="0000EE"/>
        </w:rPr>
      </w:pPr>
    </w:p>
    <w:p>
      <w:pPr>
        <w:spacing w:after="0"/>
        <w:rPr>
          <w:sz w:val="20"/>
          <w:szCs w:val="20"/>
          <w:color w:val="auto"/>
        </w:rPr>
      </w:pPr>
      <w:r>
        <w:rPr>
          <w:rFonts w:ascii="Arial" w:cs="Arial" w:eastAsia="Arial" w:hAnsi="Arial"/>
          <w:sz w:val="16"/>
          <w:szCs w:val="16"/>
          <w:color w:val="333333"/>
        </w:rPr>
        <w:t>vote.</w:t>
      </w:r>
    </w:p>
    <w:p>
      <w:pPr>
        <w:spacing w:after="0" w:line="792" w:lineRule="exact"/>
        <w:rPr>
          <w:rFonts w:ascii="Times New Roman" w:cs="Times New Roman" w:eastAsia="Times New Roman" w:hAnsi="Times New Roman"/>
          <w:sz w:val="14"/>
          <w:szCs w:val="14"/>
          <w:b w:val="1"/>
          <w:bCs w:val="1"/>
          <w:u w:val="single" w:color="auto"/>
          <w:color w:val="0000EE"/>
        </w:rPr>
      </w:pPr>
    </w:p>
    <w:p>
      <w:pPr>
        <w:sectPr>
          <w:pgSz w:w="11900" w:h="16838" w:orient="portrait"/>
          <w:cols w:equalWidth="0" w:num="2">
            <w:col w:w="2820" w:space="360"/>
            <w:col w:w="6039"/>
          </w:cols>
          <w:pgMar w:left="1240" w:top="1440" w:right="1440" w:bottom="1440" w:gutter="0" w:footer="0" w:header="0"/>
          <w:type w:val="continuous"/>
        </w:sectPr>
      </w:pPr>
    </w:p>
    <w:p>
      <w:pPr>
        <w:spacing w:after="0" w:line="84" w:lineRule="exact"/>
        <w:rPr>
          <w:rFonts w:ascii="Times New Roman" w:cs="Times New Roman" w:eastAsia="Times New Roman" w:hAnsi="Times New Roman"/>
          <w:sz w:val="14"/>
          <w:szCs w:val="14"/>
          <w:b w:val="1"/>
          <w:bCs w:val="1"/>
          <w:u w:val="single" w:color="auto"/>
          <w:color w:val="0000EE"/>
        </w:rPr>
      </w:pPr>
    </w:p>
    <w:p>
      <w:pPr>
        <w:jc w:val="center"/>
        <w:ind w:right="-180"/>
        <w:spacing w:after="0"/>
        <w:rPr>
          <w:sz w:val="20"/>
          <w:szCs w:val="20"/>
          <w:color w:val="auto"/>
        </w:rPr>
      </w:pPr>
      <w:r>
        <w:rPr>
          <w:rFonts w:ascii="Arial" w:cs="Arial" w:eastAsia="Arial" w:hAnsi="Arial"/>
          <w:sz w:val="12"/>
          <w:szCs w:val="12"/>
          <w:b w:val="1"/>
          <w:bCs w:val="1"/>
          <w:color w:val="auto"/>
        </w:rPr>
        <w:t>UFP Industries      5</w:t>
      </w:r>
      <w:r>
        <w:rPr>
          <w:rFonts w:ascii="Arial" w:cs="Arial" w:eastAsia="Arial" w:hAnsi="Arial"/>
          <w:sz w:val="12"/>
          <w:szCs w:val="12"/>
          <w:color w:val="auto"/>
        </w:rPr>
        <w:t xml:space="preserve">      2024 Proxy Statement</w:t>
      </w:r>
    </w:p>
    <w:p>
      <w:pPr>
        <w:spacing w:after="0" w:line="20" w:lineRule="exact"/>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type w:val="continuous"/>
        </w:sectPr>
      </w:pPr>
    </w:p>
    <w:bookmarkStart w:id="5" w:name="page6"/>
    <w:bookmarkEnd w:id="5"/>
    <w:p>
      <w:pPr>
        <w:spacing w:after="0" w:line="198" w:lineRule="auto"/>
        <w:framePr w:w="2800" w:h="114" w:wrap="auto" w:vAnchor="page" w:hAnchor="page" w:x="4540" w:y="11258"/>
        <w:rPr>
          <w:rFonts w:ascii="Arial" w:cs="Arial" w:eastAsia="Arial" w:hAnsi="Arial"/>
          <w:sz w:val="12"/>
          <w:szCs w:val="12"/>
          <w:b w:val="1"/>
          <w:bCs w:val="1"/>
          <w:color w:val="auto"/>
        </w:rPr>
      </w:pPr>
      <w:r>
        <w:rPr>
          <w:rFonts w:ascii="Arial" w:cs="Arial" w:eastAsia="Arial" w:hAnsi="Arial"/>
          <w:sz w:val="12"/>
          <w:szCs w:val="12"/>
          <w:b w:val="1"/>
          <w:bCs w:val="1"/>
          <w:color w:val="auto"/>
        </w:rPr>
        <w:t>UFP Industries      6</w:t>
      </w:r>
      <w:r>
        <w:rPr>
          <w:rFonts w:ascii="Arial" w:cs="Arial" w:eastAsia="Arial" w:hAnsi="Arial"/>
          <w:sz w:val="12"/>
          <w:szCs w:val="12"/>
          <w:color w:val="auto"/>
        </w:rPr>
        <w:t xml:space="preserve">      2024 Proxy Statement</w:t>
      </w:r>
    </w:p>
    <w:p>
      <w:pPr>
        <w:spacing w:after="0" w:line="181" w:lineRule="auto"/>
        <w:framePr w:w="1620" w:h="122" w:wrap="auto" w:vAnchor="page" w:hAnchor="page" w:x="1200" w:y="140"/>
        <w:rPr>
          <w:rFonts w:ascii="Times New Roman" w:cs="Times New Roman" w:eastAsia="Times New Roman" w:hAnsi="Times New Roman"/>
          <w:sz w:val="14"/>
          <w:szCs w:val="14"/>
          <w:b w:val="1"/>
          <w:bCs w:val="1"/>
          <w:u w:val="single" w:color="auto"/>
          <w:color w:val="0000EE"/>
        </w:rPr>
      </w:pPr>
      <w:r>
        <w:rPr>
          <w:rFonts w:ascii="Times New Roman" w:cs="Times New Roman" w:eastAsia="Times New Roman" w:hAnsi="Times New Roman"/>
          <w:sz w:val="14"/>
          <w:szCs w:val="14"/>
          <w:b w:val="1"/>
          <w:bCs w:val="1"/>
          <w:u w:val="single" w:color="auto"/>
          <w:color w:val="0000EE"/>
        </w:rPr>
        <w:t>TABLE OF CONTENTS</w:t>
      </w:r>
    </w:p>
    <w:p>
      <w:pPr>
        <w:spacing w:after="0" w:line="235" w:lineRule="auto"/>
        <w:framePr w:w="8900" w:h="903" w:wrap="auto" w:vAnchor="page" w:hAnchor="page" w:x="1720" w:y="439"/>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If you submit a proxy to the Company before the Annual Meeting, whether by proxy card, telephone or Internet, the persons named as proxies will vote your shares as you direct. If no instructions are specified, the proxy will be voted as follows: for the three directors nominated by the Board of Directors; for the ratification of the appointment of Deloitte &amp; Touche LLP as the Company’s independent registered public accounting firm for the fiscal year ending December 28, 2024; for the non-binding, advisory proposal to approve the compensation paid to our Named Executives.</w:t>
      </w:r>
    </w:p>
    <w:p>
      <w:pPr>
        <w:spacing w:after="0" w:line="185" w:lineRule="auto"/>
        <w:framePr w:w="3020" w:h="195" w:wrap="auto" w:vAnchor="page" w:hAnchor="page" w:x="1200" w:y="1700"/>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Can I revoke my proxy?</w:t>
      </w:r>
    </w:p>
    <w:p>
      <w:pPr>
        <w:spacing w:after="0" w:line="185" w:lineRule="auto"/>
        <w:framePr w:w="5360" w:h="195" w:wrap="auto" w:vAnchor="page" w:hAnchor="page" w:x="1200" w:y="2226"/>
        <w:rPr>
          <w:rFonts w:ascii="Arial" w:cs="Arial" w:eastAsia="Arial" w:hAnsi="Arial"/>
          <w:sz w:val="12"/>
          <w:szCs w:val="12"/>
          <w:b w:val="1"/>
          <w:bCs w:val="1"/>
          <w:u w:val="single" w:color="auto"/>
          <w:color w:val="333333"/>
        </w:rPr>
      </w:pPr>
      <w:r>
        <w:rPr>
          <w:rFonts w:ascii="Arial" w:cs="Arial" w:eastAsia="Arial" w:hAnsi="Arial"/>
          <w:sz w:val="22"/>
          <w:szCs w:val="22"/>
          <w:b w:val="1"/>
          <w:bCs w:val="1"/>
          <w:u w:val="single" w:color="auto"/>
          <w:color w:val="333333"/>
          <w:vertAlign w:val="subscript"/>
        </w:rPr>
        <w:t>A:</w:t>
      </w:r>
      <w:r>
        <w:rPr>
          <w:rFonts w:ascii="Arial" w:cs="Arial" w:eastAsia="Arial" w:hAnsi="Arial"/>
          <w:sz w:val="12"/>
          <w:szCs w:val="12"/>
          <w:b w:val="1"/>
          <w:bCs w:val="1"/>
          <w:u w:val="single" w:color="auto"/>
          <w:color w:val="333333"/>
        </w:rPr>
        <w:t xml:space="preserve">  You may revoke a proxy at any time before the Annual Meeting by:</w:t>
      </w:r>
    </w:p>
    <w:p>
      <w:pPr>
        <w:spacing w:after="0" w:line="218" w:lineRule="auto"/>
        <w:framePr w:w="8460" w:h="336" w:wrap="auto" w:vAnchor="page" w:hAnchor="page" w:x="1720" w:y="2653"/>
        <w:rPr>
          <w:rFonts w:ascii="Arial" w:cs="Arial" w:eastAsia="Arial" w:hAnsi="Arial"/>
          <w:sz w:val="16"/>
          <w:szCs w:val="16"/>
          <w:b w:val="1"/>
          <w:bCs w:val="1"/>
          <w:u w:val="single" w:color="auto"/>
          <w:color w:val="000000"/>
        </w:rPr>
      </w:pPr>
      <w:r>
        <w:rPr>
          <w:rFonts w:ascii="Arial" w:cs="Arial" w:eastAsia="Arial" w:hAnsi="Arial"/>
          <w:sz w:val="16"/>
          <w:szCs w:val="16"/>
          <w:b w:val="1"/>
          <w:bCs w:val="1"/>
          <w:u w:val="single" w:color="auto"/>
          <w:color w:val="017B52"/>
        </w:rPr>
        <w:t xml:space="preserve">1. </w:t>
      </w:r>
      <w:r>
        <w:rPr>
          <w:rFonts w:ascii="Arial" w:cs="Arial" w:eastAsia="Arial" w:hAnsi="Arial"/>
          <w:sz w:val="16"/>
          <w:szCs w:val="16"/>
          <w:b w:val="1"/>
          <w:bCs w:val="1"/>
          <w:u w:val="single" w:color="auto"/>
          <w:color w:val="000000"/>
        </w:rPr>
        <w:t>Delivering written notice of revocation to the Corporate Secretary of the Company, 2801 East Beltline NE, Grand</w:t>
      </w:r>
      <w:r>
        <w:rPr>
          <w:rFonts w:ascii="Arial" w:cs="Arial" w:eastAsia="Arial" w:hAnsi="Arial"/>
          <w:sz w:val="16"/>
          <w:szCs w:val="16"/>
          <w:b w:val="1"/>
          <w:bCs w:val="1"/>
          <w:u w:val="single" w:color="auto"/>
          <w:color w:val="017B52"/>
        </w:rPr>
        <w:t xml:space="preserve"> </w:t>
      </w:r>
      <w:r>
        <w:rPr>
          <w:rFonts w:ascii="Arial" w:cs="Arial" w:eastAsia="Arial" w:hAnsi="Arial"/>
          <w:sz w:val="16"/>
          <w:szCs w:val="16"/>
          <w:b w:val="1"/>
          <w:bCs w:val="1"/>
          <w:u w:val="single" w:color="auto"/>
          <w:color w:val="000000"/>
        </w:rPr>
        <w:t>Rapids, MI 49525, which must be received no later than April 23, 2024;</w:t>
      </w:r>
    </w:p>
    <w:p>
      <w:pPr>
        <w:spacing w:after="0" w:line="191" w:lineRule="auto"/>
        <w:framePr w:w="5340" w:h="147" w:wrap="auto" w:vAnchor="page" w:hAnchor="page" w:x="1720" w:y="3220"/>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2.   </w:t>
      </w:r>
      <w:r>
        <w:rPr>
          <w:rFonts w:ascii="Arial" w:cs="Arial" w:eastAsia="Arial" w:hAnsi="Arial"/>
          <w:sz w:val="16"/>
          <w:szCs w:val="16"/>
          <w:b w:val="1"/>
          <w:bCs w:val="1"/>
          <w:u w:val="single" w:color="auto"/>
          <w:color w:val="000000"/>
        </w:rPr>
        <w:t>Submitting another properly completed proxy card that is later dated;</w:t>
      </w:r>
    </w:p>
    <w:p>
      <w:pPr>
        <w:spacing w:after="0" w:line="191" w:lineRule="auto"/>
        <w:framePr w:w="3440" w:h="147" w:wrap="auto" w:vAnchor="page" w:hAnchor="page" w:x="1720" w:y="3584"/>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3.   </w:t>
      </w:r>
      <w:r>
        <w:rPr>
          <w:rFonts w:ascii="Arial" w:cs="Arial" w:eastAsia="Arial" w:hAnsi="Arial"/>
          <w:sz w:val="16"/>
          <w:szCs w:val="16"/>
          <w:b w:val="1"/>
          <w:bCs w:val="1"/>
          <w:u w:val="single" w:color="auto"/>
          <w:color w:val="000000"/>
        </w:rPr>
        <w:t>Voting by telephone at a subsequent time;</w:t>
      </w:r>
    </w:p>
    <w:p>
      <w:pPr>
        <w:spacing w:after="0" w:line="191" w:lineRule="auto"/>
        <w:framePr w:w="3780" w:h="147" w:wrap="auto" w:vAnchor="page" w:hAnchor="page" w:x="1720" w:y="3949"/>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4.   </w:t>
      </w:r>
      <w:r>
        <w:rPr>
          <w:rFonts w:ascii="Arial" w:cs="Arial" w:eastAsia="Arial" w:hAnsi="Arial"/>
          <w:sz w:val="16"/>
          <w:szCs w:val="16"/>
          <w:b w:val="1"/>
          <w:bCs w:val="1"/>
          <w:u w:val="single" w:color="auto"/>
          <w:color w:val="000000"/>
        </w:rPr>
        <w:t>Voting via the Internet at a subsequent time; or</w:t>
      </w:r>
    </w:p>
    <w:p>
      <w:pPr>
        <w:spacing w:after="0" w:line="191" w:lineRule="auto"/>
        <w:framePr w:w="2540" w:h="147" w:wrap="auto" w:vAnchor="page" w:hAnchor="page" w:x="1720" w:y="4327"/>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 xml:space="preserve">5.   </w:t>
      </w:r>
      <w:r>
        <w:rPr>
          <w:rFonts w:ascii="Arial" w:cs="Arial" w:eastAsia="Arial" w:hAnsi="Arial"/>
          <w:sz w:val="16"/>
          <w:szCs w:val="16"/>
          <w:b w:val="1"/>
          <w:bCs w:val="1"/>
          <w:u w:val="single" w:color="auto"/>
          <w:color w:val="000000"/>
        </w:rPr>
        <w:t>Voting at the Annual Meeting.</w:t>
      </w:r>
    </w:p>
    <w:p>
      <w:pPr>
        <w:spacing w:after="0" w:line="218" w:lineRule="auto"/>
        <w:framePr w:w="8820" w:h="336" w:wrap="auto" w:vAnchor="page" w:hAnchor="page" w:x="1720" w:y="4691"/>
        <w:rPr>
          <w:rFonts w:ascii="Arial" w:cs="Arial" w:eastAsia="Arial" w:hAnsi="Arial"/>
          <w:sz w:val="16"/>
          <w:szCs w:val="16"/>
          <w:b w:val="1"/>
          <w:bCs w:val="1"/>
          <w:u w:val="single" w:color="auto"/>
          <w:color w:val="017B52"/>
        </w:rPr>
      </w:pPr>
      <w:r>
        <w:rPr>
          <w:rFonts w:ascii="Arial" w:cs="Arial" w:eastAsia="Arial" w:hAnsi="Arial"/>
          <w:sz w:val="16"/>
          <w:szCs w:val="16"/>
          <w:b w:val="1"/>
          <w:bCs w:val="1"/>
          <w:u w:val="single" w:color="auto"/>
          <w:color w:val="017B52"/>
        </w:rPr>
        <w:t>If you hold your shares in “street name,” you must vote your shares in the manner prescribed by your brokerage firm, bank or other nominee.</w:t>
      </w:r>
    </w:p>
    <w:p>
      <w:pPr>
        <w:spacing w:after="0" w:line="185" w:lineRule="auto"/>
        <w:framePr w:w="6500" w:h="195" w:wrap="auto" w:vAnchor="page" w:hAnchor="page" w:x="1200" w:y="5385"/>
        <w:rPr>
          <w:rFonts w:ascii="Arial" w:cs="Arial" w:eastAsia="Arial" w:hAnsi="Arial"/>
          <w:sz w:val="22"/>
          <w:szCs w:val="22"/>
          <w:b w:val="1"/>
          <w:bCs w:val="1"/>
          <w:u w:val="single" w:color="auto"/>
          <w:color w:val="333333"/>
        </w:rPr>
      </w:pPr>
      <w:r>
        <w:rPr>
          <w:rFonts w:ascii="Arial" w:cs="Arial" w:eastAsia="Arial" w:hAnsi="Arial"/>
          <w:sz w:val="22"/>
          <w:szCs w:val="22"/>
          <w:b w:val="1"/>
          <w:bCs w:val="1"/>
          <w:u w:val="single" w:color="auto"/>
          <w:color w:val="333333"/>
        </w:rPr>
        <w:t>Q:  How many votes do we need to hold the Annual Meeting?</w:t>
      </w:r>
    </w:p>
    <w:p>
      <w:pPr>
        <w:spacing w:after="0" w:line="182" w:lineRule="auto"/>
        <w:framePr w:w="9360" w:h="533" w:wrap="auto" w:vAnchor="page" w:hAnchor="page" w:x="1200" w:y="5912"/>
        <w:rPr>
          <w:rFonts w:ascii="Arial" w:cs="Arial" w:eastAsia="Arial" w:hAnsi="Arial"/>
          <w:sz w:val="14"/>
          <w:szCs w:val="14"/>
          <w:b w:val="1"/>
          <w:bCs w:val="1"/>
          <w:u w:val="single" w:color="auto"/>
          <w:color w:val="333333"/>
        </w:rPr>
      </w:pPr>
      <w:r>
        <w:rPr>
          <w:rFonts w:ascii="Arial" w:cs="Arial" w:eastAsia="Arial" w:hAnsi="Arial"/>
          <w:sz w:val="33"/>
          <w:szCs w:val="33"/>
          <w:b w:val="1"/>
          <w:bCs w:val="1"/>
          <w:u w:val="single" w:color="auto"/>
          <w:color w:val="333333"/>
          <w:vertAlign w:val="subscript"/>
        </w:rPr>
        <w:t>A:</w:t>
      </w:r>
      <w:r>
        <w:rPr>
          <w:rFonts w:ascii="Arial" w:cs="Arial" w:eastAsia="Arial" w:hAnsi="Arial"/>
          <w:sz w:val="14"/>
          <w:szCs w:val="14"/>
          <w:b w:val="1"/>
          <w:bCs w:val="1"/>
          <w:u w:val="single" w:color="auto"/>
          <w:color w:val="333333"/>
        </w:rPr>
        <w:t xml:space="preserve"> In order to carry on the business of the meeting, we must have a quorum. This means that a majority of the shares that are outstanding and entitled to vote as of the Record Date must be present in person or by proxy. Shares are counted as present at the meeting if the shareholder either:</w:t>
      </w: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2"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102"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200" w:lineRule="exact"/>
        <w:rPr>
          <w:rFonts w:ascii="Arial" w:cs="Arial" w:eastAsia="Arial" w:hAnsi="Arial"/>
          <w:sz w:val="14"/>
          <w:szCs w:val="14"/>
          <w:b w:val="1"/>
          <w:bCs w:val="1"/>
          <w:u w:val="single" w:color="auto"/>
          <w:color w:val="333333"/>
        </w:rPr>
      </w:pPr>
    </w:p>
    <w:p>
      <w:pPr>
        <w:spacing w:after="0" w:line="84" w:lineRule="exact"/>
        <w:rPr>
          <w:rFonts w:ascii="Arial" w:cs="Arial" w:eastAsia="Arial" w:hAnsi="Arial"/>
          <w:sz w:val="14"/>
          <w:szCs w:val="14"/>
          <w:b w:val="1"/>
          <w:bCs w:val="1"/>
          <w:u w:val="single" w:color="auto"/>
          <w:color w:val="333333"/>
        </w:rPr>
      </w:pPr>
    </w:p>
    <w:p>
      <w:pPr>
        <w:spacing w:after="0" w:line="229" w:lineRule="exact"/>
        <w:rPr>
          <w:rFonts w:ascii="Arial" w:cs="Arial" w:eastAsia="Arial" w:hAnsi="Arial"/>
          <w:sz w:val="14"/>
          <w:szCs w:val="14"/>
          <w:b w:val="1"/>
          <w:bCs w:val="1"/>
          <w:u w:val="single" w:color="auto"/>
          <w:color w:val="333333"/>
        </w:rPr>
      </w:pPr>
    </w:p>
    <w:p>
      <w:pPr>
        <w:ind w:left="854" w:hanging="350"/>
        <w:spacing w:after="0"/>
        <w:tabs>
          <w:tab w:leader="none" w:pos="854" w:val="left"/>
        </w:tabs>
        <w:numPr>
          <w:ilvl w:val="0"/>
          <w:numId w:val="8"/>
        </w:numPr>
        <w:rPr>
          <w:rFonts w:ascii="Arial" w:cs="Arial" w:eastAsia="Arial" w:hAnsi="Arial"/>
          <w:sz w:val="16"/>
          <w:szCs w:val="16"/>
          <w:color w:val="auto"/>
        </w:rPr>
      </w:pPr>
      <w:r>
        <w:rPr>
          <w:rFonts w:ascii="Arial" w:cs="Arial" w:eastAsia="Arial" w:hAnsi="Arial"/>
          <w:sz w:val="16"/>
          <w:szCs w:val="16"/>
          <w:color w:val="auto"/>
        </w:rPr>
        <w:t>Is present and votes at the Annual Meeting; or</w:t>
      </w:r>
    </w:p>
    <w:p>
      <w:pPr>
        <w:spacing w:after="0" w:line="207" w:lineRule="exact"/>
        <w:rPr>
          <w:rFonts w:ascii="Arial" w:cs="Arial" w:eastAsia="Arial" w:hAnsi="Arial"/>
          <w:sz w:val="16"/>
          <w:szCs w:val="16"/>
          <w:color w:val="auto"/>
        </w:rPr>
      </w:pPr>
    </w:p>
    <w:p>
      <w:pPr>
        <w:ind w:left="854" w:hanging="350"/>
        <w:spacing w:after="0"/>
        <w:tabs>
          <w:tab w:leader="none" w:pos="854" w:val="left"/>
        </w:tabs>
        <w:numPr>
          <w:ilvl w:val="0"/>
          <w:numId w:val="8"/>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form of proxy (through the telephone or Internet).</w:t>
      </w:r>
    </w:p>
    <w:p>
      <w:pPr>
        <w:spacing w:after="0" w:line="181" w:lineRule="exact"/>
        <w:rPr>
          <w:rFonts w:ascii="Arial" w:cs="Arial" w:eastAsia="Arial" w:hAnsi="Arial"/>
          <w:sz w:val="14"/>
          <w:szCs w:val="14"/>
          <w:b w:val="1"/>
          <w:bCs w:val="1"/>
          <w:u w:val="single" w:color="auto"/>
          <w:color w:val="333333"/>
        </w:rPr>
      </w:pPr>
    </w:p>
    <w:p>
      <w:pPr>
        <w:ind w:left="514" w:right="820"/>
        <w:spacing w:after="0" w:line="286" w:lineRule="auto"/>
        <w:rPr>
          <w:sz w:val="20"/>
          <w:szCs w:val="20"/>
          <w:color w:val="auto"/>
        </w:rPr>
      </w:pPr>
      <w:r>
        <w:rPr>
          <w:rFonts w:ascii="Arial" w:cs="Arial" w:eastAsia="Arial" w:hAnsi="Arial"/>
          <w:sz w:val="16"/>
          <w:szCs w:val="16"/>
          <w:color w:val="auto"/>
        </w:rPr>
        <w:t>On the Record Date, there were 61,529,910 shares of common stock issued and outstanding. Therefore, at least 30,764,956 shares need to be present at the Annual Meeting.</w:t>
      </w:r>
    </w:p>
    <w:p>
      <w:pPr>
        <w:spacing w:after="0" w:line="249" w:lineRule="exact"/>
        <w:rPr>
          <w:rFonts w:ascii="Arial" w:cs="Arial" w:eastAsia="Arial" w:hAnsi="Arial"/>
          <w:sz w:val="14"/>
          <w:szCs w:val="14"/>
          <w:b w:val="1"/>
          <w:bCs w:val="1"/>
          <w:u w:val="single" w:color="auto"/>
          <w:color w:val="333333"/>
        </w:rPr>
      </w:pPr>
    </w:p>
    <w:p>
      <w:pPr>
        <w:ind w:left="494" w:hanging="494"/>
        <w:spacing w:after="0"/>
        <w:tabs>
          <w:tab w:leader="none" w:pos="494" w:val="left"/>
        </w:tabs>
        <w:numPr>
          <w:ilvl w:val="0"/>
          <w:numId w:val="9"/>
        </w:numPr>
        <w:rPr>
          <w:rFonts w:ascii="Arial" w:cs="Arial" w:eastAsia="Arial" w:hAnsi="Arial"/>
          <w:sz w:val="22"/>
          <w:szCs w:val="22"/>
          <w:b w:val="1"/>
          <w:bCs w:val="1"/>
          <w:color w:val="333333"/>
        </w:rPr>
      </w:pPr>
      <w:r>
        <w:rPr>
          <w:rFonts w:ascii="Arial" w:cs="Arial" w:eastAsia="Arial" w:hAnsi="Arial"/>
          <w:sz w:val="22"/>
          <w:szCs w:val="22"/>
          <w:b w:val="1"/>
          <w:bCs w:val="1"/>
          <w:color w:val="333333"/>
        </w:rPr>
        <w:t>What matters will be voted on at the meeting?</w:t>
      </w:r>
    </w:p>
    <w:p>
      <w:pPr>
        <w:spacing w:after="0" w:line="288" w:lineRule="exact"/>
        <w:rPr>
          <w:rFonts w:ascii="Arial" w:cs="Arial" w:eastAsia="Arial" w:hAnsi="Arial"/>
          <w:sz w:val="14"/>
          <w:szCs w:val="14"/>
          <w:b w:val="1"/>
          <w:bCs w:val="1"/>
          <w:u w:val="single" w:color="auto"/>
          <w:color w:val="333333"/>
        </w:rPr>
      </w:pPr>
    </w:p>
    <w:p>
      <w:pPr>
        <w:ind w:left="494" w:hanging="494"/>
        <w:spacing w:after="0" w:line="196" w:lineRule="auto"/>
        <w:tabs>
          <w:tab w:leader="none" w:pos="494" w:val="left"/>
        </w:tabs>
        <w:numPr>
          <w:ilvl w:val="0"/>
          <w:numId w:val="10"/>
        </w:numPr>
        <w:rPr>
          <w:rFonts w:ascii="Arial" w:cs="Arial" w:eastAsia="Arial" w:hAnsi="Arial"/>
          <w:sz w:val="43"/>
          <w:szCs w:val="43"/>
          <w:b w:val="1"/>
          <w:bCs w:val="1"/>
          <w:color w:val="333333"/>
          <w:vertAlign w:val="subscript"/>
        </w:rPr>
      </w:pPr>
      <w:r>
        <w:rPr>
          <w:rFonts w:ascii="Arial" w:cs="Arial" w:eastAsia="Arial" w:hAnsi="Arial"/>
          <w:sz w:val="16"/>
          <w:szCs w:val="16"/>
          <w:color w:val="auto"/>
        </w:rPr>
        <w:t>You are being asked to vote on: (i) the election of three directors to serve three-year terms expiring in 2027; (ii) the proposal to amend our Articles of Incorporation to increase the number of shares of common stock the Company is authorized to issue; (iii) the ratification of the appointment of Deloitte &amp; Touche LLP as our independent registered public accounting firm for the fiscal year ending December 28, 2024; and (iv) a non-binding, advisory proposal to approve the compensation paid to our Named Executives, otherwise known as a “say-on-pay” proposal. These matters are more fully described in this proxy statement.</w:t>
      </w:r>
    </w:p>
    <w:p>
      <w:pPr>
        <w:spacing w:after="0" w:line="289" w:lineRule="exact"/>
        <w:rPr>
          <w:rFonts w:ascii="Arial" w:cs="Arial" w:eastAsia="Arial" w:hAnsi="Arial"/>
          <w:sz w:val="14"/>
          <w:szCs w:val="14"/>
          <w:b w:val="1"/>
          <w:bCs w:val="1"/>
          <w:u w:val="single" w:color="auto"/>
          <w:color w:val="333333"/>
        </w:rPr>
      </w:pPr>
    </w:p>
    <w:p>
      <w:pPr>
        <w:ind w:left="494" w:hanging="494"/>
        <w:spacing w:after="0"/>
        <w:tabs>
          <w:tab w:leader="none" w:pos="494" w:val="left"/>
        </w:tabs>
        <w:numPr>
          <w:ilvl w:val="0"/>
          <w:numId w:val="11"/>
        </w:numPr>
        <w:rPr>
          <w:rFonts w:ascii="Arial" w:cs="Arial" w:eastAsia="Arial" w:hAnsi="Arial"/>
          <w:sz w:val="22"/>
          <w:szCs w:val="22"/>
          <w:b w:val="1"/>
          <w:bCs w:val="1"/>
          <w:color w:val="333333"/>
        </w:rPr>
      </w:pPr>
      <w:r>
        <w:rPr>
          <w:rFonts w:ascii="Arial" w:cs="Arial" w:eastAsia="Arial" w:hAnsi="Arial"/>
          <w:sz w:val="22"/>
          <w:szCs w:val="22"/>
          <w:b w:val="1"/>
          <w:bCs w:val="1"/>
          <w:color w:val="333333"/>
        </w:rPr>
        <w:t>How many votes are needed for each proposal?</w:t>
      </w:r>
    </w:p>
    <w:p>
      <w:pPr>
        <w:spacing w:after="0" w:line="301" w:lineRule="exact"/>
        <w:rPr>
          <w:rFonts w:ascii="Arial" w:cs="Arial" w:eastAsia="Arial" w:hAnsi="Arial"/>
          <w:sz w:val="14"/>
          <w:szCs w:val="14"/>
          <w:b w:val="1"/>
          <w:bCs w:val="1"/>
          <w:u w:val="single" w:color="auto"/>
          <w:color w:val="333333"/>
        </w:rPr>
      </w:pPr>
    </w:p>
    <w:p>
      <w:pPr>
        <w:ind w:left="494" w:right="100" w:hanging="494"/>
        <w:spacing w:after="0" w:line="221" w:lineRule="auto"/>
        <w:tabs>
          <w:tab w:leader="none" w:pos="494" w:val="left"/>
        </w:tabs>
        <w:numPr>
          <w:ilvl w:val="0"/>
          <w:numId w:val="12"/>
        </w:numPr>
        <w:rPr>
          <w:rFonts w:ascii="Arial" w:cs="Arial" w:eastAsia="Arial" w:hAnsi="Arial"/>
          <w:sz w:val="26"/>
          <w:szCs w:val="26"/>
          <w:b w:val="1"/>
          <w:bCs w:val="1"/>
          <w:color w:val="333333"/>
          <w:vertAlign w:val="subscript"/>
        </w:rPr>
      </w:pPr>
      <w:r>
        <w:rPr>
          <w:rFonts w:ascii="Arial" w:cs="Arial" w:eastAsia="Arial" w:hAnsi="Arial"/>
          <w:sz w:val="12"/>
          <w:szCs w:val="12"/>
          <w:color w:val="auto"/>
        </w:rPr>
        <w:t>In order for the proposal to amend our Articles of Incorporation to increase our authorized common stock to be approved, a majority of the shares of common stock issued and outstanding as of the Record Date must vote in factor of the proposal.</w:t>
      </w:r>
    </w:p>
    <w:p>
      <w:pPr>
        <w:spacing w:after="0" w:line="20" w:lineRule="exact"/>
        <w:rPr>
          <w:rFonts w:ascii="Arial" w:cs="Arial" w:eastAsia="Arial" w:hAnsi="Arial"/>
          <w:sz w:val="14"/>
          <w:szCs w:val="14"/>
          <w:b w:val="1"/>
          <w:bCs w:val="1"/>
          <w:u w:val="single" w:color="auto"/>
          <w:color w:val="333333"/>
        </w:rPr>
      </w:pPr>
      <w:r>
        <w:rPr>
          <w:rFonts w:ascii="Arial" w:cs="Arial" w:eastAsia="Arial" w:hAnsi="Arial"/>
          <w:sz w:val="14"/>
          <w:szCs w:val="14"/>
          <w:b w:val="1"/>
          <w:bCs w:val="1"/>
          <w:u w:val="single" w:color="auto"/>
          <w:color w:val="333333"/>
        </w:rPr>
        <w:drawing>
          <wp:anchor simplePos="0" relativeHeight="251657728" behindDoc="1" locked="0" layoutInCell="0" allowOverlap="1">
            <wp:simplePos x="0" y="0"/>
            <wp:positionH relativeFrom="column">
              <wp:posOffset>-513715</wp:posOffset>
            </wp:positionH>
            <wp:positionV relativeFrom="paragraph">
              <wp:posOffset>327660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94"/>
          </w:cols>
          <w:pgMar w:left="1246" w:top="1440"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520" w:right="60"/>
        <w:spacing w:after="0" w:line="266" w:lineRule="auto"/>
        <w:rPr>
          <w:sz w:val="20"/>
          <w:szCs w:val="20"/>
          <w:color w:val="auto"/>
        </w:rPr>
      </w:pPr>
      <w:r>
        <w:rPr>
          <w:rFonts w:ascii="Arial" w:cs="Arial" w:eastAsia="Arial" w:hAnsi="Arial"/>
          <w:sz w:val="16"/>
          <w:szCs w:val="16"/>
          <w:color w:val="auto"/>
        </w:rPr>
        <w:t>In order for the proposal to ratify the appointment of Deloitte &amp; Touche LLP as our independent registered public accounting firm for the fiscal year ending December 28, 2024 to be approved, a majority of the votes cast at the Annual Meeting must be in favor of the proposal.</w:t>
      </w:r>
    </w:p>
    <w:p>
      <w:pPr>
        <w:spacing w:after="0" w:line="131" w:lineRule="exact"/>
        <w:rPr>
          <w:sz w:val="20"/>
          <w:szCs w:val="20"/>
          <w:color w:val="auto"/>
        </w:rPr>
      </w:pPr>
    </w:p>
    <w:p>
      <w:pPr>
        <w:ind w:left="520" w:right="200"/>
        <w:spacing w:after="0" w:line="286" w:lineRule="auto"/>
        <w:rPr>
          <w:sz w:val="20"/>
          <w:szCs w:val="20"/>
          <w:color w:val="auto"/>
        </w:rPr>
      </w:pPr>
      <w:r>
        <w:rPr>
          <w:rFonts w:ascii="Arial" w:cs="Arial" w:eastAsia="Arial" w:hAnsi="Arial"/>
          <w:sz w:val="16"/>
          <w:szCs w:val="16"/>
          <w:color w:val="auto"/>
        </w:rPr>
        <w:t>Under the Company’s majority vote standard for the election of directors (described in more detail below), to be elected, a nominee must receive a greater number of votes cast “for” his or her election than the number of votes cast “against.”</w:t>
      </w:r>
    </w:p>
    <w:p>
      <w:pPr>
        <w:spacing w:after="0" w:line="115" w:lineRule="exact"/>
        <w:rPr>
          <w:sz w:val="20"/>
          <w:szCs w:val="20"/>
          <w:color w:val="auto"/>
        </w:rPr>
      </w:pPr>
    </w:p>
    <w:p>
      <w:pPr>
        <w:ind w:left="520" w:right="20"/>
        <w:spacing w:after="0" w:line="266" w:lineRule="auto"/>
        <w:rPr>
          <w:sz w:val="20"/>
          <w:szCs w:val="20"/>
          <w:color w:val="auto"/>
        </w:rPr>
      </w:pPr>
      <w:r>
        <w:rPr>
          <w:rFonts w:ascii="Arial" w:cs="Arial" w:eastAsia="Arial" w:hAnsi="Arial"/>
          <w:sz w:val="16"/>
          <w:szCs w:val="16"/>
          <w:color w:val="auto"/>
        </w:rPr>
        <w:t>The say-on-pay vote is advisory; consequently, the outcome of this vote is not binding upon the Board of Directors or the Personnel and Compensation Committee. However, the outcome of the vote will be taken into consideration by the Board of Directors and Personnel and Compensation Committee, as described below.</w:t>
      </w:r>
    </w:p>
    <w:p>
      <w:pPr>
        <w:spacing w:after="0" w:line="144" w:lineRule="exact"/>
        <w:rPr>
          <w:sz w:val="20"/>
          <w:szCs w:val="20"/>
          <w:color w:val="auto"/>
        </w:rPr>
      </w:pPr>
    </w:p>
    <w:p>
      <w:pPr>
        <w:ind w:left="520" w:right="160"/>
        <w:spacing w:after="0" w:line="266" w:lineRule="auto"/>
        <w:rPr>
          <w:sz w:val="20"/>
          <w:szCs w:val="20"/>
          <w:color w:val="auto"/>
        </w:rPr>
      </w:pPr>
      <w:r>
        <w:rPr>
          <w:rFonts w:ascii="Arial" w:cs="Arial" w:eastAsia="Arial" w:hAnsi="Arial"/>
          <w:sz w:val="16"/>
          <w:szCs w:val="16"/>
          <w:color w:val="auto"/>
        </w:rPr>
        <w:t>The proposal to amend our Articles of Incorporation, the election of directors and the say-on-pay vote are considered non-routine matters. Consequently, if your shares are held by a broker, bank or other fiduciary, it cannot vote your shares on these matters unless it has received voting instructions from you.</w:t>
      </w:r>
    </w:p>
    <w:p>
      <w:pPr>
        <w:spacing w:after="0" w:line="131" w:lineRule="exact"/>
        <w:rPr>
          <w:sz w:val="20"/>
          <w:szCs w:val="20"/>
          <w:color w:val="auto"/>
        </w:rPr>
      </w:pPr>
    </w:p>
    <w:p>
      <w:pPr>
        <w:ind w:left="520"/>
        <w:spacing w:after="0" w:line="257" w:lineRule="auto"/>
        <w:rPr>
          <w:sz w:val="20"/>
          <w:szCs w:val="20"/>
          <w:color w:val="auto"/>
        </w:rPr>
      </w:pPr>
      <w:r>
        <w:rPr>
          <w:rFonts w:ascii="Arial" w:cs="Arial" w:eastAsia="Arial" w:hAnsi="Arial"/>
          <w:sz w:val="16"/>
          <w:szCs w:val="16"/>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 other than the proposal to amend our Articles of Incorporation. For the proposal to amend our Articles of Incorporation, abstentions and broker non-votes will count as votes against that proposal.</w:t>
      </w:r>
    </w:p>
    <w:p>
      <w:pPr>
        <w:spacing w:after="0" w:line="200" w:lineRule="exact"/>
        <w:rPr>
          <w:sz w:val="20"/>
          <w:szCs w:val="20"/>
          <w:color w:val="auto"/>
        </w:rPr>
      </w:pPr>
    </w:p>
    <w:p>
      <w:pPr>
        <w:spacing w:after="0" w:line="267" w:lineRule="exact"/>
        <w:rPr>
          <w:sz w:val="20"/>
          <w:szCs w:val="20"/>
          <w:color w:val="auto"/>
        </w:rPr>
      </w:pPr>
    </w:p>
    <w:p>
      <w:pPr>
        <w:ind w:left="500" w:hanging="494"/>
        <w:spacing w:after="0"/>
        <w:tabs>
          <w:tab w:leader="none" w:pos="500" w:val="left"/>
        </w:tabs>
        <w:numPr>
          <w:ilvl w:val="0"/>
          <w:numId w:val="13"/>
        </w:numPr>
        <w:rPr>
          <w:rFonts w:ascii="Arial" w:cs="Arial" w:eastAsia="Arial" w:hAnsi="Arial"/>
          <w:sz w:val="22"/>
          <w:szCs w:val="22"/>
          <w:b w:val="1"/>
          <w:bCs w:val="1"/>
          <w:color w:val="333333"/>
        </w:rPr>
      </w:pPr>
      <w:r>
        <w:rPr>
          <w:rFonts w:ascii="Arial" w:cs="Arial" w:eastAsia="Arial" w:hAnsi="Arial"/>
          <w:sz w:val="22"/>
          <w:szCs w:val="22"/>
          <w:b w:val="1"/>
          <w:bCs w:val="1"/>
          <w:color w:val="333333"/>
        </w:rPr>
        <w:t>What happens if a nominee is unable to stand for re-election?</w:t>
      </w:r>
    </w:p>
    <w:p>
      <w:pPr>
        <w:spacing w:after="0" w:line="288" w:lineRule="exact"/>
        <w:rPr>
          <w:sz w:val="20"/>
          <w:szCs w:val="20"/>
          <w:color w:val="auto"/>
        </w:rPr>
      </w:pPr>
    </w:p>
    <w:p>
      <w:pPr>
        <w:ind w:left="500" w:right="80" w:hanging="494"/>
        <w:spacing w:after="0" w:line="182" w:lineRule="auto"/>
        <w:tabs>
          <w:tab w:leader="none" w:pos="500" w:val="left"/>
        </w:tabs>
        <w:numPr>
          <w:ilvl w:val="0"/>
          <w:numId w:val="14"/>
        </w:numPr>
        <w:rPr>
          <w:rFonts w:ascii="Arial" w:cs="Arial" w:eastAsia="Arial" w:hAnsi="Arial"/>
          <w:sz w:val="31"/>
          <w:szCs w:val="31"/>
          <w:b w:val="1"/>
          <w:bCs w:val="1"/>
          <w:color w:val="333333"/>
          <w:vertAlign w:val="subscript"/>
        </w:rPr>
      </w:pPr>
      <w:r>
        <w:rPr>
          <w:rFonts w:ascii="Arial" w:cs="Arial" w:eastAsia="Arial" w:hAnsi="Arial"/>
          <w:sz w:val="14"/>
          <w:szCs w:val="14"/>
          <w:color w:val="auto"/>
        </w:rPr>
        <w:t>The Board may, by resolution, provide for a lesser number of directors or designate a substitute nominee. In the latter case, shares represented by proxies may be voted for a substitute nominee. Proxies cannot be voted for more than</w:t>
      </w:r>
    </w:p>
    <w:p>
      <w:pPr>
        <w:spacing w:after="0" w:line="1" w:lineRule="exact"/>
        <w:rPr>
          <w:rFonts w:ascii="Arial" w:cs="Arial" w:eastAsia="Arial" w:hAnsi="Arial"/>
          <w:sz w:val="31"/>
          <w:szCs w:val="31"/>
          <w:b w:val="1"/>
          <w:bCs w:val="1"/>
          <w:color w:val="333333"/>
          <w:vertAlign w:val="subscript"/>
        </w:rPr>
      </w:pPr>
    </w:p>
    <w:p>
      <w:pPr>
        <w:ind w:left="500"/>
        <w:spacing w:after="0"/>
        <w:rPr>
          <w:rFonts w:ascii="Arial" w:cs="Arial" w:eastAsia="Arial" w:hAnsi="Arial"/>
          <w:sz w:val="31"/>
          <w:szCs w:val="31"/>
          <w:b w:val="1"/>
          <w:bCs w:val="1"/>
          <w:color w:val="333333"/>
          <w:vertAlign w:val="subscript"/>
        </w:rPr>
      </w:pPr>
      <w:r>
        <w:rPr>
          <w:rFonts w:ascii="Arial" w:cs="Arial" w:eastAsia="Arial" w:hAnsi="Arial"/>
          <w:sz w:val="16"/>
          <w:szCs w:val="16"/>
          <w:color w:val="auto"/>
        </w:rPr>
        <w:t>three nominees. We have no reason to believe that any nominee will be unable to stand for re-election.</w:t>
      </w:r>
    </w:p>
    <w:p>
      <w:pPr>
        <w:spacing w:after="0" w:line="299" w:lineRule="exact"/>
        <w:rPr>
          <w:sz w:val="20"/>
          <w:szCs w:val="20"/>
          <w:color w:val="auto"/>
        </w:rPr>
      </w:pPr>
    </w:p>
    <w:p>
      <w:pPr>
        <w:ind w:left="500" w:hanging="494"/>
        <w:spacing w:after="0"/>
        <w:tabs>
          <w:tab w:leader="none" w:pos="500" w:val="left"/>
        </w:tabs>
        <w:numPr>
          <w:ilvl w:val="0"/>
          <w:numId w:val="15"/>
        </w:numPr>
        <w:rPr>
          <w:rFonts w:ascii="Arial" w:cs="Arial" w:eastAsia="Arial" w:hAnsi="Arial"/>
          <w:sz w:val="22"/>
          <w:szCs w:val="22"/>
          <w:b w:val="1"/>
          <w:bCs w:val="1"/>
          <w:color w:val="333333"/>
        </w:rPr>
      </w:pPr>
      <w:r>
        <w:rPr>
          <w:rFonts w:ascii="Arial" w:cs="Arial" w:eastAsia="Arial" w:hAnsi="Arial"/>
          <w:sz w:val="22"/>
          <w:szCs w:val="22"/>
          <w:b w:val="1"/>
          <w:bCs w:val="1"/>
          <w:color w:val="333333"/>
        </w:rPr>
        <w:t>What options do I have in voting on each of the proposals?</w:t>
      </w:r>
    </w:p>
    <w:p>
      <w:pPr>
        <w:spacing w:after="0" w:line="22" w:lineRule="exact"/>
        <w:rPr>
          <w:sz w:val="20"/>
          <w:szCs w:val="20"/>
          <w:color w:val="auto"/>
        </w:rPr>
      </w:pPr>
    </w:p>
    <w:p>
      <w:pPr>
        <w:ind w:left="500" w:hanging="494"/>
        <w:spacing w:after="0"/>
        <w:tabs>
          <w:tab w:leader="none" w:pos="500" w:val="left"/>
        </w:tabs>
        <w:numPr>
          <w:ilvl w:val="0"/>
          <w:numId w:val="16"/>
        </w:numPr>
        <w:rPr>
          <w:rFonts w:ascii="Arial" w:cs="Arial" w:eastAsia="Arial" w:hAnsi="Arial"/>
          <w:sz w:val="43"/>
          <w:szCs w:val="43"/>
          <w:b w:val="1"/>
          <w:bCs w:val="1"/>
          <w:color w:val="333333"/>
          <w:vertAlign w:val="subscript"/>
        </w:rPr>
      </w:pPr>
      <w:r>
        <w:rPr>
          <w:rFonts w:ascii="Arial" w:cs="Arial" w:eastAsia="Arial" w:hAnsi="Arial"/>
          <w:sz w:val="16"/>
          <w:szCs w:val="16"/>
          <w:color w:val="auto"/>
        </w:rPr>
        <w:t>You may vote “for,” “against,” or “abstain” on each proposal properly brought before the meeting.</w:t>
      </w:r>
    </w:p>
    <w:p>
      <w:pPr>
        <w:spacing w:after="0" w:line="338" w:lineRule="exact"/>
        <w:rPr>
          <w:sz w:val="20"/>
          <w:szCs w:val="20"/>
          <w:color w:val="auto"/>
        </w:rPr>
      </w:pPr>
    </w:p>
    <w:p>
      <w:pPr>
        <w:ind w:left="500" w:hanging="494"/>
        <w:spacing w:after="0"/>
        <w:tabs>
          <w:tab w:leader="none" w:pos="500" w:val="left"/>
        </w:tabs>
        <w:numPr>
          <w:ilvl w:val="0"/>
          <w:numId w:val="17"/>
        </w:numPr>
        <w:rPr>
          <w:rFonts w:ascii="Arial" w:cs="Arial" w:eastAsia="Arial" w:hAnsi="Arial"/>
          <w:sz w:val="22"/>
          <w:szCs w:val="22"/>
          <w:b w:val="1"/>
          <w:bCs w:val="1"/>
          <w:color w:val="333333"/>
        </w:rPr>
      </w:pPr>
      <w:r>
        <w:rPr>
          <w:rFonts w:ascii="Arial" w:cs="Arial" w:eastAsia="Arial" w:hAnsi="Arial"/>
          <w:sz w:val="22"/>
          <w:szCs w:val="22"/>
          <w:b w:val="1"/>
          <w:bCs w:val="1"/>
          <w:color w:val="333333"/>
        </w:rPr>
        <w:t>Where do I find the voting results of the meeting?</w:t>
      </w:r>
    </w:p>
    <w:p>
      <w:pPr>
        <w:spacing w:after="0" w:line="288" w:lineRule="exact"/>
        <w:rPr>
          <w:sz w:val="20"/>
          <w:szCs w:val="20"/>
          <w:color w:val="auto"/>
        </w:rPr>
      </w:pPr>
    </w:p>
    <w:p>
      <w:pPr>
        <w:ind w:left="500" w:right="160" w:hanging="494"/>
        <w:spacing w:after="0" w:line="183" w:lineRule="auto"/>
        <w:tabs>
          <w:tab w:leader="none" w:pos="500" w:val="left"/>
        </w:tabs>
        <w:numPr>
          <w:ilvl w:val="0"/>
          <w:numId w:val="18"/>
        </w:numPr>
        <w:rPr>
          <w:rFonts w:ascii="Arial" w:cs="Arial" w:eastAsia="Arial" w:hAnsi="Arial"/>
          <w:sz w:val="32"/>
          <w:szCs w:val="32"/>
          <w:b w:val="1"/>
          <w:bCs w:val="1"/>
          <w:color w:val="333333"/>
          <w:vertAlign w:val="subscript"/>
        </w:rPr>
      </w:pPr>
      <w:r>
        <w:rPr>
          <w:rFonts w:ascii="Arial" w:cs="Arial" w:eastAsia="Arial" w:hAnsi="Arial"/>
          <w:sz w:val="14"/>
          <w:szCs w:val="14"/>
          <w:color w:val="auto"/>
        </w:rPr>
        <w:t>If available, we will announce voting results at the Annual Meeting. The voting results will also be disclosed on a Form 8-K that we will file with the SEC within four business days after the meeting.</w:t>
      </w:r>
    </w:p>
    <w:p>
      <w:pPr>
        <w:spacing w:after="0" w:line="284" w:lineRule="exact"/>
        <w:rPr>
          <w:sz w:val="20"/>
          <w:szCs w:val="20"/>
          <w:color w:val="auto"/>
        </w:rPr>
      </w:pPr>
    </w:p>
    <w:p>
      <w:pPr>
        <w:ind w:left="500" w:right="500" w:hanging="494"/>
        <w:spacing w:after="0" w:line="256" w:lineRule="auto"/>
        <w:tabs>
          <w:tab w:leader="none" w:pos="500" w:val="left"/>
        </w:tabs>
        <w:numPr>
          <w:ilvl w:val="0"/>
          <w:numId w:val="19"/>
        </w:numPr>
        <w:rPr>
          <w:rFonts w:ascii="Arial" w:cs="Arial" w:eastAsia="Arial" w:hAnsi="Arial"/>
          <w:sz w:val="22"/>
          <w:szCs w:val="22"/>
          <w:b w:val="1"/>
          <w:bCs w:val="1"/>
          <w:color w:val="333333"/>
        </w:rPr>
      </w:pPr>
      <w:r>
        <w:rPr>
          <w:rFonts w:ascii="Arial" w:cs="Arial" w:eastAsia="Arial" w:hAnsi="Arial"/>
          <w:sz w:val="22"/>
          <w:szCs w:val="22"/>
          <w:b w:val="1"/>
          <w:bCs w:val="1"/>
          <w:color w:val="333333"/>
        </w:rPr>
        <w:t>Important Notice Regarding the Availability of Proxy Materials for the Shareholder Meeting to be Held on April 24, 2024.</w:t>
      </w:r>
    </w:p>
    <w:p>
      <w:pPr>
        <w:spacing w:after="0" w:line="244" w:lineRule="exact"/>
        <w:rPr>
          <w:sz w:val="20"/>
          <w:szCs w:val="20"/>
          <w:color w:val="auto"/>
        </w:rPr>
      </w:pPr>
    </w:p>
    <w:p>
      <w:pPr>
        <w:ind w:left="500" w:right="440" w:hanging="494"/>
        <w:spacing w:after="0" w:line="181" w:lineRule="auto"/>
        <w:tabs>
          <w:tab w:leader="none" w:pos="500" w:val="left"/>
        </w:tabs>
        <w:numPr>
          <w:ilvl w:val="0"/>
          <w:numId w:val="20"/>
        </w:numPr>
        <w:rPr>
          <w:rFonts w:ascii="Arial" w:cs="Arial" w:eastAsia="Arial" w:hAnsi="Arial"/>
          <w:sz w:val="38"/>
          <w:szCs w:val="38"/>
          <w:b w:val="1"/>
          <w:bCs w:val="1"/>
          <w:color w:val="333333"/>
          <w:vertAlign w:val="subscript"/>
        </w:rPr>
      </w:pPr>
      <w:r>
        <w:rPr>
          <w:rFonts w:ascii="Arial" w:cs="Arial" w:eastAsia="Arial" w:hAnsi="Arial"/>
          <w:sz w:val="15"/>
          <w:szCs w:val="15"/>
          <w:color w:val="auto"/>
        </w:rPr>
        <w:t>This proxy statement along with our annual report is available at: www.proxyvote.com. A copy of our Annual Report on Form 10-K for the fiscal year ended December 30, 2023, as filed with the SEC, may be obtained without charge upon written request to the Chief Financial Officer, UFP Industries, Inc., 2801 East Beltline NE, Grand Rapids, MI 49525.</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7</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Voting Securities and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of February 28, 2024, the Record Date for the Annual Meeting, we had issued and outstanding 61,529,910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137"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sets forth information as to each shareholder known to have been the beneficial owner of more than five percent (5%) of our outstanding shares of common stock as of February 28, 2024.</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NAME AND ADDRESS OF BENEFICIAL OWNER</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AMOUNT AND NATURE OF</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BENEFICIAL OWNERSHIP</w:t>
      </w:r>
      <w:r>
        <w:rPr>
          <w:rFonts w:ascii="Arial" w:cs="Arial" w:eastAsia="Arial" w:hAnsi="Arial"/>
          <w:sz w:val="7"/>
          <w:szCs w:val="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74930</wp:posOffset>
            </wp:positionV>
            <wp:extent cx="596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PERCENT OF CLASS</w:t>
      </w:r>
    </w:p>
    <w:p>
      <w:pPr>
        <w:spacing w:after="0" w:line="210" w:lineRule="exact"/>
        <w:rPr>
          <w:sz w:val="20"/>
          <w:szCs w:val="20"/>
          <w:color w:val="auto"/>
        </w:rPr>
      </w:pPr>
    </w:p>
    <w:p>
      <w:pPr>
        <w:sectPr>
          <w:pgSz w:w="11900" w:h="16838" w:orient="portrait"/>
          <w:cols w:equalWidth="0" w:num="3">
            <w:col w:w="5600" w:space="720"/>
            <w:col w:w="1440" w:space="560"/>
            <w:col w:w="1080"/>
          </w:cols>
          <w:pgMar w:left="1240" w:top="114" w:right="1259" w:bottom="1440" w:gutter="0" w:footer="0" w:header="0"/>
          <w:type w:val="continuous"/>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BlackRock, Inc.</w:t>
      </w:r>
    </w:p>
    <w:p>
      <w:pPr>
        <w:ind w:left="40"/>
        <w:spacing w:after="0"/>
        <w:tabs>
          <w:tab w:leader="none" w:pos="6940" w:val="left"/>
          <w:tab w:leader="none" w:pos="8900" w:val="left"/>
        </w:tabs>
        <w:rPr>
          <w:sz w:val="20"/>
          <w:szCs w:val="20"/>
          <w:color w:val="auto"/>
        </w:rPr>
      </w:pPr>
      <w:r>
        <w:rPr>
          <w:rFonts w:ascii="Arial" w:cs="Arial" w:eastAsia="Arial" w:hAnsi="Arial"/>
          <w:sz w:val="14"/>
          <w:szCs w:val="14"/>
          <w:color w:val="auto"/>
        </w:rPr>
        <w:t>55 East 52nd Street</w:t>
      </w:r>
      <w:r>
        <w:rPr>
          <w:sz w:val="20"/>
          <w:szCs w:val="20"/>
          <w:color w:val="auto"/>
        </w:rPr>
        <w:tab/>
      </w:r>
      <w:r>
        <w:rPr>
          <w:rFonts w:ascii="Arial" w:cs="Arial" w:eastAsia="Arial" w:hAnsi="Arial"/>
          <w:sz w:val="13"/>
          <w:szCs w:val="13"/>
          <w:color w:val="auto"/>
        </w:rPr>
        <w:t>8,510,709</w:t>
      </w:r>
      <w:r>
        <w:rPr>
          <w:rFonts w:ascii="Arial" w:cs="Arial" w:eastAsia="Arial" w:hAnsi="Arial"/>
          <w:sz w:val="20"/>
          <w:szCs w:val="20"/>
          <w:color w:val="auto"/>
          <w:vertAlign w:val="superscript"/>
        </w:rPr>
        <w:t>(2)</w:t>
      </w:r>
      <w:r>
        <w:rPr>
          <w:sz w:val="20"/>
          <w:szCs w:val="20"/>
          <w:color w:val="auto"/>
        </w:rPr>
        <w:tab/>
      </w:r>
      <w:r>
        <w:rPr>
          <w:rFonts w:ascii="Arial" w:cs="Arial" w:eastAsia="Arial" w:hAnsi="Arial"/>
          <w:sz w:val="14"/>
          <w:szCs w:val="14"/>
          <w:color w:val="auto"/>
        </w:rPr>
        <w:t>13.83%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Vanguard Group</w:t>
      </w:r>
    </w:p>
    <w:p>
      <w:pPr>
        <w:ind w:left="40"/>
        <w:spacing w:after="0"/>
        <w:tabs>
          <w:tab w:leader="none" w:pos="6940" w:val="left"/>
          <w:tab w:leader="none" w:pos="8900" w:val="left"/>
        </w:tabs>
        <w:rPr>
          <w:sz w:val="20"/>
          <w:szCs w:val="20"/>
          <w:color w:val="auto"/>
        </w:rPr>
      </w:pPr>
      <w:r>
        <w:rPr>
          <w:rFonts w:ascii="Arial" w:cs="Arial" w:eastAsia="Arial" w:hAnsi="Arial"/>
          <w:sz w:val="14"/>
          <w:szCs w:val="14"/>
          <w:color w:val="auto"/>
        </w:rPr>
        <w:t>100 Vanguard Blvd.</w:t>
      </w:r>
      <w:r>
        <w:rPr>
          <w:sz w:val="20"/>
          <w:szCs w:val="20"/>
          <w:color w:val="auto"/>
        </w:rPr>
        <w:tab/>
      </w:r>
      <w:r>
        <w:rPr>
          <w:rFonts w:ascii="Arial" w:cs="Arial" w:eastAsia="Arial" w:hAnsi="Arial"/>
          <w:sz w:val="13"/>
          <w:szCs w:val="13"/>
          <w:color w:val="auto"/>
        </w:rPr>
        <w:t>6,882,889</w:t>
      </w:r>
      <w:r>
        <w:rPr>
          <w:rFonts w:ascii="Arial" w:cs="Arial" w:eastAsia="Arial" w:hAnsi="Arial"/>
          <w:sz w:val="20"/>
          <w:szCs w:val="20"/>
          <w:color w:val="auto"/>
          <w:vertAlign w:val="superscript"/>
        </w:rPr>
        <w:t>(2)</w:t>
      </w:r>
      <w:r>
        <w:rPr>
          <w:sz w:val="20"/>
          <w:szCs w:val="20"/>
          <w:color w:val="auto"/>
        </w:rPr>
        <w:tab/>
      </w:r>
      <w:r>
        <w:rPr>
          <w:rFonts w:ascii="Arial" w:cs="Arial" w:eastAsia="Arial" w:hAnsi="Arial"/>
          <w:sz w:val="14"/>
          <w:szCs w:val="14"/>
          <w:color w:val="auto"/>
        </w:rPr>
        <w:t>11.91%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Kayne Anderson Rudnick</w:t>
      </w:r>
    </w:p>
    <w:p>
      <w:pPr>
        <w:ind w:left="40"/>
        <w:spacing w:after="0" w:line="235" w:lineRule="auto"/>
        <w:rPr>
          <w:sz w:val="20"/>
          <w:szCs w:val="20"/>
          <w:color w:val="auto"/>
        </w:rPr>
      </w:pPr>
      <w:r>
        <w:rPr>
          <w:rFonts w:ascii="Arial" w:cs="Arial" w:eastAsia="Arial" w:hAnsi="Arial"/>
          <w:sz w:val="14"/>
          <w:szCs w:val="14"/>
          <w:color w:val="auto"/>
        </w:rPr>
        <w:t>Investment Management, LLC</w:t>
      </w:r>
    </w:p>
    <w:p>
      <w:pPr>
        <w:ind w:left="40"/>
        <w:spacing w:after="0"/>
        <w:tabs>
          <w:tab w:leader="none" w:pos="6940" w:val="left"/>
          <w:tab w:leader="none" w:pos="8980" w:val="left"/>
        </w:tabs>
        <w:rPr>
          <w:sz w:val="20"/>
          <w:szCs w:val="20"/>
          <w:color w:val="auto"/>
        </w:rPr>
      </w:pPr>
      <w:r>
        <w:rPr>
          <w:rFonts w:ascii="Arial" w:cs="Arial" w:eastAsia="Arial" w:hAnsi="Arial"/>
          <w:sz w:val="14"/>
          <w:szCs w:val="14"/>
          <w:color w:val="auto"/>
        </w:rPr>
        <w:t>2000 Avenue of the Stars</w:t>
      </w:r>
      <w:r>
        <w:rPr>
          <w:sz w:val="20"/>
          <w:szCs w:val="20"/>
          <w:color w:val="auto"/>
        </w:rPr>
        <w:tab/>
      </w:r>
      <w:r>
        <w:rPr>
          <w:rFonts w:ascii="Arial" w:cs="Arial" w:eastAsia="Arial" w:hAnsi="Arial"/>
          <w:sz w:val="13"/>
          <w:szCs w:val="13"/>
          <w:color w:val="auto"/>
        </w:rPr>
        <w:t>3,152,738</w:t>
      </w:r>
      <w:r>
        <w:rPr>
          <w:rFonts w:ascii="Arial" w:cs="Arial" w:eastAsia="Arial" w:hAnsi="Arial"/>
          <w:sz w:val="21"/>
          <w:szCs w:val="21"/>
          <w:color w:val="auto"/>
          <w:vertAlign w:val="superscript"/>
        </w:rPr>
        <w:t>(4)</w:t>
      </w:r>
      <w:r>
        <w:rPr>
          <w:sz w:val="20"/>
          <w:szCs w:val="20"/>
          <w:color w:val="auto"/>
        </w:rPr>
        <w:tab/>
      </w:r>
      <w:r>
        <w:rPr>
          <w:rFonts w:ascii="Arial" w:cs="Arial" w:eastAsia="Arial" w:hAnsi="Arial"/>
          <w:sz w:val="14"/>
          <w:szCs w:val="14"/>
          <w:color w:val="auto"/>
        </w:rPr>
        <w:t>5.12%</w:t>
      </w:r>
    </w:p>
    <w:p>
      <w:pPr>
        <w:ind w:left="40"/>
        <w:spacing w:after="0"/>
        <w:rPr>
          <w:sz w:val="20"/>
          <w:szCs w:val="20"/>
          <w:color w:val="auto"/>
        </w:rPr>
      </w:pPr>
      <w:r>
        <w:rPr>
          <w:rFonts w:ascii="Arial" w:cs="Arial" w:eastAsia="Arial" w:hAnsi="Arial"/>
          <w:sz w:val="14"/>
          <w:szCs w:val="14"/>
          <w:color w:val="auto"/>
        </w:rPr>
        <w:t>Suite 1110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 Angeles, CA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2" w:lineRule="exact"/>
        <w:rPr>
          <w:sz w:val="20"/>
          <w:szCs w:val="20"/>
          <w:color w:val="auto"/>
        </w:rPr>
      </w:pPr>
    </w:p>
    <w:p>
      <w:pPr>
        <w:ind w:left="360" w:hanging="354"/>
        <w:spacing w:after="0"/>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Except as otherwise indicated by footnote, each named shareholder has sole voting and investment power with respect to the shares indicated.</w:t>
      </w:r>
    </w:p>
    <w:p>
      <w:pPr>
        <w:spacing w:after="0" w:line="80"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BlackRock, Inc., either directly or through affiliated companies, beneficially owned this number of shares, as noted on the Schedule 13G(1A) it filed with the SEC on January 23, 2024.</w:t>
      </w:r>
    </w:p>
    <w:p>
      <w:pPr>
        <w:spacing w:after="0" w:line="48" w:lineRule="exact"/>
        <w:rPr>
          <w:rFonts w:ascii="Arial" w:cs="Arial" w:eastAsia="Arial" w:hAnsi="Arial"/>
          <w:sz w:val="13"/>
          <w:szCs w:val="13"/>
          <w:color w:val="333333"/>
        </w:rPr>
      </w:pPr>
    </w:p>
    <w:p>
      <w:pPr>
        <w:ind w:left="360" w:right="10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The Vanguard Group, either directly or through affiliated companies, beneficially owned this number of shares, as noted on the Schedule 13G(1A) it filed with the SEC on February 13, 2024.</w:t>
      </w:r>
    </w:p>
    <w:p>
      <w:pPr>
        <w:spacing w:after="0" w:line="61" w:lineRule="exact"/>
        <w:rPr>
          <w:rFonts w:ascii="Arial" w:cs="Arial" w:eastAsia="Arial" w:hAnsi="Arial"/>
          <w:sz w:val="13"/>
          <w:szCs w:val="13"/>
          <w:color w:val="333333"/>
        </w:rPr>
      </w:pPr>
    </w:p>
    <w:p>
      <w:pPr>
        <w:ind w:left="360" w:right="40" w:hanging="354"/>
        <w:spacing w:after="0" w:line="243" w:lineRule="auto"/>
        <w:tabs>
          <w:tab w:leader="none" w:pos="36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Kayne Anderson Rudnick Investment Management, LLC, either directly or through affiliated companies, beneficially owned this number of shares, as noted on the Schedule 13G(1A) it filed on February 13,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8</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0"/>
          <w:szCs w:val="40"/>
          <w:b w:val="1"/>
          <w:bCs w:val="1"/>
          <w:color w:val="017B52"/>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274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Board presently consists of nine members. These members are divided into three classes of equal number, with the classes to hold office for staggered terms of three years each. Our Board has nominated Matthew J. Missad, Thomas W. Rhodes and Brian C. Walker to three-year terms expiring at our 2027 Annual Meeting of Shareholders. Each incumbent director has been previously elected by our shareholders.</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persons named as proxy holders in the accompanying proxy will vote for the above-named nominees, unless a shareholder directs them differently by proxy. If a nominee is not available for election as a director at the time of the Annual Meeting (a situation which is not now anticipated), the Board may designate a substitute nominee, and the accompanying proxy will be voted for the substitute nominee.</w:t>
      </w:r>
    </w:p>
    <w:p>
      <w:pPr>
        <w:spacing w:after="0" w:line="15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proxies cannot be voted for a greater number of persons than the number of nominees named. The proxy holders, to the extent they have been granted authority to vote in the election of directors, may or may not vote for a substitute nominee.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vote required for the election of a director shall, except in a contested election, be the affirmative vote of a majority of the votes cast in the election of a nominee. A “majority of the votes cast” means that the number of votes cast “for” a director’s election must exceed the number of votes cast “against” that director’s election. “Abstentions” and “broker non-votes” are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14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596646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30035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7B52"/>
        </w:rPr>
        <w:t>The Board of Directors recommends a vote “FOR” the election of each of the three nominees.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9</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provides certain biographical information for each person who is nominated for election as a director at our Annual Meeting and for each person who is continuing as an incumbent director. The information was provided to us as of February 28, 2024, by the respective nominees and directors.</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Nominees for Term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581660</wp:posOffset>
            </wp:positionV>
            <wp:extent cx="1062990" cy="1268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8"/>
          <w:szCs w:val="28"/>
          <w:color w:val="017B52"/>
        </w:rPr>
        <w:t>Matthew J. Missad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D8C6C"/>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D8C6C"/>
        </w:rPr>
        <w:t>Chairman of the Board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63</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649605</wp:posOffset>
            </wp:positionV>
            <wp:extent cx="1062990" cy="1268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305" w:lineRule="auto"/>
        <w:rPr>
          <w:sz w:val="20"/>
          <w:szCs w:val="20"/>
          <w:color w:val="auto"/>
        </w:rPr>
      </w:pPr>
      <w:r>
        <w:rPr>
          <w:rFonts w:ascii="Arial" w:cs="Arial" w:eastAsia="Arial" w:hAnsi="Arial"/>
          <w:sz w:val="13"/>
          <w:szCs w:val="13"/>
          <w:b w:val="1"/>
          <w:bCs w:val="1"/>
          <w:color w:val="017B52"/>
        </w:rPr>
        <w:t>MATTHEW J. MISSAD</w:t>
      </w:r>
      <w:r>
        <w:rPr>
          <w:rFonts w:ascii="Arial" w:cs="Arial" w:eastAsia="Arial" w:hAnsi="Arial"/>
          <w:sz w:val="14"/>
          <w:szCs w:val="14"/>
          <w:color w:val="000000"/>
        </w:rPr>
        <w:t>, was appointed Chairman of the Board of our Company on February 2,</w:t>
      </w:r>
      <w:r>
        <w:rPr>
          <w:rFonts w:ascii="Arial" w:cs="Arial" w:eastAsia="Arial" w:hAnsi="Arial"/>
          <w:sz w:val="13"/>
          <w:szCs w:val="13"/>
          <w:b w:val="1"/>
          <w:bCs w:val="1"/>
          <w:color w:val="017B52"/>
        </w:rPr>
        <w:t xml:space="preserve"> </w:t>
      </w:r>
      <w:r>
        <w:rPr>
          <w:rFonts w:ascii="Arial" w:cs="Arial" w:eastAsia="Arial" w:hAnsi="Arial"/>
          <w:sz w:val="14"/>
          <w:szCs w:val="14"/>
          <w:color w:val="000000"/>
        </w:rPr>
        <w:t>2023. He became the fifth Chief Executive Officer in our Company’s history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Compensation Committee. Mr. Missad has a CPA certificate of examination, is a licensed real estate broker and previously operated a licensed mortgage brokerage.</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Mr. Missad’s experience and exposure to nearly all facets of our business are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culture, people, markets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282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443865</wp:posOffset>
            </wp:positionV>
            <wp:extent cx="59664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2520" w:space="720"/>
            <w:col w:w="6140"/>
          </w:cols>
          <w:pgMar w:left="1240" w:top="11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8"/>
          <w:szCs w:val="28"/>
          <w:color w:val="017B52"/>
        </w:rPr>
        <w:t>Thomas W. Rhodes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D8C6C"/>
        </w:rPr>
        <w:t>President and CEO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D8C6C"/>
        </w:rPr>
        <w:t>TWR Enterprises, Inc</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b w:val="1"/>
          <w:bCs w:val="1"/>
          <w:color w:val="017B52"/>
        </w:rPr>
        <w:t>THOMAS W. RHODES</w:t>
      </w:r>
      <w:r>
        <w:rPr>
          <w:rFonts w:ascii="Arial" w:cs="Arial" w:eastAsia="Arial" w:hAnsi="Arial"/>
          <w:sz w:val="14"/>
          <w:szCs w:val="14"/>
          <w:color w:val="000000"/>
        </w:rPr>
        <w:t>, is President and Chief Executive Officer of TWR Enterprises, Inc. of</w:t>
      </w:r>
      <w:r>
        <w:rPr>
          <w:rFonts w:ascii="Arial" w:cs="Arial" w:eastAsia="Arial" w:hAnsi="Arial"/>
          <w:sz w:val="13"/>
          <w:szCs w:val="13"/>
          <w:b w:val="1"/>
          <w:bCs w:val="1"/>
          <w:color w:val="017B52"/>
        </w:rPr>
        <w:t xml:space="preserve"> </w:t>
      </w:r>
      <w:r>
        <w:rPr>
          <w:rFonts w:ascii="Arial" w:cs="Arial" w:eastAsia="Arial" w:hAnsi="Arial"/>
          <w:sz w:val="14"/>
          <w:szCs w:val="14"/>
          <w:color w:val="000000"/>
        </w:rPr>
        <w:t>Corona, CA, a framing company he founded in 1984. TWR is one of the oldest and largest framing companies in Southern California. Mr. Rhodes has served as a board member of the California Framing Contractors Association, Building Industry Association - Orange County, and the California Professional Association of Specialty Contractors - Orange County/Inland Empire. He was appointed Lead Independent Director of our Company on February 2, 2023.</w:t>
      </w:r>
    </w:p>
    <w:p>
      <w:pPr>
        <w:spacing w:after="0" w:line="37"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Mr. Rhodes has spent over 40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have enabled him to branch out into other ventures, including real estate, hotel development and insurance. These experiences provide a unique benefit to his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282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2012</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Lead Director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Chairman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280670</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00"/>
            <w:col w:w="6140"/>
          </w:cols>
          <w:pgMar w:left="1240" w:top="114" w:right="127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UFP Industries      10</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1062990" cy="1268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color w:val="017B52"/>
        </w:rPr>
        <w:t>Brian C. Walker</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4D8C6C"/>
        </w:rPr>
        <w:t>Partner – Strategic Leadership for Huron Capital</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b w:val="1"/>
          <w:bCs w:val="1"/>
          <w:color w:val="017B52"/>
        </w:rPr>
        <w:t>BRIAN C. WALKER</w:t>
      </w:r>
      <w:r>
        <w:rPr>
          <w:rFonts w:ascii="Arial" w:cs="Arial" w:eastAsia="Arial" w:hAnsi="Arial"/>
          <w:sz w:val="14"/>
          <w:szCs w:val="14"/>
          <w:color w:val="000000"/>
        </w:rPr>
        <w:t>, joined the private equity firm of Huron Capital in January 2019 and is an</w:t>
      </w:r>
      <w:r>
        <w:rPr>
          <w:rFonts w:ascii="Arial" w:cs="Arial" w:eastAsia="Arial" w:hAnsi="Arial"/>
          <w:sz w:val="13"/>
          <w:szCs w:val="13"/>
          <w:b w:val="1"/>
          <w:bCs w:val="1"/>
          <w:color w:val="017B52"/>
        </w:rPr>
        <w:t xml:space="preserve"> </w:t>
      </w:r>
      <w:r>
        <w:rPr>
          <w:rFonts w:ascii="Arial" w:cs="Arial" w:eastAsia="Arial" w:hAnsi="Arial"/>
          <w:sz w:val="14"/>
          <w:szCs w:val="14"/>
          <w:color w:val="000000"/>
        </w:rPr>
        <w:t>Operating Partner. He retired as Director, President and Chief Executive Officer of Herman Miller, Inc. of Zeeland, MI on August 31, 2018, and previously served as its chief operating officer and chief financial officer. Prior to Herman Miller, he was a Certified Public Accountant with Arthur Andersen. Mr. Walker serves on the board of directors of Gentex Corporation. He served on the board of the Federal Reserve Bank of Chicago-Detroit Branch from 2009 to 2012.</w:t>
      </w:r>
    </w:p>
    <w:p>
      <w:pPr>
        <w:spacing w:after="0" w:line="37"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Mr. Walker is an audit committee financial expert, as defined by the SEC. His experience as the CEO of a large public company as well as his experience and expertise in finance, international business, executive compensation and strategic development are valuable to our Company. As a result, he has made meaningful contributions to Board discussions concerning the Company’s strategy and operations, and his education, expertise and experience in accounting and compensation matters provide a unique benefit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2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Chairman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452120</wp:posOffset>
            </wp:positionV>
            <wp:extent cx="5966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69" w:lineRule="exact"/>
        <w:rPr>
          <w:sz w:val="20"/>
          <w:szCs w:val="20"/>
          <w:color w:val="auto"/>
        </w:rPr>
      </w:pPr>
    </w:p>
    <w:p>
      <w:pPr>
        <w:sectPr>
          <w:pgSz w:w="11900" w:h="16838" w:orient="portrait"/>
          <w:cols w:equalWidth="0" w:num="2">
            <w:col w:w="2520" w:space="720"/>
            <w:col w:w="6140"/>
          </w:cols>
          <w:pgMar w:left="1240" w:top="11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274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580390</wp:posOffset>
            </wp:positionV>
            <wp:extent cx="1062990" cy="1268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27" w:lineRule="exact"/>
        <w:rPr>
          <w:sz w:val="20"/>
          <w:szCs w:val="20"/>
          <w:color w:val="auto"/>
        </w:rPr>
      </w:pPr>
    </w:p>
    <w:p>
      <w:pPr>
        <w:spacing w:after="0"/>
        <w:rPr>
          <w:sz w:val="20"/>
          <w:szCs w:val="20"/>
          <w:color w:val="auto"/>
        </w:rPr>
      </w:pPr>
      <w:r>
        <w:rPr>
          <w:rFonts w:ascii="Arial" w:cs="Arial" w:eastAsia="Arial" w:hAnsi="Arial"/>
          <w:sz w:val="28"/>
          <w:szCs w:val="28"/>
          <w:color w:val="017B52"/>
        </w:rPr>
        <w:t>Joan A. Budden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D8C6C"/>
        </w:rPr>
        <w:t>Former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D8C6C"/>
        </w:rPr>
        <w:t>CEO of Priority Health</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304" w:lineRule="auto"/>
        <w:rPr>
          <w:sz w:val="20"/>
          <w:szCs w:val="20"/>
          <w:color w:val="auto"/>
        </w:rPr>
      </w:pPr>
      <w:r>
        <w:rPr>
          <w:rFonts w:ascii="Arial" w:cs="Arial" w:eastAsia="Arial" w:hAnsi="Arial"/>
          <w:sz w:val="13"/>
          <w:szCs w:val="13"/>
          <w:b w:val="1"/>
          <w:bCs w:val="1"/>
          <w:color w:val="017B52"/>
        </w:rPr>
        <w:t>JOAN A. BUDDEN</w:t>
      </w:r>
      <w:r>
        <w:rPr>
          <w:rFonts w:ascii="Arial" w:cs="Arial" w:eastAsia="Arial" w:hAnsi="Arial"/>
          <w:sz w:val="14"/>
          <w:szCs w:val="14"/>
          <w:color w:val="000000"/>
        </w:rPr>
        <w:t>, Ms. Budden is the President of a boutique consulting company specializing in</w:t>
      </w:r>
      <w:r>
        <w:rPr>
          <w:rFonts w:ascii="Arial" w:cs="Arial" w:eastAsia="Arial" w:hAnsi="Arial"/>
          <w:sz w:val="13"/>
          <w:szCs w:val="13"/>
          <w:b w:val="1"/>
          <w:bCs w:val="1"/>
          <w:color w:val="017B52"/>
        </w:rPr>
        <w:t xml:space="preserve"> </w:t>
      </w:r>
      <w:r>
        <w:rPr>
          <w:rFonts w:ascii="Arial" w:cs="Arial" w:eastAsia="Arial" w:hAnsi="Arial"/>
          <w:sz w:val="14"/>
          <w:szCs w:val="14"/>
          <w:color w:val="000000"/>
        </w:rPr>
        <w:t>strategic planning, leadership development, culture change and strategic marketing. From January 2016 until January 2021, she was President &amp; CEO of Priority Health, one of Michigan’s largest health plans with over $3 billion in annual revenue. In that role, she successfully lead a large acquisition, expanded their market share and geographic footprint and drove profitable growth. Before becoming CEO, Ms. Budden served as Chief Marketing Officer for Priority Health since 2009. Ms. Budden’s responsibilities as Chief Marketing Officer included leading strategic positioning and profitable growth for direct to consumer, government and business-to-business markets.</w:t>
      </w:r>
    </w:p>
    <w:p>
      <w:pPr>
        <w:spacing w:after="0" w:line="41"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Ms. Budden has more than 25 years of executive leadership experience in the health insurance industry that includes leading business development, change management in technology environments, consumer experience, corporate governance and strategy development at a large national health insurer and an integrated delivery system. Ms. Budden serves as a director of Presbyterian Health Plan, Together Women’s Health and The Children’s Healing Center. Her experience in a highly competitive and regulated industry as well as her marketing expertise and leadership skills, make her an important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2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263525</wp:posOffset>
            </wp:positionV>
            <wp:extent cx="5966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6140"/>
          </w:cols>
          <w:pgMar w:left="1240" w:top="114" w:right="127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UFP Industries      11</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1062990" cy="1268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8"/>
          <w:szCs w:val="28"/>
          <w:color w:val="017B52"/>
        </w:rPr>
        <w:t>William G. Currie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302" w:lineRule="auto"/>
        <w:rPr>
          <w:sz w:val="20"/>
          <w:szCs w:val="20"/>
          <w:color w:val="auto"/>
        </w:rPr>
      </w:pPr>
      <w:r>
        <w:rPr>
          <w:rFonts w:ascii="Arial" w:cs="Arial" w:eastAsia="Arial" w:hAnsi="Arial"/>
          <w:sz w:val="13"/>
          <w:szCs w:val="13"/>
          <w:b w:val="1"/>
          <w:bCs w:val="1"/>
          <w:color w:val="017B52"/>
        </w:rPr>
        <w:t>WILLIAM G. CURRIE</w:t>
      </w:r>
      <w:r>
        <w:rPr>
          <w:rFonts w:ascii="Arial" w:cs="Arial" w:eastAsia="Arial" w:hAnsi="Arial"/>
          <w:sz w:val="14"/>
          <w:szCs w:val="14"/>
          <w:color w:val="000000"/>
        </w:rPr>
        <w:t>, joined our Company in 1971, and has served as a salesman, general</w:t>
      </w:r>
      <w:r>
        <w:rPr>
          <w:rFonts w:ascii="Arial" w:cs="Arial" w:eastAsia="Arial" w:hAnsi="Arial"/>
          <w:sz w:val="13"/>
          <w:szCs w:val="13"/>
          <w:b w:val="1"/>
          <w:bCs w:val="1"/>
          <w:color w:val="017B52"/>
        </w:rPr>
        <w:t xml:space="preserve"> </w:t>
      </w:r>
      <w:r>
        <w:rPr>
          <w:rFonts w:ascii="Arial" w:cs="Arial" w:eastAsia="Arial" w:hAnsi="Arial"/>
          <w:sz w:val="14"/>
          <w:szCs w:val="14"/>
          <w:color w:val="000000"/>
        </w:rPr>
        <w:t>manager, vice president and executive vice president. He was the Chief Executive Officer of our Company from 1989 to 2006, and on January 1, 2000, also became Vice Chairman of the Board. On April 19, 2006, he was named Chairman of the Board and served as an employee with the title of Executive Chairman until he retired from our Company on July 20, 2009. He remained Chairman of the Board until February 2, 2023. Mr. Currie served on the board of Forestar Real Estate Group Inc. from 2008 to 2016. He is the chief executive officer of Surefil, a manufacturer and filler of liquid products located in Grand Rapids, MI.</w:t>
      </w:r>
    </w:p>
    <w:p>
      <w:pPr>
        <w:spacing w:after="0" w:line="40" w:lineRule="exact"/>
        <w:rPr>
          <w:sz w:val="20"/>
          <w:szCs w:val="20"/>
          <w:color w:val="auto"/>
        </w:rPr>
      </w:pPr>
    </w:p>
    <w:p>
      <w:pPr>
        <w:ind w:right="40"/>
        <w:spacing w:after="0" w:line="312" w:lineRule="auto"/>
        <w:rPr>
          <w:sz w:val="20"/>
          <w:szCs w:val="20"/>
          <w:color w:val="auto"/>
        </w:rPr>
      </w:pPr>
      <w:r>
        <w:rPr>
          <w:rFonts w:ascii="Arial" w:cs="Arial" w:eastAsia="Arial" w:hAnsi="Arial"/>
          <w:sz w:val="14"/>
          <w:szCs w:val="14"/>
          <w:color w:val="auto"/>
        </w:rPr>
        <w:t>During his tenure with our Company, Mr. Currie created and, to this day, maintains extremely valuable relationships with many companies in the lumber and building materials industries. He has an in-depth understanding of our Company’s supply chain and customer base, which makes him an important asset to management in assessing growth opportunities and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194310</wp:posOffset>
            </wp:positionV>
            <wp:extent cx="282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2520" w:space="720"/>
            <w:col w:w="6160"/>
          </w:cols>
          <w:pgMar w:left="1240" w:top="114" w:right="1259" w:bottom="1440" w:gutter="0" w:footer="0" w:header="0"/>
          <w:type w:val="continuous"/>
        </w:sectPr>
      </w:pPr>
    </w:p>
    <w:p>
      <w:pPr>
        <w:spacing w:after="0"/>
        <w:tabs>
          <w:tab w:leader="none" w:pos="3220" w:val="left"/>
        </w:tabs>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1978</w:t>
      </w:r>
      <w:r>
        <w:rPr>
          <w:sz w:val="20"/>
          <w:szCs w:val="20"/>
          <w:color w:val="auto"/>
        </w:rPr>
        <w:tab/>
      </w:r>
      <w:r>
        <w:rPr>
          <w:rFonts w:ascii="Arial" w:cs="Arial" w:eastAsia="Arial" w:hAnsi="Arial"/>
          <w:sz w:val="12"/>
          <w:szCs w:val="12"/>
          <w:b w:val="1"/>
          <w:bCs w:val="1"/>
          <w:color w:val="017B52"/>
        </w:rPr>
        <w:t>SERVICE AS A DIRECTOR</w:t>
      </w:r>
    </w:p>
    <w:p>
      <w:pPr>
        <w:spacing w:after="0" w:line="69" w:lineRule="exact"/>
        <w:rPr>
          <w:sz w:val="20"/>
          <w:szCs w:val="20"/>
          <w:color w:val="auto"/>
        </w:rPr>
      </w:pPr>
    </w:p>
    <w:p>
      <w:pPr>
        <w:ind w:left="3240"/>
        <w:spacing w:after="0"/>
        <w:rPr>
          <w:sz w:val="20"/>
          <w:szCs w:val="20"/>
          <w:color w:val="auto"/>
        </w:rPr>
      </w:pPr>
      <w:r>
        <w:rPr>
          <w:rFonts w:ascii="Arial" w:cs="Arial" w:eastAsia="Arial" w:hAnsi="Arial"/>
          <w:sz w:val="14"/>
          <w:szCs w:val="14"/>
          <w:color w:val="333333"/>
        </w:rPr>
        <w:t>Director since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289560</wp:posOffset>
            </wp:positionV>
            <wp:extent cx="5966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906780</wp:posOffset>
            </wp:positionV>
            <wp:extent cx="1062990" cy="1268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color w:val="017B52"/>
        </w:rPr>
        <w:t>Bruce A. Merino</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4D8C6C"/>
        </w:rPr>
        <w:t>Former Senior Vice President of Merchandising for The Home Depot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4D8C6C"/>
        </w:rPr>
        <w:t xml:space="preserve">Age: </w:t>
      </w:r>
      <w:r>
        <w:rPr>
          <w:rFonts w:ascii="Arial" w:cs="Arial" w:eastAsia="Arial" w:hAnsi="Arial"/>
          <w:sz w:val="14"/>
          <w:szCs w:val="14"/>
          <w:color w:val="4D8C6C"/>
        </w:rPr>
        <w:t>70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4D8C6C"/>
        </w:rPr>
        <w:t xml:space="preserve">Director since: </w:t>
      </w:r>
      <w:r>
        <w:rPr>
          <w:rFonts w:ascii="Arial" w:cs="Arial" w:eastAsia="Arial" w:hAnsi="Arial"/>
          <w:sz w:val="14"/>
          <w:szCs w:val="14"/>
          <w:color w:val="4D8C6C"/>
        </w:rPr>
        <w:t>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316" w:lineRule="auto"/>
        <w:rPr>
          <w:sz w:val="20"/>
          <w:szCs w:val="20"/>
          <w:color w:val="auto"/>
        </w:rPr>
      </w:pPr>
      <w:r>
        <w:rPr>
          <w:rFonts w:ascii="Arial" w:cs="Arial" w:eastAsia="Arial" w:hAnsi="Arial"/>
          <w:sz w:val="13"/>
          <w:szCs w:val="13"/>
          <w:b w:val="1"/>
          <w:bCs w:val="1"/>
          <w:color w:val="017B52"/>
        </w:rPr>
        <w:t>BRUCE A. MERINO</w:t>
      </w:r>
      <w:r>
        <w:rPr>
          <w:rFonts w:ascii="Arial" w:cs="Arial" w:eastAsia="Arial" w:hAnsi="Arial"/>
          <w:sz w:val="14"/>
          <w:szCs w:val="14"/>
          <w:color w:val="000000"/>
        </w:rPr>
        <w:t>, retired from The Home Depot in 2009 after 25 years with the company. At the</w:t>
      </w:r>
      <w:r>
        <w:rPr>
          <w:rFonts w:ascii="Arial" w:cs="Arial" w:eastAsia="Arial" w:hAnsi="Arial"/>
          <w:sz w:val="13"/>
          <w:szCs w:val="13"/>
          <w:b w:val="1"/>
          <w:bCs w:val="1"/>
          <w:color w:val="017B52"/>
        </w:rPr>
        <w:t xml:space="preserve"> </w:t>
      </w:r>
      <w:r>
        <w:rPr>
          <w:rFonts w:ascii="Arial" w:cs="Arial" w:eastAsia="Arial" w:hAnsi="Arial"/>
          <w:sz w:val="14"/>
          <w:szCs w:val="14"/>
          <w:color w:val="000000"/>
        </w:rPr>
        <w:t>time of his retirement, he was Senior Vice President of Merchandising and President of The Home Depot’s Expo Design Center. Mr. Merino sits on the City of Hope’s Home Improvement Board Council and is its chair.</w:t>
      </w:r>
    </w:p>
    <w:p>
      <w:pPr>
        <w:spacing w:after="0" w:line="30"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Mr. Merino has been able to utilize his 39 years of experience in the home improvement industry to assist our Company in strategy and operations for our Retail Solutions segment. His understanding of the procurement and marketing operations of big box retailers is very valuable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282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2009</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854710</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03" w:lineRule="exact"/>
        <w:rPr>
          <w:sz w:val="20"/>
          <w:szCs w:val="20"/>
          <w:color w:val="auto"/>
        </w:rPr>
      </w:pPr>
    </w:p>
    <w:p>
      <w:pPr>
        <w:sectPr>
          <w:pgSz w:w="11900" w:h="16838" w:orient="portrait"/>
          <w:cols w:equalWidth="0" w:num="2">
            <w:col w:w="2580" w:space="660"/>
            <w:col w:w="6160"/>
          </w:cols>
          <w:pgMar w:left="1240" w:top="114" w:right="125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UFP Industries      12</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8"/>
          <w:szCs w:val="28"/>
          <w:b w:val="1"/>
          <w:bCs w:val="1"/>
          <w:color w:val="017B52"/>
        </w:rPr>
        <w:t>Incumbent Directors – Term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274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588645</wp:posOffset>
            </wp:positionV>
            <wp:extent cx="1054100" cy="127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54100" cy="127762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27" w:lineRule="exact"/>
        <w:rPr>
          <w:sz w:val="20"/>
          <w:szCs w:val="20"/>
          <w:color w:val="auto"/>
        </w:rPr>
      </w:pPr>
    </w:p>
    <w:p>
      <w:pPr>
        <w:spacing w:after="0"/>
        <w:rPr>
          <w:sz w:val="20"/>
          <w:szCs w:val="20"/>
          <w:color w:val="auto"/>
        </w:rPr>
      </w:pPr>
      <w:r>
        <w:rPr>
          <w:rFonts w:ascii="Arial" w:cs="Arial" w:eastAsia="Arial" w:hAnsi="Arial"/>
          <w:sz w:val="28"/>
          <w:szCs w:val="28"/>
          <w:color w:val="017B52"/>
        </w:rPr>
        <w:t>Benjamin J. McLean</w:t>
      </w:r>
    </w:p>
    <w:p>
      <w:pPr>
        <w:spacing w:after="0" w:line="14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4D8C6C"/>
        </w:rPr>
        <w:t>CEO of Ruan Transportation Management Systems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47</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542290</wp:posOffset>
            </wp:positionV>
            <wp:extent cx="1062990" cy="1268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2990" cy="1268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302" w:lineRule="auto"/>
        <w:rPr>
          <w:sz w:val="20"/>
          <w:szCs w:val="20"/>
          <w:color w:val="auto"/>
        </w:rPr>
      </w:pPr>
      <w:r>
        <w:rPr>
          <w:rFonts w:ascii="Arial" w:cs="Arial" w:eastAsia="Arial" w:hAnsi="Arial"/>
          <w:sz w:val="13"/>
          <w:szCs w:val="13"/>
          <w:b w:val="1"/>
          <w:bCs w:val="1"/>
          <w:color w:val="017B52"/>
        </w:rPr>
        <w:t>BENJAMIN J. MCLEAN</w:t>
      </w:r>
      <w:r>
        <w:rPr>
          <w:rFonts w:ascii="Arial" w:cs="Arial" w:eastAsia="Arial" w:hAnsi="Arial"/>
          <w:sz w:val="14"/>
          <w:szCs w:val="14"/>
          <w:color w:val="000000"/>
        </w:rPr>
        <w:t>, has been Chief Executive Officer of Ruan Transportation Management</w:t>
      </w:r>
      <w:r>
        <w:rPr>
          <w:rFonts w:ascii="Arial" w:cs="Arial" w:eastAsia="Arial" w:hAnsi="Arial"/>
          <w:sz w:val="13"/>
          <w:szCs w:val="13"/>
          <w:b w:val="1"/>
          <w:bCs w:val="1"/>
          <w:color w:val="017B52"/>
        </w:rPr>
        <w:t xml:space="preserve"> </w:t>
      </w:r>
      <w:r>
        <w:rPr>
          <w:rFonts w:ascii="Arial" w:cs="Arial" w:eastAsia="Arial" w:hAnsi="Arial"/>
          <w:sz w:val="14"/>
          <w:szCs w:val="14"/>
          <w:color w:val="000000"/>
        </w:rPr>
        <w:t>Systems, one of the largest privately-held logistics firms in the United States, since 2015. Since joining Ruan in 2007, Mr. McLean has also served as Ruan’s chief operating officer and chief information officer. Prior to joining Ruan, Mr. McLean assisted companies with mergers, acquisitions and equity offerings at William Blair &amp; Company in Chicago, IL, and delivered technology consulting services as part of Deloitte Consulting’s Chicago office. Mr. McLean serves as a board member for the American Transportation Research Institute, is a member of the Northwestern University Transportation Center Business Advisory Committee and is a member and prior chair of the Iowa Business Council. Mr. McLean also served as chair of the Governor’s Economic Recovery Advisory Board for the State of Iowa.</w:t>
      </w:r>
    </w:p>
    <w:p>
      <w:pPr>
        <w:spacing w:after="0" w:line="40" w:lineRule="exact"/>
        <w:rPr>
          <w:sz w:val="20"/>
          <w:szCs w:val="20"/>
          <w:color w:val="auto"/>
        </w:rPr>
      </w:pPr>
    </w:p>
    <w:p>
      <w:pPr>
        <w:ind w:right="340"/>
        <w:spacing w:after="0" w:line="313" w:lineRule="auto"/>
        <w:rPr>
          <w:sz w:val="20"/>
          <w:szCs w:val="20"/>
          <w:color w:val="auto"/>
        </w:rPr>
      </w:pPr>
      <w:r>
        <w:rPr>
          <w:rFonts w:ascii="Arial" w:cs="Arial" w:eastAsia="Arial" w:hAnsi="Arial"/>
          <w:sz w:val="14"/>
          <w:szCs w:val="14"/>
          <w:color w:val="auto"/>
        </w:rPr>
        <w:t>Mr. McLean is an audit committee financial expert as defined by the SEC. His experience in transportation and logistics, as well as his role as chief executive officer of a large and sophisticated business organization make him an important contributor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282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2020</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340360</wp:posOffset>
            </wp:positionV>
            <wp:extent cx="5966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2620" w:space="620"/>
            <w:col w:w="6160"/>
          </w:cols>
          <w:pgMar w:left="1240" w:top="11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017B52"/>
        </w:rPr>
        <w:t>Mary Tuuk Kuras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4D8C6C"/>
        </w:rPr>
        <w:t>CEO of MTK Practical Leadership</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59</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96" w:lineRule="auto"/>
        <w:rPr>
          <w:sz w:val="20"/>
          <w:szCs w:val="20"/>
          <w:color w:val="auto"/>
        </w:rPr>
      </w:pPr>
      <w:r>
        <w:rPr>
          <w:rFonts w:ascii="Arial" w:cs="Arial" w:eastAsia="Arial" w:hAnsi="Arial"/>
          <w:sz w:val="13"/>
          <w:szCs w:val="13"/>
          <w:b w:val="1"/>
          <w:bCs w:val="1"/>
          <w:color w:val="017B52"/>
        </w:rPr>
        <w:t>MARY TUUK KURAS</w:t>
      </w:r>
      <w:r>
        <w:rPr>
          <w:rFonts w:ascii="Arial" w:cs="Arial" w:eastAsia="Arial" w:hAnsi="Arial"/>
          <w:sz w:val="14"/>
          <w:szCs w:val="14"/>
          <w:color w:val="000000"/>
        </w:rPr>
        <w:t>, is CEO of MTK Practical Leadership, offering a common-sense approach to</w:t>
      </w:r>
      <w:r>
        <w:rPr>
          <w:rFonts w:ascii="Arial" w:cs="Arial" w:eastAsia="Arial" w:hAnsi="Arial"/>
          <w:sz w:val="13"/>
          <w:szCs w:val="13"/>
          <w:b w:val="1"/>
          <w:bCs w:val="1"/>
          <w:color w:val="017B52"/>
        </w:rPr>
        <w:t xml:space="preserve"> </w:t>
      </w:r>
      <w:r>
        <w:rPr>
          <w:rFonts w:ascii="Arial" w:cs="Arial" w:eastAsia="Arial" w:hAnsi="Arial"/>
          <w:sz w:val="14"/>
          <w:szCs w:val="14"/>
          <w:color w:val="000000"/>
        </w:rPr>
        <w:t>strengthening skills for executive leaders. Her work accelerates learning and effectiveness by teaching from real-life situations and passing on valuable knowledge from her 33 years of executive experience in multiple industries. On December 31, 2022 she retired as President and CEO of the Grand Rapids Symphony in Grand Rapids, MI, where she had served since January 2019. Before joining the Symphony, she served as Chief Compliance Officer/Senior Vice President, Properties and Real Estate for Meijer, Inc., a regional retail chain. While at Meijer, Ms. Tuuk Kuras also served as Chief Compliance Officer. Prior to her tenure with Meijer, she was Executive Vice President of Corporate Services, and Secretary of the Board of Directors for Fifth Third Bancorp of Cincinnati, OH. Ms. Tuuk Kuras’ previous positions with Fifth Third included Executive Vice President and Chief Risk Officer of Fifth Third Bancorp, and President of Fifth Third Bank (Western Michigan), where she had leadership responsibility for the growth and strategic direction of major lines of business. She was named one of the “25 Women to Watch in Banking” by the American Banker magazine each year from 2008 to 2014. She serves on the Board of Western Alliance Bancorporation, a regional bank with more than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$70 billion in assets, and serves on the boards of a variety of educational and civic institutions.</w:t>
      </w:r>
    </w:p>
    <w:p>
      <w:pPr>
        <w:spacing w:after="0" w:line="109"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Ms. Tuuk Kuras is an audit committee financial expert, as defined by the SEC. Her experience in the financial services and retail industries adds a unique perspective to our Board. Her expertise in enterprise risk management, corporate governance, legal affairs, compliance, regulatory and governmental affairs, as well as strategic planning, properties and real estate, corporate sustainability, operational leadership, and crisis management further enhances her value as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82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2014</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Member of Audit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271780</wp:posOffset>
            </wp:positionV>
            <wp:extent cx="5966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6160"/>
          </w:cols>
          <w:pgMar w:left="1240" w:top="114" w:right="125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UFP Industries      13</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1088390" cy="127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839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017B52"/>
        </w:rPr>
        <w:t> </w:t>
      </w:r>
    </w:p>
    <w:p>
      <w:pPr>
        <w:spacing w:after="0" w:line="113" w:lineRule="exact"/>
        <w:rPr>
          <w:sz w:val="20"/>
          <w:szCs w:val="20"/>
          <w:color w:val="auto"/>
        </w:rPr>
      </w:pPr>
    </w:p>
    <w:p>
      <w:pPr>
        <w:spacing w:after="0"/>
        <w:rPr>
          <w:sz w:val="20"/>
          <w:szCs w:val="20"/>
          <w:color w:val="auto"/>
        </w:rPr>
      </w:pPr>
      <w:r>
        <w:rPr>
          <w:rFonts w:ascii="Arial" w:cs="Arial" w:eastAsia="Arial" w:hAnsi="Arial"/>
          <w:sz w:val="28"/>
          <w:szCs w:val="28"/>
          <w:color w:val="017B52"/>
        </w:rPr>
        <w:t>Michael G. Wooldridge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4D8C6C"/>
        </w:rPr>
        <w:t>Partner with Varnum LLP</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Age: </w:t>
      </w:r>
      <w:r>
        <w:rPr>
          <w:rFonts w:ascii="Arial" w:cs="Arial" w:eastAsia="Arial" w:hAnsi="Arial"/>
          <w:sz w:val="14"/>
          <w:szCs w:val="14"/>
          <w:color w:val="017B52"/>
        </w:rPr>
        <w:t>64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017B52"/>
        </w:rPr>
        <w:t xml:space="preserve">Director since: </w:t>
      </w:r>
      <w:r>
        <w:rPr>
          <w:rFonts w:ascii="Arial" w:cs="Arial" w:eastAsia="Arial" w:hAnsi="Arial"/>
          <w:sz w:val="14"/>
          <w:szCs w:val="14"/>
          <w:color w:val="017B52"/>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307" w:lineRule="auto"/>
        <w:rPr>
          <w:sz w:val="20"/>
          <w:szCs w:val="20"/>
          <w:color w:val="auto"/>
        </w:rPr>
      </w:pPr>
      <w:r>
        <w:rPr>
          <w:rFonts w:ascii="Arial" w:cs="Arial" w:eastAsia="Arial" w:hAnsi="Arial"/>
          <w:sz w:val="13"/>
          <w:szCs w:val="13"/>
          <w:b w:val="1"/>
          <w:bCs w:val="1"/>
          <w:color w:val="017B52"/>
        </w:rPr>
        <w:t>MICHAEL G. WOOLDRIDGE</w:t>
      </w:r>
      <w:r>
        <w:rPr>
          <w:rFonts w:ascii="Arial" w:cs="Arial" w:eastAsia="Arial" w:hAnsi="Arial"/>
          <w:sz w:val="14"/>
          <w:szCs w:val="14"/>
          <w:color w:val="000000"/>
        </w:rPr>
        <w:t>, is a Partner with the law firm of Varnum LLP, headquartered in Grand</w:t>
      </w:r>
      <w:r>
        <w:rPr>
          <w:rFonts w:ascii="Arial" w:cs="Arial" w:eastAsia="Arial" w:hAnsi="Arial"/>
          <w:sz w:val="13"/>
          <w:szCs w:val="13"/>
          <w:b w:val="1"/>
          <w:bCs w:val="1"/>
          <w:color w:val="017B52"/>
        </w:rPr>
        <w:t xml:space="preserve"> </w:t>
      </w:r>
      <w:r>
        <w:rPr>
          <w:rFonts w:ascii="Arial" w:cs="Arial" w:eastAsia="Arial" w:hAnsi="Arial"/>
          <w:sz w:val="14"/>
          <w:szCs w:val="14"/>
          <w:color w:val="000000"/>
        </w:rPr>
        <w:t>Rapids, MI. He joined Varnum in 1985 and is a partner in the firm’s corporate practice group, focusing on corporate governance, securities, and mergers and acquisitions. Mr. Wooldridge served on and chaired the firm’s policy committee and has been included in The Best Lawyers in America since 2005. He also serves on the boards of several community organizations.</w:t>
      </w:r>
    </w:p>
    <w:p>
      <w:pPr>
        <w:spacing w:after="0" w:line="37" w:lineRule="exact"/>
        <w:rPr>
          <w:sz w:val="20"/>
          <w:szCs w:val="20"/>
          <w:color w:val="auto"/>
        </w:rPr>
      </w:pPr>
    </w:p>
    <w:p>
      <w:pPr>
        <w:ind w:right="140"/>
        <w:spacing w:after="0" w:line="309" w:lineRule="auto"/>
        <w:rPr>
          <w:sz w:val="20"/>
          <w:szCs w:val="20"/>
          <w:color w:val="auto"/>
        </w:rPr>
      </w:pPr>
      <w:r>
        <w:rPr>
          <w:rFonts w:ascii="Arial" w:cs="Arial" w:eastAsia="Arial" w:hAnsi="Arial"/>
          <w:sz w:val="14"/>
          <w:szCs w:val="14"/>
          <w:color w:val="auto"/>
        </w:rPr>
        <w:t>Mr. Wooldridge serves as an advisor and counsel to a number of publicly-held companies on a variety of corporate and securities law matters. His advice on compliance matters, corporate governance trends and developments and other issues is invaluable, as is his experience in advising other publicly-held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282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SERVICE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333333"/>
        </w:rPr>
        <w:t>Director since 2016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333333"/>
        </w:rPr>
        <w:t>Chairman of Nominating and Corporate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333333"/>
        </w:rPr>
        <w:t>Member of Personnel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614680</wp:posOffset>
            </wp:positionV>
            <wp:extent cx="5966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2">
            <w:col w:w="2920" w:space="320"/>
            <w:col w:w="6140"/>
          </w:cols>
          <w:pgMar w:left="1240" w:top="114" w:right="12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UFP Industries      14</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120650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Board Diversity Matrix (as of 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5966460" cy="3789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148"/>
        </w:trPr>
        <w:tc>
          <w:tcPr>
            <w:tcW w:w="4080" w:type="dxa"/>
            <w:vAlign w:val="bottom"/>
          </w:tcPr>
          <w:p>
            <w:pPr>
              <w:spacing w:after="0"/>
              <w:rPr>
                <w:sz w:val="20"/>
                <w:szCs w:val="20"/>
                <w:color w:val="auto"/>
              </w:rPr>
            </w:pPr>
            <w:r>
              <w:rPr>
                <w:rFonts w:ascii="Arial" w:cs="Arial" w:eastAsia="Arial" w:hAnsi="Arial"/>
                <w:sz w:val="11"/>
                <w:szCs w:val="11"/>
                <w:b w:val="1"/>
                <w:bCs w:val="1"/>
                <w:color w:val="auto"/>
              </w:rPr>
              <w:t>TOTAL NUMBER OF DIRECTORS</w:t>
            </w:r>
          </w:p>
        </w:tc>
        <w:tc>
          <w:tcPr>
            <w:tcW w:w="2460" w:type="dxa"/>
            <w:vAlign w:val="bottom"/>
          </w:tcPr>
          <w:p>
            <w:pPr>
              <w:jc w:val="right"/>
              <w:spacing w:after="0"/>
              <w:rPr>
                <w:sz w:val="20"/>
                <w:szCs w:val="20"/>
                <w:color w:val="auto"/>
              </w:rPr>
            </w:pPr>
            <w:r>
              <w:rPr>
                <w:rFonts w:ascii="Arial" w:cs="Arial" w:eastAsia="Arial" w:hAnsi="Arial"/>
                <w:sz w:val="11"/>
                <w:szCs w:val="11"/>
                <w:b w:val="1"/>
                <w:bCs w:val="1"/>
                <w:color w:val="auto"/>
              </w:rPr>
              <w:t>9</w:t>
            </w: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20" w:type="dxa"/>
            <w:vAlign w:val="bottom"/>
            <w:tcBorders>
              <w:top w:val="single" w:sz="8" w:color="017B52"/>
            </w:tcBorders>
          </w:tcPr>
          <w:p>
            <w:pPr>
              <w:spacing w:after="0"/>
              <w:rPr>
                <w:sz w:val="23"/>
                <w:szCs w:val="23"/>
                <w:color w:val="auto"/>
              </w:rPr>
            </w:pPr>
          </w:p>
        </w:tc>
        <w:tc>
          <w:tcPr>
            <w:tcW w:w="1360" w:type="dxa"/>
            <w:vAlign w:val="bottom"/>
            <w:tcBorders>
              <w:top w:val="single" w:sz="8" w:color="017B52"/>
              <w:right w:val="single" w:sz="8" w:color="017B52"/>
            </w:tcBorders>
            <w:vMerge w:val="restart"/>
          </w:tcPr>
          <w:p>
            <w:pPr>
              <w:jc w:val="center"/>
              <w:spacing w:after="0"/>
              <w:rPr>
                <w:sz w:val="20"/>
                <w:szCs w:val="20"/>
                <w:color w:val="auto"/>
              </w:rPr>
            </w:pPr>
            <w:r>
              <w:rPr>
                <w:rFonts w:ascii="Arial" w:cs="Arial" w:eastAsia="Arial" w:hAnsi="Arial"/>
                <w:sz w:val="14"/>
                <w:szCs w:val="14"/>
                <w:b w:val="1"/>
                <w:bCs w:val="1"/>
                <w:color w:val="auto"/>
              </w:rPr>
              <w:t>Female</w:t>
            </w:r>
          </w:p>
        </w:tc>
        <w:tc>
          <w:tcPr>
            <w:tcW w:w="1080" w:type="dxa"/>
            <w:vAlign w:val="bottom"/>
            <w:tcBorders>
              <w:top w:val="single" w:sz="8" w:color="017B52"/>
            </w:tcBorders>
            <w:vMerge w:val="restart"/>
          </w:tcPr>
          <w:p>
            <w:pPr>
              <w:jc w:val="center"/>
              <w:ind w:left="168"/>
              <w:spacing w:after="0"/>
              <w:rPr>
                <w:sz w:val="20"/>
                <w:szCs w:val="20"/>
                <w:color w:val="auto"/>
              </w:rPr>
            </w:pPr>
            <w:r>
              <w:rPr>
                <w:rFonts w:ascii="Arial" w:cs="Arial" w:eastAsia="Arial" w:hAnsi="Arial"/>
                <w:sz w:val="14"/>
                <w:szCs w:val="14"/>
                <w:b w:val="1"/>
                <w:bCs w:val="1"/>
                <w:color w:val="auto"/>
              </w:rPr>
              <w:t>Male</w:t>
            </w:r>
          </w:p>
        </w:tc>
        <w:tc>
          <w:tcPr>
            <w:tcW w:w="300" w:type="dxa"/>
            <w:vAlign w:val="bottom"/>
            <w:tcBorders>
              <w:top w:val="single" w:sz="8" w:color="017B52"/>
              <w:right w:val="single" w:sz="8" w:color="017B52"/>
            </w:tcBorders>
          </w:tcPr>
          <w:p>
            <w:pPr>
              <w:spacing w:after="0"/>
              <w:rPr>
                <w:sz w:val="23"/>
                <w:szCs w:val="23"/>
                <w:color w:val="auto"/>
              </w:rPr>
            </w:pPr>
          </w:p>
        </w:tc>
        <w:tc>
          <w:tcPr>
            <w:tcW w:w="1400" w:type="dxa"/>
            <w:vAlign w:val="bottom"/>
            <w:tcBorders>
              <w:top w:val="single" w:sz="8" w:color="017B52"/>
              <w:right w:val="single" w:sz="8" w:color="017B52"/>
            </w:tcBorders>
            <w:vMerge w:val="restart"/>
          </w:tcPr>
          <w:p>
            <w:pPr>
              <w:jc w:val="right"/>
              <w:ind w:right="268"/>
              <w:spacing w:after="0"/>
              <w:rPr>
                <w:sz w:val="20"/>
                <w:szCs w:val="20"/>
                <w:color w:val="auto"/>
              </w:rPr>
            </w:pPr>
            <w:r>
              <w:rPr>
                <w:rFonts w:ascii="Arial" w:cs="Arial" w:eastAsia="Arial" w:hAnsi="Arial"/>
                <w:sz w:val="14"/>
                <w:szCs w:val="14"/>
                <w:b w:val="1"/>
                <w:bCs w:val="1"/>
                <w:color w:val="auto"/>
              </w:rPr>
              <w:t>Non-Binary</w:t>
            </w:r>
          </w:p>
        </w:tc>
        <w:tc>
          <w:tcPr>
            <w:tcW w:w="1340" w:type="dxa"/>
            <w:vAlign w:val="bottom"/>
            <w:tcBorders>
              <w:top w:val="single" w:sz="8" w:color="017B52"/>
            </w:tcBorders>
          </w:tcPr>
          <w:p>
            <w:pPr>
              <w:jc w:val="center"/>
              <w:spacing w:after="0"/>
              <w:rPr>
                <w:sz w:val="20"/>
                <w:szCs w:val="20"/>
                <w:color w:val="auto"/>
              </w:rPr>
            </w:pPr>
            <w:r>
              <w:rPr>
                <w:rFonts w:ascii="Arial" w:cs="Arial" w:eastAsia="Arial" w:hAnsi="Arial"/>
                <w:sz w:val="14"/>
                <w:szCs w:val="14"/>
                <w:b w:val="1"/>
                <w:bCs w:val="1"/>
                <w:color w:val="auto"/>
              </w:rPr>
              <w:t>Did Not</w:t>
            </w: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360" w:type="dxa"/>
            <w:vAlign w:val="bottom"/>
            <w:tcBorders>
              <w:right w:val="single" w:sz="8" w:color="017B52"/>
            </w:tcBorders>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300" w:type="dxa"/>
            <w:vAlign w:val="bottom"/>
            <w:tcBorders>
              <w:right w:val="single" w:sz="8" w:color="017B52"/>
            </w:tcBorders>
          </w:tcPr>
          <w:p>
            <w:pPr>
              <w:spacing w:after="0"/>
              <w:rPr>
                <w:sz w:val="10"/>
                <w:szCs w:val="10"/>
                <w:color w:val="auto"/>
              </w:rPr>
            </w:pPr>
          </w:p>
        </w:tc>
        <w:tc>
          <w:tcPr>
            <w:tcW w:w="1400" w:type="dxa"/>
            <w:vAlign w:val="bottom"/>
            <w:tcBorders>
              <w:right w:val="single" w:sz="8" w:color="017B52"/>
            </w:tcBorders>
            <w:vMerge w:val="continue"/>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Disclose Gender</w:t>
            </w:r>
          </w:p>
        </w:tc>
        <w:tc>
          <w:tcPr>
            <w:tcW w:w="0" w:type="dxa"/>
            <w:vAlign w:val="bottom"/>
          </w:tcPr>
          <w:p>
            <w:pPr>
              <w:spacing w:after="0"/>
              <w:rPr>
                <w:sz w:val="1"/>
                <w:szCs w:val="1"/>
                <w:color w:val="auto"/>
              </w:rPr>
            </w:pPr>
          </w:p>
        </w:tc>
      </w:tr>
      <w:tr>
        <w:trPr>
          <w:trHeight w:val="81"/>
        </w:trPr>
        <w:tc>
          <w:tcPr>
            <w:tcW w:w="3920" w:type="dxa"/>
            <w:vAlign w:val="bottom"/>
          </w:tcPr>
          <w:p>
            <w:pPr>
              <w:spacing w:after="0"/>
              <w:rPr>
                <w:sz w:val="7"/>
                <w:szCs w:val="7"/>
                <w:color w:val="auto"/>
              </w:rPr>
            </w:pPr>
          </w:p>
        </w:tc>
        <w:tc>
          <w:tcPr>
            <w:tcW w:w="1360" w:type="dxa"/>
            <w:vAlign w:val="bottom"/>
            <w:tcBorders>
              <w:right w:val="single" w:sz="8" w:color="017B52"/>
            </w:tcBorders>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Borders>
              <w:right w:val="single" w:sz="8" w:color="017B52"/>
            </w:tcBorders>
          </w:tcPr>
          <w:p>
            <w:pPr>
              <w:spacing w:after="0"/>
              <w:rPr>
                <w:sz w:val="7"/>
                <w:szCs w:val="7"/>
                <w:color w:val="auto"/>
              </w:rPr>
            </w:pPr>
          </w:p>
        </w:tc>
        <w:tc>
          <w:tcPr>
            <w:tcW w:w="1400" w:type="dxa"/>
            <w:vAlign w:val="bottom"/>
            <w:tcBorders>
              <w:right w:val="single" w:sz="8" w:color="017B52"/>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920" w:type="dxa"/>
            <w:vAlign w:val="bottom"/>
            <w:tcBorders>
              <w:bottom w:val="single" w:sz="8" w:color="017B52"/>
            </w:tcBorders>
          </w:tcPr>
          <w:p>
            <w:pPr>
              <w:spacing w:after="0"/>
              <w:rPr>
                <w:sz w:val="7"/>
                <w:szCs w:val="7"/>
                <w:color w:val="auto"/>
              </w:rPr>
            </w:pPr>
          </w:p>
        </w:tc>
        <w:tc>
          <w:tcPr>
            <w:tcW w:w="1360" w:type="dxa"/>
            <w:vAlign w:val="bottom"/>
            <w:tcBorders>
              <w:bottom w:val="single" w:sz="8" w:color="017B52"/>
              <w:right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300" w:type="dxa"/>
            <w:vAlign w:val="bottom"/>
            <w:tcBorders>
              <w:bottom w:val="single" w:sz="8" w:color="017B52"/>
              <w:right w:val="single" w:sz="8" w:color="017B52"/>
            </w:tcBorders>
          </w:tcPr>
          <w:p>
            <w:pPr>
              <w:spacing w:after="0"/>
              <w:rPr>
                <w:sz w:val="7"/>
                <w:szCs w:val="7"/>
                <w:color w:val="auto"/>
              </w:rPr>
            </w:pPr>
          </w:p>
        </w:tc>
        <w:tc>
          <w:tcPr>
            <w:tcW w:w="1400" w:type="dxa"/>
            <w:vAlign w:val="bottom"/>
            <w:tcBorders>
              <w:bottom w:val="single" w:sz="8" w:color="017B52"/>
              <w:right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140"/>
              <w:spacing w:after="0"/>
              <w:rPr>
                <w:sz w:val="20"/>
                <w:szCs w:val="20"/>
                <w:color w:val="auto"/>
              </w:rPr>
            </w:pPr>
            <w:r>
              <w:rPr>
                <w:rFonts w:ascii="Arial" w:cs="Arial" w:eastAsia="Arial" w:hAnsi="Arial"/>
                <w:sz w:val="11"/>
                <w:szCs w:val="11"/>
                <w:b w:val="1"/>
                <w:bCs w:val="1"/>
                <w:color w:val="auto"/>
              </w:rPr>
              <w:t>PART I: GENDER IDENTITY</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920" w:type="dxa"/>
            <w:vAlign w:val="bottom"/>
            <w:tcBorders>
              <w:bottom w:val="single" w:sz="8" w:color="017B52"/>
            </w:tcBorders>
          </w:tcPr>
          <w:p>
            <w:pPr>
              <w:spacing w:after="0"/>
              <w:rPr>
                <w:sz w:val="8"/>
                <w:szCs w:val="8"/>
                <w:color w:val="auto"/>
              </w:rPr>
            </w:pPr>
          </w:p>
        </w:tc>
        <w:tc>
          <w:tcPr>
            <w:tcW w:w="1360" w:type="dxa"/>
            <w:vAlign w:val="bottom"/>
            <w:tcBorders>
              <w:bottom w:val="single" w:sz="8" w:color="017B52"/>
            </w:tcBorders>
          </w:tcPr>
          <w:p>
            <w:pPr>
              <w:spacing w:after="0"/>
              <w:rPr>
                <w:sz w:val="8"/>
                <w:szCs w:val="8"/>
                <w:color w:val="auto"/>
              </w:rPr>
            </w:pPr>
          </w:p>
        </w:tc>
        <w:tc>
          <w:tcPr>
            <w:tcW w:w="1080" w:type="dxa"/>
            <w:vAlign w:val="bottom"/>
            <w:tcBorders>
              <w:bottom w:val="single" w:sz="8" w:color="017B52"/>
            </w:tcBorders>
          </w:tcPr>
          <w:p>
            <w:pPr>
              <w:spacing w:after="0"/>
              <w:rPr>
                <w:sz w:val="8"/>
                <w:szCs w:val="8"/>
                <w:color w:val="auto"/>
              </w:rPr>
            </w:pPr>
          </w:p>
        </w:tc>
        <w:tc>
          <w:tcPr>
            <w:tcW w:w="300" w:type="dxa"/>
            <w:vAlign w:val="bottom"/>
            <w:tcBorders>
              <w:bottom w:val="single" w:sz="8" w:color="017B52"/>
            </w:tcBorders>
          </w:tcPr>
          <w:p>
            <w:pPr>
              <w:spacing w:after="0"/>
              <w:rPr>
                <w:sz w:val="8"/>
                <w:szCs w:val="8"/>
                <w:color w:val="auto"/>
              </w:rPr>
            </w:pPr>
          </w:p>
        </w:tc>
        <w:tc>
          <w:tcPr>
            <w:tcW w:w="1400" w:type="dxa"/>
            <w:vAlign w:val="bottom"/>
            <w:tcBorders>
              <w:bottom w:val="single" w:sz="8" w:color="017B52"/>
            </w:tcBorders>
          </w:tcPr>
          <w:p>
            <w:pPr>
              <w:spacing w:after="0"/>
              <w:rPr>
                <w:sz w:val="8"/>
                <w:szCs w:val="8"/>
                <w:color w:val="auto"/>
              </w:rPr>
            </w:pPr>
          </w:p>
        </w:tc>
        <w:tc>
          <w:tcPr>
            <w:tcW w:w="134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Directors</w:t>
            </w:r>
          </w:p>
        </w:tc>
        <w:tc>
          <w:tcPr>
            <w:tcW w:w="1360" w:type="dxa"/>
            <w:vAlign w:val="bottom"/>
            <w:tcBorders>
              <w:right w:val="single" w:sz="8" w:color="017B52"/>
            </w:tcBorders>
          </w:tcPr>
          <w:p>
            <w:pPr>
              <w:jc w:val="center"/>
              <w:ind w:right="8"/>
              <w:spacing w:after="0"/>
              <w:rPr>
                <w:sz w:val="20"/>
                <w:szCs w:val="20"/>
                <w:color w:val="auto"/>
              </w:rPr>
            </w:pPr>
            <w:r>
              <w:rPr>
                <w:rFonts w:ascii="Arial" w:cs="Arial" w:eastAsia="Arial" w:hAnsi="Arial"/>
                <w:sz w:val="14"/>
                <w:szCs w:val="14"/>
                <w:color w:val="auto"/>
              </w:rPr>
              <w:t>2</w:t>
            </w:r>
          </w:p>
        </w:tc>
        <w:tc>
          <w:tcPr>
            <w:tcW w:w="1080" w:type="dxa"/>
            <w:vAlign w:val="bottom"/>
          </w:tcPr>
          <w:p>
            <w:pPr>
              <w:jc w:val="center"/>
              <w:ind w:left="168"/>
              <w:spacing w:after="0"/>
              <w:rPr>
                <w:sz w:val="20"/>
                <w:szCs w:val="20"/>
                <w:color w:val="auto"/>
              </w:rPr>
            </w:pPr>
            <w:r>
              <w:rPr>
                <w:rFonts w:ascii="Arial" w:cs="Arial" w:eastAsia="Arial" w:hAnsi="Arial"/>
                <w:sz w:val="14"/>
                <w:szCs w:val="14"/>
                <w:color w:val="auto"/>
              </w:rPr>
              <w:t>6</w:t>
            </w:r>
          </w:p>
        </w:tc>
        <w:tc>
          <w:tcPr>
            <w:tcW w:w="300" w:type="dxa"/>
            <w:vAlign w:val="bottom"/>
            <w:tcBorders>
              <w:right w:val="single" w:sz="8" w:color="017B52"/>
            </w:tcBorders>
          </w:tcPr>
          <w:p>
            <w:pPr>
              <w:spacing w:after="0"/>
              <w:rPr>
                <w:sz w:val="24"/>
                <w:szCs w:val="24"/>
                <w:color w:val="auto"/>
              </w:rPr>
            </w:pPr>
          </w:p>
        </w:tc>
        <w:tc>
          <w:tcPr>
            <w:tcW w:w="1400" w:type="dxa"/>
            <w:vAlign w:val="bottom"/>
            <w:tcBorders>
              <w:right w:val="single" w:sz="8" w:color="017B52"/>
            </w:tcBorders>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9"/>
        </w:trPr>
        <w:tc>
          <w:tcPr>
            <w:tcW w:w="3920" w:type="dxa"/>
            <w:vAlign w:val="bottom"/>
            <w:tcBorders>
              <w:bottom w:val="single" w:sz="8" w:color="017B52"/>
              <w:right w:val="single" w:sz="8" w:color="017B52"/>
            </w:tcBorders>
          </w:tcPr>
          <w:p>
            <w:pPr>
              <w:spacing w:after="0"/>
              <w:rPr>
                <w:sz w:val="7"/>
                <w:szCs w:val="7"/>
                <w:color w:val="auto"/>
              </w:rPr>
            </w:pPr>
          </w:p>
        </w:tc>
        <w:tc>
          <w:tcPr>
            <w:tcW w:w="1360" w:type="dxa"/>
            <w:vAlign w:val="bottom"/>
            <w:tcBorders>
              <w:bottom w:val="single" w:sz="8" w:color="017B52"/>
              <w:right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300" w:type="dxa"/>
            <w:vAlign w:val="bottom"/>
            <w:tcBorders>
              <w:bottom w:val="single" w:sz="8" w:color="017B52"/>
              <w:right w:val="single" w:sz="8" w:color="017B52"/>
            </w:tcBorders>
          </w:tcPr>
          <w:p>
            <w:pPr>
              <w:spacing w:after="0"/>
              <w:rPr>
                <w:sz w:val="7"/>
                <w:szCs w:val="7"/>
                <w:color w:val="auto"/>
              </w:rPr>
            </w:pPr>
          </w:p>
        </w:tc>
        <w:tc>
          <w:tcPr>
            <w:tcW w:w="1400" w:type="dxa"/>
            <w:vAlign w:val="bottom"/>
            <w:tcBorders>
              <w:bottom w:val="single" w:sz="8" w:color="017B52"/>
              <w:right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140"/>
              <w:spacing w:after="0"/>
              <w:rPr>
                <w:sz w:val="20"/>
                <w:szCs w:val="20"/>
                <w:color w:val="auto"/>
              </w:rPr>
            </w:pPr>
            <w:r>
              <w:rPr>
                <w:rFonts w:ascii="Arial" w:cs="Arial" w:eastAsia="Arial" w:hAnsi="Arial"/>
                <w:sz w:val="11"/>
                <w:szCs w:val="11"/>
                <w:b w:val="1"/>
                <w:bCs w:val="1"/>
                <w:color w:val="auto"/>
              </w:rPr>
              <w:t>PART II: DEMOGRAPHIC BACKGROUND</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920" w:type="dxa"/>
            <w:vAlign w:val="bottom"/>
            <w:tcBorders>
              <w:bottom w:val="single" w:sz="8" w:color="017B52"/>
            </w:tcBorders>
          </w:tcPr>
          <w:p>
            <w:pPr>
              <w:spacing w:after="0"/>
              <w:rPr>
                <w:sz w:val="8"/>
                <w:szCs w:val="8"/>
                <w:color w:val="auto"/>
              </w:rPr>
            </w:pPr>
          </w:p>
        </w:tc>
        <w:tc>
          <w:tcPr>
            <w:tcW w:w="1360" w:type="dxa"/>
            <w:vAlign w:val="bottom"/>
            <w:tcBorders>
              <w:bottom w:val="single" w:sz="8" w:color="017B52"/>
            </w:tcBorders>
          </w:tcPr>
          <w:p>
            <w:pPr>
              <w:spacing w:after="0"/>
              <w:rPr>
                <w:sz w:val="8"/>
                <w:szCs w:val="8"/>
                <w:color w:val="auto"/>
              </w:rPr>
            </w:pPr>
          </w:p>
        </w:tc>
        <w:tc>
          <w:tcPr>
            <w:tcW w:w="1080" w:type="dxa"/>
            <w:vAlign w:val="bottom"/>
            <w:tcBorders>
              <w:bottom w:val="single" w:sz="8" w:color="017B52"/>
            </w:tcBorders>
          </w:tcPr>
          <w:p>
            <w:pPr>
              <w:spacing w:after="0"/>
              <w:rPr>
                <w:sz w:val="8"/>
                <w:szCs w:val="8"/>
                <w:color w:val="auto"/>
              </w:rPr>
            </w:pPr>
          </w:p>
        </w:tc>
        <w:tc>
          <w:tcPr>
            <w:tcW w:w="300" w:type="dxa"/>
            <w:vAlign w:val="bottom"/>
            <w:tcBorders>
              <w:bottom w:val="single" w:sz="8" w:color="017B52"/>
            </w:tcBorders>
          </w:tcPr>
          <w:p>
            <w:pPr>
              <w:spacing w:after="0"/>
              <w:rPr>
                <w:sz w:val="8"/>
                <w:szCs w:val="8"/>
                <w:color w:val="auto"/>
              </w:rPr>
            </w:pPr>
          </w:p>
        </w:tc>
        <w:tc>
          <w:tcPr>
            <w:tcW w:w="1400" w:type="dxa"/>
            <w:vAlign w:val="bottom"/>
            <w:tcBorders>
              <w:bottom w:val="single" w:sz="8" w:color="017B52"/>
            </w:tcBorders>
          </w:tcPr>
          <w:p>
            <w:pPr>
              <w:spacing w:after="0"/>
              <w:rPr>
                <w:sz w:val="8"/>
                <w:szCs w:val="8"/>
                <w:color w:val="auto"/>
              </w:rPr>
            </w:pPr>
          </w:p>
        </w:tc>
        <w:tc>
          <w:tcPr>
            <w:tcW w:w="134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African American or Black</w:t>
            </w:r>
          </w:p>
        </w:tc>
        <w:tc>
          <w:tcPr>
            <w:tcW w:w="1360" w:type="dxa"/>
            <w:vAlign w:val="bottom"/>
            <w:tcBorders>
              <w:right w:val="single" w:sz="8" w:color="017B52"/>
            </w:tcBorders>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Borders>
              <w:right w:val="single" w:sz="8" w:color="017B52"/>
            </w:tcBorders>
          </w:tcPr>
          <w:p>
            <w:pPr>
              <w:spacing w:after="0"/>
              <w:rPr>
                <w:sz w:val="21"/>
                <w:szCs w:val="21"/>
                <w:color w:val="auto"/>
              </w:rPr>
            </w:pPr>
          </w:p>
        </w:tc>
        <w:tc>
          <w:tcPr>
            <w:tcW w:w="1400" w:type="dxa"/>
            <w:vAlign w:val="bottom"/>
            <w:tcBorders>
              <w:right w:val="single" w:sz="8" w:color="017B52"/>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right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right w:val="single" w:sz="8" w:color="017B52"/>
            </w:tcBorders>
          </w:tcPr>
          <w:p>
            <w:pPr>
              <w:spacing w:after="0"/>
              <w:rPr>
                <w:sz w:val="10"/>
                <w:szCs w:val="10"/>
                <w:color w:val="auto"/>
              </w:rPr>
            </w:pPr>
          </w:p>
        </w:tc>
        <w:tc>
          <w:tcPr>
            <w:tcW w:w="1400" w:type="dxa"/>
            <w:vAlign w:val="bottom"/>
            <w:tcBorders>
              <w:bottom w:val="single" w:sz="8" w:color="017B52"/>
              <w:right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Alaskan Native or Native American</w:t>
            </w:r>
          </w:p>
        </w:tc>
        <w:tc>
          <w:tcPr>
            <w:tcW w:w="1360" w:type="dxa"/>
            <w:vAlign w:val="bottom"/>
            <w:tcBorders>
              <w:right w:val="single" w:sz="8" w:color="017B52"/>
            </w:tcBorders>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Borders>
              <w:right w:val="single" w:sz="8" w:color="017B52"/>
            </w:tcBorders>
          </w:tcPr>
          <w:p>
            <w:pPr>
              <w:spacing w:after="0"/>
              <w:rPr>
                <w:sz w:val="21"/>
                <w:szCs w:val="21"/>
                <w:color w:val="auto"/>
              </w:rPr>
            </w:pPr>
          </w:p>
        </w:tc>
        <w:tc>
          <w:tcPr>
            <w:tcW w:w="1400" w:type="dxa"/>
            <w:vAlign w:val="bottom"/>
            <w:tcBorders>
              <w:right w:val="single" w:sz="8" w:color="017B52"/>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right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right w:val="single" w:sz="8" w:color="017B52"/>
            </w:tcBorders>
          </w:tcPr>
          <w:p>
            <w:pPr>
              <w:spacing w:after="0"/>
              <w:rPr>
                <w:sz w:val="10"/>
                <w:szCs w:val="10"/>
                <w:color w:val="auto"/>
              </w:rPr>
            </w:pPr>
          </w:p>
        </w:tc>
        <w:tc>
          <w:tcPr>
            <w:tcW w:w="1400" w:type="dxa"/>
            <w:vAlign w:val="bottom"/>
            <w:tcBorders>
              <w:bottom w:val="single" w:sz="8" w:color="017B52"/>
              <w:right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Asian</w:t>
            </w:r>
          </w:p>
        </w:tc>
        <w:tc>
          <w:tcPr>
            <w:tcW w:w="1360" w:type="dxa"/>
            <w:vAlign w:val="bottom"/>
            <w:tcBorders>
              <w:right w:val="single" w:sz="8" w:color="017B52"/>
            </w:tcBorders>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Borders>
              <w:right w:val="single" w:sz="8" w:color="017B52"/>
            </w:tcBorders>
          </w:tcPr>
          <w:p>
            <w:pPr>
              <w:spacing w:after="0"/>
              <w:rPr>
                <w:sz w:val="21"/>
                <w:szCs w:val="21"/>
                <w:color w:val="auto"/>
              </w:rPr>
            </w:pPr>
          </w:p>
        </w:tc>
        <w:tc>
          <w:tcPr>
            <w:tcW w:w="1400" w:type="dxa"/>
            <w:vAlign w:val="bottom"/>
            <w:tcBorders>
              <w:right w:val="single" w:sz="8" w:color="017B52"/>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right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right w:val="single" w:sz="8" w:color="017B52"/>
            </w:tcBorders>
          </w:tcPr>
          <w:p>
            <w:pPr>
              <w:spacing w:after="0"/>
              <w:rPr>
                <w:sz w:val="10"/>
                <w:szCs w:val="10"/>
                <w:color w:val="auto"/>
              </w:rPr>
            </w:pPr>
          </w:p>
        </w:tc>
        <w:tc>
          <w:tcPr>
            <w:tcW w:w="1400" w:type="dxa"/>
            <w:vAlign w:val="bottom"/>
            <w:tcBorders>
              <w:bottom w:val="single" w:sz="8" w:color="017B52"/>
              <w:right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Hispanic or Latinx</w:t>
            </w:r>
          </w:p>
        </w:tc>
        <w:tc>
          <w:tcPr>
            <w:tcW w:w="1360" w:type="dxa"/>
            <w:vAlign w:val="bottom"/>
            <w:tcBorders>
              <w:right w:val="single" w:sz="8" w:color="017B52"/>
            </w:tcBorders>
          </w:tcPr>
          <w:p>
            <w:pPr>
              <w:spacing w:after="0"/>
              <w:rPr>
                <w:sz w:val="24"/>
                <w:szCs w:val="24"/>
                <w:color w:val="auto"/>
              </w:rPr>
            </w:pPr>
          </w:p>
        </w:tc>
        <w:tc>
          <w:tcPr>
            <w:tcW w:w="1080" w:type="dxa"/>
            <w:vAlign w:val="bottom"/>
          </w:tcPr>
          <w:p>
            <w:pPr>
              <w:jc w:val="center"/>
              <w:ind w:left="168"/>
              <w:spacing w:after="0"/>
              <w:rPr>
                <w:sz w:val="20"/>
                <w:szCs w:val="20"/>
                <w:color w:val="auto"/>
              </w:rPr>
            </w:pPr>
            <w:r>
              <w:rPr>
                <w:rFonts w:ascii="Arial" w:cs="Arial" w:eastAsia="Arial" w:hAnsi="Arial"/>
                <w:sz w:val="14"/>
                <w:szCs w:val="14"/>
                <w:color w:val="auto"/>
              </w:rPr>
              <w:t>1</w:t>
            </w:r>
          </w:p>
        </w:tc>
        <w:tc>
          <w:tcPr>
            <w:tcW w:w="300" w:type="dxa"/>
            <w:vAlign w:val="bottom"/>
            <w:tcBorders>
              <w:right w:val="single" w:sz="8" w:color="017B52"/>
            </w:tcBorders>
          </w:tcPr>
          <w:p>
            <w:pPr>
              <w:spacing w:after="0"/>
              <w:rPr>
                <w:sz w:val="24"/>
                <w:szCs w:val="24"/>
                <w:color w:val="auto"/>
              </w:rPr>
            </w:pPr>
          </w:p>
        </w:tc>
        <w:tc>
          <w:tcPr>
            <w:tcW w:w="1400" w:type="dxa"/>
            <w:vAlign w:val="bottom"/>
            <w:tcBorders>
              <w:right w:val="single" w:sz="8" w:color="017B52"/>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920" w:type="dxa"/>
            <w:vAlign w:val="bottom"/>
            <w:tcBorders>
              <w:bottom w:val="single" w:sz="8" w:color="017B52"/>
              <w:right w:val="single" w:sz="8" w:color="017B52"/>
            </w:tcBorders>
          </w:tcPr>
          <w:p>
            <w:pPr>
              <w:spacing w:after="0"/>
              <w:rPr>
                <w:sz w:val="7"/>
                <w:szCs w:val="7"/>
                <w:color w:val="auto"/>
              </w:rPr>
            </w:pPr>
          </w:p>
        </w:tc>
        <w:tc>
          <w:tcPr>
            <w:tcW w:w="1360" w:type="dxa"/>
            <w:vAlign w:val="bottom"/>
            <w:tcBorders>
              <w:bottom w:val="single" w:sz="8" w:color="017B52"/>
              <w:right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300" w:type="dxa"/>
            <w:vAlign w:val="bottom"/>
            <w:tcBorders>
              <w:bottom w:val="single" w:sz="8" w:color="017B52"/>
              <w:right w:val="single" w:sz="8" w:color="017B52"/>
            </w:tcBorders>
          </w:tcPr>
          <w:p>
            <w:pPr>
              <w:spacing w:after="0"/>
              <w:rPr>
                <w:sz w:val="7"/>
                <w:szCs w:val="7"/>
                <w:color w:val="auto"/>
              </w:rPr>
            </w:pPr>
          </w:p>
        </w:tc>
        <w:tc>
          <w:tcPr>
            <w:tcW w:w="1400" w:type="dxa"/>
            <w:vAlign w:val="bottom"/>
            <w:tcBorders>
              <w:bottom w:val="single" w:sz="8" w:color="017B52"/>
              <w:right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Native Hawaiian or Pacific Islander</w:t>
            </w:r>
          </w:p>
        </w:tc>
        <w:tc>
          <w:tcPr>
            <w:tcW w:w="1360" w:type="dxa"/>
            <w:vAlign w:val="bottom"/>
            <w:tcBorders>
              <w:right w:val="single" w:sz="8" w:color="017B52"/>
            </w:tcBorders>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Borders>
              <w:right w:val="single" w:sz="8" w:color="017B52"/>
            </w:tcBorders>
          </w:tcPr>
          <w:p>
            <w:pPr>
              <w:spacing w:after="0"/>
              <w:rPr>
                <w:sz w:val="21"/>
                <w:szCs w:val="21"/>
                <w:color w:val="auto"/>
              </w:rPr>
            </w:pPr>
          </w:p>
        </w:tc>
        <w:tc>
          <w:tcPr>
            <w:tcW w:w="1400" w:type="dxa"/>
            <w:vAlign w:val="bottom"/>
            <w:tcBorders>
              <w:right w:val="single" w:sz="8" w:color="017B52"/>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right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right w:val="single" w:sz="8" w:color="017B52"/>
            </w:tcBorders>
          </w:tcPr>
          <w:p>
            <w:pPr>
              <w:spacing w:after="0"/>
              <w:rPr>
                <w:sz w:val="10"/>
                <w:szCs w:val="10"/>
                <w:color w:val="auto"/>
              </w:rPr>
            </w:pPr>
          </w:p>
        </w:tc>
        <w:tc>
          <w:tcPr>
            <w:tcW w:w="1400" w:type="dxa"/>
            <w:vAlign w:val="bottom"/>
            <w:tcBorders>
              <w:bottom w:val="single" w:sz="8" w:color="017B52"/>
              <w:right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White</w:t>
            </w:r>
          </w:p>
        </w:tc>
        <w:tc>
          <w:tcPr>
            <w:tcW w:w="1360" w:type="dxa"/>
            <w:vAlign w:val="bottom"/>
            <w:tcBorders>
              <w:right w:val="single" w:sz="8" w:color="017B52"/>
            </w:tcBorders>
          </w:tcPr>
          <w:p>
            <w:pPr>
              <w:jc w:val="center"/>
              <w:ind w:right="8"/>
              <w:spacing w:after="0"/>
              <w:rPr>
                <w:sz w:val="20"/>
                <w:szCs w:val="20"/>
                <w:color w:val="auto"/>
              </w:rPr>
            </w:pPr>
            <w:r>
              <w:rPr>
                <w:rFonts w:ascii="Arial" w:cs="Arial" w:eastAsia="Arial" w:hAnsi="Arial"/>
                <w:sz w:val="14"/>
                <w:szCs w:val="14"/>
                <w:color w:val="auto"/>
              </w:rPr>
              <w:t>2</w:t>
            </w:r>
          </w:p>
        </w:tc>
        <w:tc>
          <w:tcPr>
            <w:tcW w:w="1080" w:type="dxa"/>
            <w:vAlign w:val="bottom"/>
          </w:tcPr>
          <w:p>
            <w:pPr>
              <w:jc w:val="center"/>
              <w:ind w:left="168"/>
              <w:spacing w:after="0"/>
              <w:rPr>
                <w:sz w:val="20"/>
                <w:szCs w:val="20"/>
                <w:color w:val="auto"/>
              </w:rPr>
            </w:pPr>
            <w:r>
              <w:rPr>
                <w:rFonts w:ascii="Arial" w:cs="Arial" w:eastAsia="Arial" w:hAnsi="Arial"/>
                <w:sz w:val="14"/>
                <w:szCs w:val="14"/>
                <w:color w:val="auto"/>
              </w:rPr>
              <w:t>4</w:t>
            </w:r>
          </w:p>
        </w:tc>
        <w:tc>
          <w:tcPr>
            <w:tcW w:w="300" w:type="dxa"/>
            <w:vAlign w:val="bottom"/>
            <w:tcBorders>
              <w:right w:val="single" w:sz="8" w:color="017B52"/>
            </w:tcBorders>
          </w:tcPr>
          <w:p>
            <w:pPr>
              <w:spacing w:after="0"/>
              <w:rPr>
                <w:sz w:val="24"/>
                <w:szCs w:val="24"/>
                <w:color w:val="auto"/>
              </w:rPr>
            </w:pPr>
          </w:p>
        </w:tc>
        <w:tc>
          <w:tcPr>
            <w:tcW w:w="1400" w:type="dxa"/>
            <w:vAlign w:val="bottom"/>
            <w:tcBorders>
              <w:right w:val="single" w:sz="8" w:color="017B52"/>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920" w:type="dxa"/>
            <w:vAlign w:val="bottom"/>
            <w:tcBorders>
              <w:bottom w:val="single" w:sz="8" w:color="017B52"/>
              <w:right w:val="single" w:sz="8" w:color="017B52"/>
            </w:tcBorders>
          </w:tcPr>
          <w:p>
            <w:pPr>
              <w:spacing w:after="0"/>
              <w:rPr>
                <w:sz w:val="7"/>
                <w:szCs w:val="7"/>
                <w:color w:val="auto"/>
              </w:rPr>
            </w:pPr>
          </w:p>
        </w:tc>
        <w:tc>
          <w:tcPr>
            <w:tcW w:w="1360" w:type="dxa"/>
            <w:vAlign w:val="bottom"/>
            <w:tcBorders>
              <w:bottom w:val="single" w:sz="8" w:color="017B52"/>
              <w:right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300" w:type="dxa"/>
            <w:vAlign w:val="bottom"/>
            <w:tcBorders>
              <w:bottom w:val="single" w:sz="8" w:color="017B52"/>
              <w:right w:val="single" w:sz="8" w:color="017B52"/>
            </w:tcBorders>
          </w:tcPr>
          <w:p>
            <w:pPr>
              <w:spacing w:after="0"/>
              <w:rPr>
                <w:sz w:val="7"/>
                <w:szCs w:val="7"/>
                <w:color w:val="auto"/>
              </w:rPr>
            </w:pPr>
          </w:p>
        </w:tc>
        <w:tc>
          <w:tcPr>
            <w:tcW w:w="1400" w:type="dxa"/>
            <w:vAlign w:val="bottom"/>
            <w:tcBorders>
              <w:bottom w:val="single" w:sz="8" w:color="017B52"/>
              <w:right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Two or More Races or Ethnicities</w:t>
            </w:r>
          </w:p>
        </w:tc>
        <w:tc>
          <w:tcPr>
            <w:tcW w:w="1360" w:type="dxa"/>
            <w:vAlign w:val="bottom"/>
            <w:tcBorders>
              <w:right w:val="single" w:sz="8" w:color="017B52"/>
            </w:tcBorders>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Borders>
              <w:right w:val="single" w:sz="8" w:color="017B52"/>
            </w:tcBorders>
          </w:tcPr>
          <w:p>
            <w:pPr>
              <w:spacing w:after="0"/>
              <w:rPr>
                <w:sz w:val="21"/>
                <w:szCs w:val="21"/>
                <w:color w:val="auto"/>
              </w:rPr>
            </w:pPr>
          </w:p>
        </w:tc>
        <w:tc>
          <w:tcPr>
            <w:tcW w:w="1400" w:type="dxa"/>
            <w:vAlign w:val="bottom"/>
            <w:tcBorders>
              <w:right w:val="single" w:sz="8" w:color="017B52"/>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right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right w:val="single" w:sz="8" w:color="017B52"/>
            </w:tcBorders>
          </w:tcPr>
          <w:p>
            <w:pPr>
              <w:spacing w:after="0"/>
              <w:rPr>
                <w:sz w:val="10"/>
                <w:szCs w:val="10"/>
                <w:color w:val="auto"/>
              </w:rPr>
            </w:pPr>
          </w:p>
        </w:tc>
        <w:tc>
          <w:tcPr>
            <w:tcW w:w="1400" w:type="dxa"/>
            <w:vAlign w:val="bottom"/>
            <w:tcBorders>
              <w:bottom w:val="single" w:sz="8" w:color="017B52"/>
              <w:right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LGBTQ+</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920" w:type="dxa"/>
            <w:vAlign w:val="bottom"/>
            <w:tcBorders>
              <w:bottom w:val="single" w:sz="8" w:color="017B52"/>
              <w:right w:val="single" w:sz="8" w:color="017B52"/>
            </w:tcBorders>
          </w:tcPr>
          <w:p>
            <w:pPr>
              <w:spacing w:after="0"/>
              <w:rPr>
                <w:sz w:val="10"/>
                <w:szCs w:val="10"/>
                <w:color w:val="auto"/>
              </w:rPr>
            </w:pPr>
          </w:p>
        </w:tc>
        <w:tc>
          <w:tcPr>
            <w:tcW w:w="1360" w:type="dxa"/>
            <w:vAlign w:val="bottom"/>
            <w:tcBorders>
              <w:bottom w:val="single" w:sz="8" w:color="017B52"/>
            </w:tcBorders>
          </w:tcPr>
          <w:p>
            <w:pPr>
              <w:spacing w:after="0"/>
              <w:rPr>
                <w:sz w:val="10"/>
                <w:szCs w:val="10"/>
                <w:color w:val="auto"/>
              </w:rPr>
            </w:pPr>
          </w:p>
        </w:tc>
        <w:tc>
          <w:tcPr>
            <w:tcW w:w="1080" w:type="dxa"/>
            <w:vAlign w:val="bottom"/>
            <w:tcBorders>
              <w:bottom w:val="single" w:sz="8" w:color="017B52"/>
            </w:tcBorders>
          </w:tcPr>
          <w:p>
            <w:pPr>
              <w:spacing w:after="0"/>
              <w:rPr>
                <w:sz w:val="10"/>
                <w:szCs w:val="10"/>
                <w:color w:val="auto"/>
              </w:rPr>
            </w:pPr>
          </w:p>
        </w:tc>
        <w:tc>
          <w:tcPr>
            <w:tcW w:w="300" w:type="dxa"/>
            <w:vAlign w:val="bottom"/>
            <w:tcBorders>
              <w:bottom w:val="single" w:sz="8" w:color="017B52"/>
            </w:tcBorders>
          </w:tcPr>
          <w:p>
            <w:pPr>
              <w:spacing w:after="0"/>
              <w:rPr>
                <w:sz w:val="10"/>
                <w:szCs w:val="10"/>
                <w:color w:val="auto"/>
              </w:rPr>
            </w:pPr>
          </w:p>
        </w:tc>
        <w:tc>
          <w:tcPr>
            <w:tcW w:w="1400" w:type="dxa"/>
            <w:vAlign w:val="bottom"/>
            <w:tcBorders>
              <w:bottom w:val="single" w:sz="8" w:color="017B52"/>
            </w:tcBorders>
          </w:tcPr>
          <w:p>
            <w:pPr>
              <w:spacing w:after="0"/>
              <w:rPr>
                <w:sz w:val="10"/>
                <w:szCs w:val="10"/>
                <w:color w:val="auto"/>
              </w:rPr>
            </w:pPr>
          </w:p>
        </w:tc>
        <w:tc>
          <w:tcPr>
            <w:tcW w:w="1340" w:type="dxa"/>
            <w:vAlign w:val="bottom"/>
            <w:tcBorders>
              <w:bottom w:val="single" w:sz="8" w:color="017B52"/>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920" w:type="dxa"/>
            <w:vAlign w:val="bottom"/>
            <w:tcBorders>
              <w:right w:val="single" w:sz="8" w:color="017B52"/>
            </w:tcBorders>
          </w:tcPr>
          <w:p>
            <w:pPr>
              <w:ind w:left="140"/>
              <w:spacing w:after="0"/>
              <w:rPr>
                <w:sz w:val="20"/>
                <w:szCs w:val="20"/>
                <w:color w:val="auto"/>
              </w:rPr>
            </w:pPr>
            <w:r>
              <w:rPr>
                <w:rFonts w:ascii="Arial" w:cs="Arial" w:eastAsia="Arial" w:hAnsi="Arial"/>
                <w:sz w:val="13"/>
                <w:szCs w:val="13"/>
                <w:color w:val="017B52"/>
              </w:rPr>
              <w:t>Did Not Disclose Demographic Background</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gridSpan w:val="2"/>
          </w:tcPr>
          <w:p>
            <w:pPr>
              <w:jc w:val="right"/>
              <w:ind w:right="1308"/>
              <w:spacing w:after="0"/>
              <w:rPr>
                <w:sz w:val="20"/>
                <w:szCs w:val="20"/>
                <w:color w:val="auto"/>
              </w:rPr>
            </w:pPr>
            <w:r>
              <w:rPr>
                <w:rFonts w:ascii="Arial" w:cs="Arial" w:eastAsia="Arial" w:hAnsi="Arial"/>
                <w:sz w:val="14"/>
                <w:szCs w:val="14"/>
                <w:color w:val="auto"/>
              </w:rPr>
              <w:t>2</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920" w:type="dxa"/>
            <w:vAlign w:val="bottom"/>
            <w:tcBorders>
              <w:bottom w:val="single" w:sz="8" w:color="017B52"/>
              <w:right w:val="single" w:sz="8" w:color="017B52"/>
            </w:tcBorders>
          </w:tcPr>
          <w:p>
            <w:pPr>
              <w:spacing w:after="0"/>
              <w:rPr>
                <w:sz w:val="7"/>
                <w:szCs w:val="7"/>
                <w:color w:val="auto"/>
              </w:rPr>
            </w:pPr>
          </w:p>
        </w:tc>
        <w:tc>
          <w:tcPr>
            <w:tcW w:w="13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300" w:type="dxa"/>
            <w:vAlign w:val="bottom"/>
            <w:tcBorders>
              <w:bottom w:val="single" w:sz="8" w:color="017B52"/>
            </w:tcBorders>
          </w:tcPr>
          <w:p>
            <w:pPr>
              <w:spacing w:after="0"/>
              <w:rPr>
                <w:sz w:val="7"/>
                <w:szCs w:val="7"/>
                <w:color w:val="auto"/>
              </w:rPr>
            </w:pPr>
          </w:p>
        </w:tc>
        <w:tc>
          <w:tcPr>
            <w:tcW w:w="1400" w:type="dxa"/>
            <w:vAlign w:val="bottom"/>
            <w:tcBorders>
              <w:bottom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To see our Board Diversity Matrix as of March 1, 2023, please see our proxy statement filed with the SEC on March 17,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a Nominating and Corporate Governance Committee, and a Personnel and Compensation Committee. The Principles, along with the charters of each of these committees, are available for review on our website at www.ufpi.com under the tabs “Investors → Governance.”</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Code of Business Conduct and Ethics and Code of Ethics for Senior Financial Officers</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adopted a Code of Business Conduct and Ethics that applies to our employees, officers and directors. We also adopted a Code of Ethics for Senior Financial Officers. Each Code is posted on our website at www.ufpi.com under the tabs “Investors → Governance.” Any changes to or waivers of either Code for our chief executive officer or senior financial officers will be disclosed on our website at www.ufpi.com under the tabs “Investors → Governance.”</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Affirmative Determination Regarding Director Independence and Other Matters</w:t>
      </w:r>
    </w:p>
    <w:p>
      <w:pPr>
        <w:spacing w:after="0" w:line="45" w:lineRule="exact"/>
        <w:rPr>
          <w:sz w:val="20"/>
          <w:szCs w:val="20"/>
          <w:color w:val="auto"/>
        </w:rPr>
      </w:pPr>
    </w:p>
    <w:p>
      <w:pPr>
        <w:jc w:val="both"/>
        <w:ind w:right="160"/>
        <w:spacing w:after="0" w:line="254" w:lineRule="auto"/>
        <w:rPr>
          <w:sz w:val="20"/>
          <w:szCs w:val="20"/>
          <w:color w:val="auto"/>
        </w:rPr>
      </w:pPr>
      <w:r>
        <w:rPr>
          <w:rFonts w:ascii="Arial" w:cs="Arial" w:eastAsia="Arial" w:hAnsi="Arial"/>
          <w:sz w:val="16"/>
          <w:szCs w:val="16"/>
          <w:color w:val="auto"/>
        </w:rPr>
        <w:t>As required by the Principles, our Board has determined each of the following directors to be an “independent director” under the Nasdaq Stock Market Rules (the “Nasdaq Standard”): Joan A. Budden, William G. Currie, Benjamin J. McLean, Bruce A. Merino, Thomas W. Rhodes, Mary Tuuk Kuras, Brian C. Walker and Michael G. Wooldridge. There are no family relationships between or among the directors and our executive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15</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effectiveness of each of our directors is monitored through the use of an annual assessment. Our Board does not have a mandatory retirement age policy, although the Nominating and Corporate Governance Committee considers a director’s tenure with the Company as a factor in nominating incumbent directors.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Committees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AUDIT COMMITTEE</w:t>
      </w:r>
    </w:p>
    <w:p>
      <w:pPr>
        <w:spacing w:after="0" w:line="2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Each member of the Audit Committee is “independent” under the Nasdaq Standard as well as the applicable rules of the SEC for audit committee membership. Our Board has determined that Mr. McLean, Ms. Tuuk Kuras and Mr. Walker each qualifies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2023, the Audit Committee held four meetings.</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PERSONNEL AND COMPENSATION COMMITTEE</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reviewing succession planning for our Chief Executive Officer, as well as administering our equity-based incentive plans and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2023, the Personnel and Compensation Committee held two meetings.</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NOMINATING AND CORPORATE GOVERNANCE COMMITTEE</w:t>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generally monitors our corporate governance practices,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The Committee is responsible for succession planning for Board members. In view of the age and tenure of certain members of the Board, the Committee has been active in seeking and evaluating qualified candidates, consistent with the Policy Governing Director Qualifications and Nominations,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16</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to serve on the Board. This Committee is also responsible for overseeing the Company’s strategies and policies with respect to various environmental, social and governance (“ESG”) matters, including oversight of the Company’s related disclosure obligations. During 2023, the Nominating and Corporate Governance Committee held two meetings.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Nominees for Director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Our Articles of Incorporation contain certain procedural requirements applicable to shareholder nominations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shareholder who wishes to nominate a person to serve as a director must provide us with written notice. The notice must include:</w:t>
      </w:r>
    </w:p>
    <w:p>
      <w:pPr>
        <w:spacing w:after="0" w:line="5" w:lineRule="exact"/>
        <w:rPr>
          <w:sz w:val="20"/>
          <w:szCs w:val="20"/>
          <w:color w:val="auto"/>
        </w:rPr>
      </w:pPr>
    </w:p>
    <w:p>
      <w:pPr>
        <w:ind w:left="240" w:hanging="234"/>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name and address of both the shareholder who intends to make the nomination and the person or persons nominated;</w:t>
      </w:r>
    </w:p>
    <w:p>
      <w:pPr>
        <w:spacing w:after="0" w:line="5" w:lineRule="exact"/>
        <w:rPr>
          <w:rFonts w:ascii="Arial" w:cs="Arial" w:eastAsia="Arial" w:hAnsi="Arial"/>
          <w:sz w:val="16"/>
          <w:szCs w:val="16"/>
          <w:color w:val="auto"/>
        </w:rPr>
      </w:pPr>
    </w:p>
    <w:p>
      <w:pPr>
        <w:ind w:firstLine="6"/>
        <w:spacing w:after="0" w:line="246"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less than 40 days prior to the date of that meeting.</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Director Qualifications and Requirements</w:t>
      </w:r>
    </w:p>
    <w:p>
      <w:pPr>
        <w:spacing w:after="0" w:line="3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146"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Policy includes minimum qualification standards, Board composition standards and additional qualification criteria. With respect to the former, the Policy requires that the Committee be satisfied that each recommended nominee meets the following qualifications:</w:t>
      </w:r>
    </w:p>
    <w:p>
      <w:pPr>
        <w:spacing w:after="0" w:line="144" w:lineRule="exact"/>
        <w:rPr>
          <w:sz w:val="20"/>
          <w:szCs w:val="20"/>
          <w:color w:val="auto"/>
        </w:rPr>
      </w:pPr>
    </w:p>
    <w:p>
      <w:pPr>
        <w:ind w:left="720" w:hanging="354"/>
        <w:spacing w:after="0"/>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Integrity</w:t>
      </w:r>
      <w:r>
        <w:rPr>
          <w:rFonts w:ascii="Arial" w:cs="Arial" w:eastAsia="Arial" w:hAnsi="Arial"/>
          <w:sz w:val="16"/>
          <w:szCs w:val="16"/>
          <w:color w:val="auto"/>
        </w:rPr>
        <w:t>. The candidate must exhibit high standards of personal integrity and ethical character.</w:t>
      </w:r>
    </w:p>
    <w:p>
      <w:pPr>
        <w:spacing w:after="0" w:line="180" w:lineRule="exact"/>
        <w:rPr>
          <w:rFonts w:ascii="Arial" w:cs="Arial" w:eastAsia="Arial" w:hAnsi="Arial"/>
          <w:sz w:val="16"/>
          <w:szCs w:val="16"/>
          <w:color w:val="017B52"/>
        </w:rPr>
      </w:pPr>
    </w:p>
    <w:p>
      <w:pPr>
        <w:ind w:left="720" w:hanging="354"/>
        <w:spacing w:after="0"/>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Absence of Conflicts of Interest</w:t>
      </w:r>
      <w:r>
        <w:rPr>
          <w:rFonts w:ascii="Arial" w:cs="Arial" w:eastAsia="Arial" w:hAnsi="Arial"/>
          <w:sz w:val="16"/>
          <w:szCs w:val="16"/>
          <w:color w:val="auto"/>
        </w:rPr>
        <w:t>. The candidate must not have any interests that would impair his or her ability to</w:t>
      </w:r>
    </w:p>
    <w:p>
      <w:pPr>
        <w:spacing w:after="0" w:line="21" w:lineRule="exact"/>
        <w:rPr>
          <w:rFonts w:ascii="Arial" w:cs="Arial" w:eastAsia="Arial" w:hAnsi="Arial"/>
          <w:sz w:val="16"/>
          <w:szCs w:val="16"/>
          <w:color w:val="017B52"/>
        </w:rPr>
      </w:pPr>
    </w:p>
    <w:p>
      <w:pPr>
        <w:ind w:left="720" w:right="20"/>
        <w:spacing w:after="0" w:line="265" w:lineRule="auto"/>
        <w:rPr>
          <w:rFonts w:ascii="Arial" w:cs="Arial" w:eastAsia="Arial" w:hAnsi="Arial"/>
          <w:sz w:val="16"/>
          <w:szCs w:val="16"/>
          <w:color w:val="017B52"/>
        </w:rPr>
      </w:pPr>
      <w:r>
        <w:rPr>
          <w:rFonts w:ascii="Arial" w:cs="Arial" w:eastAsia="Arial" w:hAnsi="Arial"/>
          <w:sz w:val="16"/>
          <w:szCs w:val="16"/>
          <w:color w:val="auto"/>
        </w:rPr>
        <w:t>(i) exercise independent judgment, or (ii) otherwise discharge the fiduciary duties owed as a director to our Company and its shareholders.</w:t>
      </w:r>
    </w:p>
    <w:p>
      <w:pPr>
        <w:spacing w:after="0" w:line="131" w:lineRule="exact"/>
        <w:rPr>
          <w:rFonts w:ascii="Arial" w:cs="Arial" w:eastAsia="Arial" w:hAnsi="Arial"/>
          <w:sz w:val="16"/>
          <w:szCs w:val="16"/>
          <w:color w:val="017B52"/>
        </w:rPr>
      </w:pPr>
    </w:p>
    <w:p>
      <w:pPr>
        <w:ind w:left="720" w:right="580" w:hanging="354"/>
        <w:spacing w:after="0" w:line="286" w:lineRule="auto"/>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Fair and Equal Representation</w:t>
      </w:r>
      <w:r>
        <w:rPr>
          <w:rFonts w:ascii="Arial" w:cs="Arial" w:eastAsia="Arial" w:hAnsi="Arial"/>
          <w:sz w:val="16"/>
          <w:szCs w:val="16"/>
          <w:color w:val="auto"/>
        </w:rPr>
        <w:t>. The candidate must be able to represent fairly and equally all shareholders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without favoring or advancing any particular shareholder or other constituency.</w:t>
      </w:r>
    </w:p>
    <w:p>
      <w:pPr>
        <w:spacing w:after="0" w:line="128" w:lineRule="exact"/>
        <w:rPr>
          <w:rFonts w:ascii="Arial" w:cs="Arial" w:eastAsia="Arial" w:hAnsi="Arial"/>
          <w:sz w:val="16"/>
          <w:szCs w:val="16"/>
          <w:color w:val="017B52"/>
        </w:rPr>
      </w:pPr>
    </w:p>
    <w:p>
      <w:pPr>
        <w:ind w:left="720" w:right="680" w:hanging="354"/>
        <w:spacing w:after="0" w:line="286" w:lineRule="auto"/>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Experience</w:t>
      </w:r>
      <w:r>
        <w:rPr>
          <w:rFonts w:ascii="Arial" w:cs="Arial" w:eastAsia="Arial" w:hAnsi="Arial"/>
          <w:sz w:val="16"/>
          <w:szCs w:val="16"/>
          <w:color w:val="auto"/>
        </w:rPr>
        <w:t>. The candidate must have experience at a strategic, policy-making, or senior management level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government, non-profit or academic organization of high standing.</w:t>
      </w:r>
    </w:p>
    <w:p>
      <w:pPr>
        <w:spacing w:after="0" w:line="115" w:lineRule="exact"/>
        <w:rPr>
          <w:rFonts w:ascii="Arial" w:cs="Arial" w:eastAsia="Arial" w:hAnsi="Arial"/>
          <w:sz w:val="16"/>
          <w:szCs w:val="16"/>
          <w:color w:val="017B52"/>
        </w:rPr>
      </w:pPr>
    </w:p>
    <w:p>
      <w:pPr>
        <w:ind w:left="720" w:right="520" w:hanging="354"/>
        <w:spacing w:after="0" w:line="266" w:lineRule="auto"/>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Business Understanding</w:t>
      </w:r>
      <w:r>
        <w:rPr>
          <w:rFonts w:ascii="Arial" w:cs="Arial" w:eastAsia="Arial" w:hAnsi="Arial"/>
          <w:sz w:val="16"/>
          <w:szCs w:val="16"/>
          <w:color w:val="auto"/>
        </w:rPr>
        <w:t>. The candidate must have a general appreciation regarding major issues facing public</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a size and operational scope similar to the Company, including contemporary governance concerns, regulatory obligations of a public issuer, strategic business planning and basic concepts of corporate finance.</w:t>
      </w:r>
    </w:p>
    <w:p>
      <w:pPr>
        <w:spacing w:after="0" w:line="130" w:lineRule="exact"/>
        <w:rPr>
          <w:rFonts w:ascii="Arial" w:cs="Arial" w:eastAsia="Arial" w:hAnsi="Arial"/>
          <w:sz w:val="16"/>
          <w:szCs w:val="16"/>
          <w:color w:val="017B52"/>
        </w:rPr>
      </w:pPr>
    </w:p>
    <w:p>
      <w:pPr>
        <w:ind w:left="720" w:hanging="354"/>
        <w:spacing w:after="0"/>
        <w:tabs>
          <w:tab w:leader="none" w:pos="720" w:val="left"/>
        </w:tabs>
        <w:numPr>
          <w:ilvl w:val="0"/>
          <w:numId w:val="23"/>
        </w:numPr>
        <w:rPr>
          <w:rFonts w:ascii="Arial" w:cs="Arial" w:eastAsia="Arial" w:hAnsi="Arial"/>
          <w:sz w:val="16"/>
          <w:szCs w:val="16"/>
          <w:color w:val="017B52"/>
        </w:rPr>
      </w:pPr>
      <w:r>
        <w:rPr>
          <w:rFonts w:ascii="Arial" w:cs="Arial" w:eastAsia="Arial" w:hAnsi="Arial"/>
          <w:sz w:val="16"/>
          <w:szCs w:val="16"/>
          <w:i w:val="1"/>
          <w:iCs w:val="1"/>
          <w:color w:val="auto"/>
        </w:rPr>
        <w:t>Available Time</w:t>
      </w:r>
      <w:r>
        <w:rPr>
          <w:rFonts w:ascii="Arial" w:cs="Arial" w:eastAsia="Arial" w:hAnsi="Arial"/>
          <w:sz w:val="16"/>
          <w:szCs w:val="16"/>
          <w:color w:val="auto"/>
        </w:rPr>
        <w:t>. The candidate must have, and be prepared to devote, adequate time to our Board and its committees.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17</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our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2024 Annual Meeting of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Majority Voting</w:t>
      </w:r>
    </w:p>
    <w:p>
      <w:pPr>
        <w:spacing w:after="0" w:line="4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Bylaws provide for majority voting in connection with the election of directors. This majority voting standard is described above in the “Election of Directors” section.</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Shareholder Communications with the Board; Investor Communications</w:t>
      </w:r>
    </w:p>
    <w:p>
      <w:pPr>
        <w:spacing w:after="0" w:line="3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 Our Board and management team are committed to actively engaging with our shareholders. During 2023, members of our executive team attended several investor conferences at which they met with existing shareholders as well as prospective shareholders. In addition, we regularly meet with investors, prospective investors and investment analysts in person or via video conferencing. These meetings foster constructive dialogue and provide our executives with a better and deeper understanding of our shareholders’ priorities.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Meeting Attendance</w:t>
      </w:r>
    </w:p>
    <w:p>
      <w:pPr>
        <w:spacing w:after="0" w:line="3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Each director is expected to make a reasonable effort to attend all meetings of our Board, applicable committee meetings and the Annual Meeting. All of our directors in office at that time attended our 2023 Annual Meeting. During the last fiscal year, there were four regular meetings of the Board, and the Board acted by unanimous written consent on nine occasions. Each of our directors attended at least 80% of the Board and committee meetings for which they were eligible to attend. During fiscal 2023, the independent members of our Board met in executive session, without the presence of management, on two occasions.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Anti-Hedging and Anti-Pledging Policy</w:t>
      </w:r>
    </w:p>
    <w:p>
      <w:pPr>
        <w:spacing w:after="0" w:line="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Board has adopted an anti-hedging and anti-pledging policy, restricting our executive officers and directors from engaging in hedging or pledging transactions without prior approval. Our policy defines a hedging transaction as any transaction or series of related transactions that are designed to hedge or offset any decrease in the market value of our stock or otherwise eliminate risk related to the ownership of our stock. Pledging transactions are defined to mean any pledge or grant of a security interest in the Company’s securities as collateral for a loan or other obligations to a third-party. Our executive officers and directors are prohibited from engaging in any such transactions without prior approval from the Nominating and Corporate Governance Committee. As of the date of this proxy statement, no such approvals have been made.</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Leadership Structure and the Board’s Role in Risk Oversight</w:t>
      </w:r>
    </w:p>
    <w:p>
      <w:pPr>
        <w:spacing w:after="0" w:line="45"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We believe the roles of chief executive officer and chairman of the board should normally be separated. However, to facilitate the execution of our existing succession plans, on February 2, 2023 our Board of Directors combined the roles by appointing Matthew J. Missad as Chairman of the Board. Our Board also appointed Thomas W. Rhodes as Lead Independent Director.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UFP Industries      18</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Mr. Rhodes will chair sessions of Board meetings that are exclusively attended by independent directors. He will communicate actions requested by the independent directors and serve as a liaison between the independent directors and our Chief Executive Officer. We believe that this structure provides the most effective governance of the Board at this time.</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Despite this unpredictability, our Board relies on the representations of management, periodic reports from our independent auditors, internal audit services performed by a third party, our Company’s systems of internal controls, our Company’s insurance advisors and the historically conservative practices of our Company to provide comfort as to our Company’s ability to manage its risks. Management’s discussion of current risk factors is set forth in our Company’s Annual Report on Form 10-K.</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Succession Planning</w:t>
      </w:r>
    </w:p>
    <w:p>
      <w:pPr>
        <w:spacing w:after="0" w:line="4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addition to the regular and ongoing review and evaluation of succession planning for the members of the Company’s Board of Directors by the Board’s Nominating and Corporate Governance Committee, the Board and management regularly review and monitor succession planning for our current leadership positions. During a majority of the regularly scheduled Board meetings during 2023, the Board reviewed and discussed our CEO succession plan for the Chief Executive Officer position, including succession plans in the event of an emergency situation. As part of that planning process, Mr. Missad, our current CEO, was appointed to the position of the Chairman of the Board of Directors of the Company. In addition to succession planning for the CEO position, the Board regularly reviews and evaluates succession planning for each segment lead as well as the Company’s other functional leadership positions.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ESG Overview</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Our environmental, social and governance (ESG) initiatives are driven by our business philosophy: </w:t>
      </w:r>
      <w:r>
        <w:rPr>
          <w:rFonts w:ascii="Arial" w:cs="Arial" w:eastAsia="Arial" w:hAnsi="Arial"/>
          <w:sz w:val="16"/>
          <w:szCs w:val="16"/>
          <w:i w:val="1"/>
          <w:iCs w:val="1"/>
          <w:color w:val="auto"/>
        </w:rPr>
        <w:t>Take care of your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your employees, and your communities, and good financial results will follow. </w:t>
      </w:r>
      <w:r>
        <w:rPr>
          <w:rFonts w:ascii="Arial" w:cs="Arial" w:eastAsia="Arial" w:hAnsi="Arial"/>
          <w:sz w:val="16"/>
          <w:szCs w:val="16"/>
          <w:color w:val="auto"/>
        </w:rPr>
        <w:t>Our goals are to be recognized by our customers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preferred supplier; by our employees as a safe and inclusive workforce; and by the communities in which we operate as a good corporate citizen.</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ENVIRONMENTAL</w:t>
      </w:r>
    </w:p>
    <w:p>
      <w:pPr>
        <w:spacing w:after="0" w:line="1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manufacturing operations have a long history of environmental stewardship through efficiency and energy savings, waste management and responsible product sourcing. We quantify our Scope 1 and Scope 2 greenhouse gas (GHG) emissions and are committed to taking the following steps:</w:t>
      </w:r>
    </w:p>
    <w:p>
      <w:pPr>
        <w:spacing w:after="0" w:line="165" w:lineRule="exact"/>
        <w:rPr>
          <w:sz w:val="20"/>
          <w:szCs w:val="20"/>
          <w:color w:val="auto"/>
        </w:rPr>
      </w:pPr>
    </w:p>
    <w:p>
      <w:pPr>
        <w:ind w:left="720" w:hanging="354"/>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Disclosing our Scope 1 and Scope 2 GHG emissions in 2023; and</w:t>
      </w:r>
    </w:p>
    <w:p>
      <w:pPr>
        <w:spacing w:after="0" w:line="194" w:lineRule="exact"/>
        <w:rPr>
          <w:rFonts w:ascii="Arial" w:cs="Arial" w:eastAsia="Arial" w:hAnsi="Arial"/>
          <w:sz w:val="16"/>
          <w:szCs w:val="16"/>
          <w:color w:val="auto"/>
        </w:rPr>
      </w:pPr>
    </w:p>
    <w:p>
      <w:pPr>
        <w:ind w:left="720" w:right="60" w:hanging="354"/>
        <w:spacing w:after="0" w:line="286"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Assessing our climate risks and opportunities in alignment with the Task Force on Climate-Related Financial Disclosures (TCFD).</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Continuous improvement is a key focus in our operations planning, and, through it, we aim to reduce energy usage as a percentage of unit sales. Our energy management team, which is responsible for continuously seeking opportunities to make our operations more efficient and sustainable, has made meaningful strides by upgrading electrical equipment, including motors, lighting and panels.</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prevent waste through our unique sourcing model, which promotes the use of as much of a canted log as possible in our products. Parts are utilized by one or more of our three business segments, depending on the appearance, the engineering characteristics and the utility for particular applications. What can’t be used in our products is converted to material that is recycled or upcycled by other industries. For example, our wood dust is recycled in quantities exceeding 25,000 tons per year.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Our primary raw material, wood, is renewable, sustainable, recyclable, durable and biodegradable.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19</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Using Life Cycle Assessment and a Total Embodied Energy perspective, wood is a clear winner over competing building materials. Lumber stores its carbon away in structures for decades. As wood is our primary source of raw material, our Company has a vested interest in the health and growth of the planet’s forests. Because of its superior strength-to-weight ratio, wood requires much less energy to manufacture and deliver to job sites compared to other building materials like steel, concrete or plastic. According to The State of America’s Forests report, less than two percent of the standing tree inventory in the U.S. is harvested each year.</w:t>
      </w:r>
    </w:p>
    <w:p>
      <w:pPr>
        <w:spacing w:after="0" w:line="33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Canada, where much of our lumber is sourced, less than one percent of the managed forest is harvested annually. In both countries, responsible forest management has resulted in more than 50 consecutive years of forest growth that exceeds annual harvest. As a result of these trends, forests in both countries have sequestered high levels of carbon in recent decades.</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source lumber from around the world and review vendors’ operations through regular dialogue and on-site visits. Our mill vendors have a practice of planting more trees each year than they harvest, which is important to us and drives our sourcing decisions. Our expectations of suppliers, with whom we have many long-standing relationships, extend to their practices in waste management, health and safety, labor rights, conflict minerals, and human rights. We operate with the highest standard of integrity and sustainability and expect our suppliers to do the same. We have certified chain-of-custody credentials for both Sustainable Forestry Initiative (SFI) and Forest Stewardship Council (FSC).</w:t>
      </w:r>
    </w:p>
    <w:p>
      <w:pPr>
        <w:spacing w:after="0" w:line="15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In our composite decking operations, 100% of the wood component is post-industrial recycled material and 90% of the plastic comes from post-consumer and post-industrial recycled sources.</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SOCIAL</w:t>
      </w:r>
    </w:p>
    <w:p>
      <w:pPr>
        <w:spacing w:after="0" w:line="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pay equity, and learning and development.</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invest in industry-leading training and programs. We perform annual audits and regular, continuous oversight of Regional Safety Directors to ensure that our team members maintain their health and return safely home after their workday. Every employee is responsible for following Company health and safety guidelines to ensure their own safety and reduce the risk of injury for all in the workplace. Our accident frequency rates are low when compared with others in our industry. Additionally, we provide safety training to our employees and contractors in several formats to accommodate diverse needs.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value equal opportunity for all as an integral part of our Company and continually broaden our recruiting efforts to connect with diverse groups who may be unaware of our Company or the opportunities we offer. To that end, we engage with local organizations who help low-income candidates connect with employment opportunities. Our recruitment team ensures that external job postings are available to all, and we specifically drive them to low-income areas and unemployment agencies. We look forward to advancing our strategy to increase the diversity of our workforce, while continuing to be a destination workplace for people who seek challenge, opportunity and success.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offer a variety of opportunities that promote ongoing learning and development for our employees. Among them are advanced education courses through the UFP Business School, which focus on technical skills and programming across business functions. Most of our courses offer remote accessibility to provide flexibility. As we continue to grow, our goal is to expand the pool of job candidates, provide excellent training and education, and encourage equal growth opportunities within our Company. By expanding our outreach and providing additional education we aim to add more diverse team members who have the desire and ability to be promoted to leadership positions.</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017B52"/>
        </w:rPr>
        <w:t>GOVERNANCE</w:t>
      </w:r>
    </w:p>
    <w:p>
      <w:pPr>
        <w:spacing w:after="0" w:line="19"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Matters of sustainability, health and safety, employee welfare, supply chain management and community engagement are managed by our executive team, with oversight from our Nominating and Corporate Governances, and Personnel and Compensation Committees. We shared our ESG Report in March of 2023, via publication on our website in which we detail our progress and our expectations going forward.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20</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0"/>
          <w:szCs w:val="40"/>
          <w:b w:val="1"/>
          <w:bCs w:val="1"/>
          <w:color w:val="017B52"/>
        </w:rPr>
        <w:t>Proposal to Increase 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274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On February 1, 2024, our Board of Directors unanimously approved, subject to shareholder approval, an amendment to the first paragraph of Article III of the Company’s Articles of Incorporation (“Articles”) to read as follows:</w:t>
      </w:r>
    </w:p>
    <w:p>
      <w:pPr>
        <w:spacing w:after="0" w:line="11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total number of shares of all classes of stock which the Corporation shall have authority to issue is two hundred sixty-one million (261,000,000) shares, of which two hundred sixty million (260,000,000) shares shall be of a single class of common stock and one million (1,000,000) shares shall be series preferred stock.”</w:t>
      </w:r>
    </w:p>
    <w:p>
      <w:pPr>
        <w:spacing w:after="0" w:line="14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This amendment would increase the Company’s authorized common stock from 160,000,000 shares to 260,000,000 shares of common stock. There would be no change in the number of authorized preferred shares. The Company has no series preferred stock issued or outstanding. The purpose of the amendment is to provide additional shares for future issuance. As of</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February 28, 2024, issued shares of common stock totaled 61,529,910 shares. Of the remaining authorized but unissued shares of common stock, a total of 2,311,269 shares are reserved for issuance pursuant to the Company’s Employee Stock Purchase Plan, Director Compensation Plan, Employee Stock Gift Program, and Long-Term Stock Incentive Plan.</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of Directors believes it is advisable to have additional shares of common stock available for possible future acquisitions, public offerings, stock dividends, and stock splits. The Board of Directors of the Company will determine whether and on what terms the issuance of shares of common stock or preferred stock may be warranted and appropriate. Based upon the prevailing per-share stock price of our common stock, and subject to the approval of the proposed amendment, the Board may consider authorizing a three-for-one stock split of our shares of common stock. The approval of the proposed amendment would be required to effect a three-for-one stock split as there exists only 96,158,821 shares of common stock available for future issuance by the Board of Directors of the Company. Except for a potential stock split and the future issuance of shares under our equity compensation plans, the Company has no specific plan, understanding, or agreement related to the issuance of its common stock whether in connection with future acquisitions or otherwise.</w:t>
      </w:r>
    </w:p>
    <w:p>
      <w:pPr>
        <w:spacing w:after="0" w:line="14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3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 Directors, such stock (or rights to acquire such stock) might contain terms (including class voting rights or rights to exchange such stock or warrants for stock of an acquiring company) which could make acquisition of a controlling interest in the Company more difficult or costly.</w:t>
      </w:r>
    </w:p>
    <w:p>
      <w:pPr>
        <w:spacing w:after="0" w:line="14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Other provisions of the Articles could also be viewed as potential impediments to efforts to acquire control of the Company. Specifically, those provisions of the Articles (i) requiring the election of only one-third of the directors of the Company every year,</w:t>
      </w:r>
    </w:p>
    <w:p>
      <w:pPr>
        <w:spacing w:after="0" w:line="1" w:lineRule="exact"/>
        <w:rPr>
          <w:sz w:val="20"/>
          <w:szCs w:val="20"/>
          <w:color w:val="auto"/>
        </w:rPr>
      </w:pPr>
    </w:p>
    <w:p>
      <w:pPr>
        <w:ind w:right="40" w:firstLine="6"/>
        <w:spacing w:after="0" w:line="250" w:lineRule="auto"/>
        <w:tabs>
          <w:tab w:leader="none" w:pos="2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 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UFP Industries      21</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If the proposed amendment to increase the authorized shares of capital stock is approved, common or preferred stock may, as noted, be issued without further action by the shareholders and without first offering such shares to the Company’s shareholders for purchase. Issuance of common or preferred stock otherwise than on a pro rata basis to all current shareholders would reduce current shareholders’ proportionate interests.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affirmative vote of the holders of a majority of the outstanding shares of common stock of the Company is required for approval of the proposed amendment to the Articles. Both abstentions and broker non-votes will have the effect of a negative vote. Unless otherwise directed by a shareholder’s proxy, the persons named as proxy voters in the accompanying proxy will vote FOR the amendment. The approval of the proposal is not a condition to the approval of any other proposals submitted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5966460" cy="402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402590"/>
                    </a:xfrm>
                    <a:prstGeom prst="rect">
                      <a:avLst/>
                    </a:prstGeom>
                    <a:noFill/>
                  </pic:spPr>
                </pic:pic>
              </a:graphicData>
            </a:graphic>
          </wp:anchor>
        </w:drawing>
      </w:r>
    </w:p>
    <w:p>
      <w:pPr>
        <w:spacing w:after="0" w:line="371" w:lineRule="exact"/>
        <w:rPr>
          <w:sz w:val="20"/>
          <w:szCs w:val="20"/>
          <w:color w:val="auto"/>
        </w:rPr>
      </w:pPr>
    </w:p>
    <w:p>
      <w:pPr>
        <w:jc w:val="center"/>
        <w:ind w:left="1340" w:right="280"/>
        <w:spacing w:after="0" w:line="294" w:lineRule="auto"/>
        <w:rPr>
          <w:sz w:val="20"/>
          <w:szCs w:val="20"/>
          <w:color w:val="auto"/>
        </w:rPr>
      </w:pPr>
      <w:r>
        <w:rPr>
          <w:rFonts w:ascii="Arial" w:cs="Arial" w:eastAsia="Arial" w:hAnsi="Arial"/>
          <w:sz w:val="14"/>
          <w:szCs w:val="14"/>
          <w:b w:val="1"/>
          <w:bCs w:val="1"/>
          <w:color w:val="017B52"/>
        </w:rPr>
        <w:t>The Board of Directors has determined that the proposed amendment is desirable, in the best interest of our shareholders, and recommends a vote “FOR” its approval.</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UFP Industries      22</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340"/>
        <w:spacing w:after="0" w:line="262" w:lineRule="auto"/>
        <w:rPr>
          <w:sz w:val="20"/>
          <w:szCs w:val="20"/>
          <w:color w:val="auto"/>
        </w:rPr>
      </w:pPr>
      <w:r>
        <w:rPr>
          <w:rFonts w:ascii="Arial" w:cs="Arial" w:eastAsia="Arial" w:hAnsi="Arial"/>
          <w:sz w:val="40"/>
          <w:szCs w:val="40"/>
          <w:b w:val="1"/>
          <w:bCs w:val="1"/>
          <w:color w:val="017B52"/>
        </w:rPr>
        <w:t>Ratification of Deloitte &amp; Touche LLP as Independent Registered Public Accounting Firm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274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Audit Committee selected Deloitte &amp; Touche LLP (“Deloitte”) as our independent registered public accounting firm for the fiscal year ending December 28, 2024 (“Fiscal 2024”). The services provided to our Company and our shareholders by Deloitte for fiscal years 2023 and 2022 are described below under the caption “Independent Registered Public Accounting Firm – Disclosure of Fees.”</w:t>
      </w:r>
    </w:p>
    <w:p>
      <w:pPr>
        <w:spacing w:after="0" w:line="3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to respond to appropriate questions and to make such statements as they may desire. The affirmative vote of the holders of a majority of the shares voted on this item will be required for ratification. Broker non-votes and abstentions will not be treated as votes cast on this proposal. Unless otherwise instructed by you, brokers, banks and other street name holders will have the discretionary authority to vote your shares on this matter.</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5966460" cy="402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402590"/>
                    </a:xfrm>
                    <a:prstGeom prst="rect">
                      <a:avLst/>
                    </a:prstGeom>
                    <a:noFill/>
                  </pic:spPr>
                </pic:pic>
              </a:graphicData>
            </a:graphic>
          </wp:anchor>
        </w:drawing>
      </w:r>
    </w:p>
    <w:p>
      <w:pPr>
        <w:spacing w:after="0" w:line="176" w:lineRule="exact"/>
        <w:rPr>
          <w:sz w:val="20"/>
          <w:szCs w:val="20"/>
          <w:color w:val="auto"/>
        </w:rPr>
      </w:pPr>
    </w:p>
    <w:p>
      <w:pPr>
        <w:jc w:val="center"/>
        <w:ind w:left="1260" w:right="540"/>
        <w:spacing w:after="0" w:line="294" w:lineRule="auto"/>
        <w:rPr>
          <w:sz w:val="20"/>
          <w:szCs w:val="20"/>
          <w:color w:val="auto"/>
        </w:rPr>
      </w:pPr>
      <w:r>
        <w:rPr>
          <w:rFonts w:ascii="Arial" w:cs="Arial" w:eastAsia="Arial" w:hAnsi="Arial"/>
          <w:sz w:val="14"/>
          <w:szCs w:val="14"/>
          <w:b w:val="1"/>
          <w:bCs w:val="1"/>
          <w:color w:val="017B52"/>
        </w:rPr>
        <w:t>The Board of Directors recommends a vote “FOR” this proposal to ratify the appointment of Deloitte &amp; Touche LLP as the Company’s independent registered public accounting firm for Fiscal 2024.</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Independent Registered Public Accounting Firm — Disclosure of Fees</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As explained above, Deloitte served as our independent registered public accounting firm for the fiscal years ended December 30, 2023 and December 31, 2022. The following table sets forth the fees we paid to Deloitte for those years, all of which were pre-approved by the Audit Committee.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tcPr>
          <w:p>
            <w:pPr>
              <w:jc w:val="right"/>
              <w:ind w:right="274"/>
              <w:spacing w:after="0"/>
              <w:rPr>
                <w:sz w:val="20"/>
                <w:szCs w:val="20"/>
                <w:color w:val="auto"/>
              </w:rPr>
            </w:pPr>
            <w:r>
              <w:rPr>
                <w:rFonts w:ascii="Arial" w:cs="Arial" w:eastAsia="Arial" w:hAnsi="Arial"/>
                <w:sz w:val="11"/>
                <w:szCs w:val="11"/>
                <w:b w:val="1"/>
                <w:bCs w:val="1"/>
                <w:color w:val="auto"/>
              </w:rPr>
              <w:t>2023</w:t>
            </w:r>
          </w:p>
        </w:tc>
        <w:tc>
          <w:tcPr>
            <w:tcW w:w="5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r>
      <w:tr>
        <w:trPr>
          <w:trHeight w:val="95"/>
        </w:trPr>
        <w:tc>
          <w:tcPr>
            <w:tcW w:w="4720" w:type="dxa"/>
            <w:vAlign w:val="bottom"/>
            <w:tcBorders>
              <w:bottom w:val="single" w:sz="8" w:color="017B52"/>
            </w:tcBorders>
          </w:tcPr>
          <w:p>
            <w:pPr>
              <w:spacing w:after="0"/>
              <w:rPr>
                <w:sz w:val="8"/>
                <w:szCs w:val="8"/>
                <w:color w:val="auto"/>
              </w:rPr>
            </w:pPr>
          </w:p>
        </w:tc>
        <w:tc>
          <w:tcPr>
            <w:tcW w:w="3600" w:type="dxa"/>
            <w:vAlign w:val="bottom"/>
            <w:tcBorders>
              <w:bottom w:val="single" w:sz="8" w:color="017B52"/>
            </w:tcBorders>
            <w:gridSpan w:val="2"/>
          </w:tcPr>
          <w:p>
            <w:pPr>
              <w:spacing w:after="0"/>
              <w:rPr>
                <w:sz w:val="8"/>
                <w:szCs w:val="8"/>
                <w:color w:val="auto"/>
              </w:rPr>
            </w:pPr>
          </w:p>
        </w:tc>
        <w:tc>
          <w:tcPr>
            <w:tcW w:w="1080" w:type="dxa"/>
            <w:vAlign w:val="bottom"/>
            <w:tcBorders>
              <w:bottom w:val="single" w:sz="8" w:color="017B52"/>
            </w:tcBorders>
            <w:gridSpan w:val="2"/>
          </w:tcPr>
          <w:p>
            <w:pPr>
              <w:spacing w:after="0"/>
              <w:rPr>
                <w:sz w:val="8"/>
                <w:szCs w:val="8"/>
                <w:color w:val="auto"/>
              </w:rPr>
            </w:pPr>
          </w:p>
        </w:tc>
      </w:tr>
      <w:tr>
        <w:trPr>
          <w:trHeight w:val="399"/>
        </w:trPr>
        <w:tc>
          <w:tcPr>
            <w:tcW w:w="4720" w:type="dxa"/>
            <w:vAlign w:val="bottom"/>
            <w:tcBorders>
              <w:bottom w:val="single" w:sz="8" w:color="017B52"/>
            </w:tcBorders>
          </w:tcPr>
          <w:p>
            <w:pPr>
              <w:ind w:left="4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3600" w:type="dxa"/>
            <w:vAlign w:val="bottom"/>
            <w:tcBorders>
              <w:bottom w:val="single" w:sz="8" w:color="017B52"/>
            </w:tcBorders>
            <w:gridSpan w:val="2"/>
          </w:tcPr>
          <w:p>
            <w:pPr>
              <w:jc w:val="right"/>
              <w:ind w:right="274"/>
              <w:spacing w:after="0"/>
              <w:rPr>
                <w:sz w:val="20"/>
                <w:szCs w:val="20"/>
                <w:color w:val="auto"/>
              </w:rPr>
            </w:pPr>
            <w:r>
              <w:rPr>
                <w:rFonts w:ascii="Arial" w:cs="Arial" w:eastAsia="Arial" w:hAnsi="Arial"/>
                <w:sz w:val="14"/>
                <w:szCs w:val="14"/>
                <w:color w:val="auto"/>
              </w:rPr>
              <w:t>$1,476,540</w:t>
            </w:r>
          </w:p>
        </w:tc>
        <w:tc>
          <w:tcPr>
            <w:tcW w:w="1080" w:type="dxa"/>
            <w:vAlign w:val="bottom"/>
            <w:tcBorders>
              <w:bottom w:val="single" w:sz="8" w:color="017B52"/>
            </w:tcBorders>
            <w:gridSpan w:val="2"/>
          </w:tcPr>
          <w:p>
            <w:pPr>
              <w:jc w:val="right"/>
              <w:spacing w:after="0"/>
              <w:rPr>
                <w:sz w:val="20"/>
                <w:szCs w:val="20"/>
                <w:color w:val="auto"/>
              </w:rPr>
            </w:pPr>
            <w:r>
              <w:rPr>
                <w:rFonts w:ascii="Arial" w:cs="Arial" w:eastAsia="Arial" w:hAnsi="Arial"/>
                <w:sz w:val="14"/>
                <w:szCs w:val="14"/>
                <w:color w:val="auto"/>
              </w:rPr>
              <w:t>$1,682,122</w:t>
            </w:r>
          </w:p>
        </w:tc>
      </w:tr>
      <w:tr>
        <w:trPr>
          <w:trHeight w:val="282"/>
        </w:trPr>
        <w:tc>
          <w:tcPr>
            <w:tcW w:w="4720" w:type="dxa"/>
            <w:vAlign w:val="bottom"/>
          </w:tcPr>
          <w:p>
            <w:pPr>
              <w:ind w:left="40"/>
              <w:spacing w:after="0"/>
              <w:rPr>
                <w:sz w:val="20"/>
                <w:szCs w:val="20"/>
                <w:color w:val="auto"/>
              </w:rPr>
            </w:pPr>
            <w:r>
              <w:rPr>
                <w:rFonts w:ascii="Arial" w:cs="Arial" w:eastAsia="Arial" w:hAnsi="Arial"/>
                <w:sz w:val="14"/>
                <w:szCs w:val="14"/>
                <w:color w:val="auto"/>
              </w:rPr>
              <w:t>Tax Services (Time and Materials)</w:t>
            </w:r>
          </w:p>
        </w:tc>
        <w:tc>
          <w:tcPr>
            <w:tcW w:w="26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131,509</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46,454</w:t>
            </w:r>
          </w:p>
        </w:tc>
      </w:tr>
      <w:tr>
        <w:trPr>
          <w:trHeight w:val="89"/>
        </w:trPr>
        <w:tc>
          <w:tcPr>
            <w:tcW w:w="4720" w:type="dxa"/>
            <w:vAlign w:val="bottom"/>
            <w:tcBorders>
              <w:bottom w:val="single" w:sz="8" w:color="017B52"/>
            </w:tcBorders>
          </w:tcPr>
          <w:p>
            <w:pPr>
              <w:spacing w:after="0"/>
              <w:rPr>
                <w:sz w:val="7"/>
                <w:szCs w:val="7"/>
                <w:color w:val="auto"/>
              </w:rPr>
            </w:pPr>
          </w:p>
        </w:tc>
        <w:tc>
          <w:tcPr>
            <w:tcW w:w="268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540" w:type="dxa"/>
            <w:vAlign w:val="bottom"/>
            <w:tcBorders>
              <w:bottom w:val="single" w:sz="8" w:color="017B52"/>
            </w:tcBorders>
          </w:tcPr>
          <w:p>
            <w:pPr>
              <w:spacing w:after="0"/>
              <w:rPr>
                <w:sz w:val="7"/>
                <w:szCs w:val="7"/>
                <w:color w:val="auto"/>
              </w:rPr>
            </w:pPr>
          </w:p>
        </w:tc>
        <w:tc>
          <w:tcPr>
            <w:tcW w:w="540" w:type="dxa"/>
            <w:vAlign w:val="bottom"/>
            <w:tcBorders>
              <w:bottom w:val="single" w:sz="8" w:color="017B52"/>
            </w:tcBorders>
          </w:tcPr>
          <w:p>
            <w:pPr>
              <w:spacing w:after="0"/>
              <w:rPr>
                <w:sz w:val="7"/>
                <w:szCs w:val="7"/>
                <w:color w:val="auto"/>
              </w:rPr>
            </w:pPr>
          </w:p>
        </w:tc>
      </w:tr>
      <w:tr>
        <w:trPr>
          <w:trHeight w:val="283"/>
        </w:trPr>
        <w:tc>
          <w:tcPr>
            <w:tcW w:w="4720" w:type="dxa"/>
            <w:vAlign w:val="bottom"/>
          </w:tcPr>
          <w:p>
            <w:pPr>
              <w:ind w:left="40"/>
              <w:spacing w:after="0"/>
              <w:rPr>
                <w:sz w:val="20"/>
                <w:szCs w:val="20"/>
                <w:color w:val="auto"/>
              </w:rPr>
            </w:pPr>
            <w:r>
              <w:rPr>
                <w:rFonts w:ascii="Arial" w:cs="Arial" w:eastAsia="Arial" w:hAnsi="Arial"/>
                <w:sz w:val="14"/>
                <w:szCs w:val="14"/>
                <w:color w:val="auto"/>
              </w:rPr>
              <w:t>Other Services</w:t>
            </w:r>
          </w:p>
        </w:tc>
        <w:tc>
          <w:tcPr>
            <w:tcW w:w="26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1,895</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1,895</w:t>
            </w:r>
          </w:p>
        </w:tc>
      </w:tr>
      <w:tr>
        <w:trPr>
          <w:trHeight w:val="89"/>
        </w:trPr>
        <w:tc>
          <w:tcPr>
            <w:tcW w:w="4720" w:type="dxa"/>
            <w:vAlign w:val="bottom"/>
            <w:tcBorders>
              <w:bottom w:val="single" w:sz="8" w:color="017B52"/>
            </w:tcBorders>
          </w:tcPr>
          <w:p>
            <w:pPr>
              <w:spacing w:after="0"/>
              <w:rPr>
                <w:sz w:val="7"/>
                <w:szCs w:val="7"/>
                <w:color w:val="auto"/>
              </w:rPr>
            </w:pPr>
          </w:p>
        </w:tc>
        <w:tc>
          <w:tcPr>
            <w:tcW w:w="3600" w:type="dxa"/>
            <w:vAlign w:val="bottom"/>
            <w:tcBorders>
              <w:bottom w:val="single" w:sz="8" w:color="017B52"/>
            </w:tcBorders>
            <w:gridSpan w:val="2"/>
          </w:tcPr>
          <w:p>
            <w:pPr>
              <w:spacing w:after="0"/>
              <w:rPr>
                <w:sz w:val="7"/>
                <w:szCs w:val="7"/>
                <w:color w:val="auto"/>
              </w:rPr>
            </w:pPr>
          </w:p>
        </w:tc>
        <w:tc>
          <w:tcPr>
            <w:tcW w:w="1080" w:type="dxa"/>
            <w:vAlign w:val="bottom"/>
            <w:tcBorders>
              <w:bottom w:val="single" w:sz="8" w:color="017B52"/>
            </w:tcBorders>
            <w:gridSpan w:val="2"/>
          </w:tcPr>
          <w:p>
            <w:pPr>
              <w:spacing w:after="0"/>
              <w:rPr>
                <w:sz w:val="7"/>
                <w:szCs w:val="7"/>
                <w:color w:val="auto"/>
              </w:rPr>
            </w:pPr>
          </w:p>
        </w:tc>
      </w:tr>
      <w:tr>
        <w:trPr>
          <w:trHeight w:val="282"/>
        </w:trPr>
        <w:tc>
          <w:tcPr>
            <w:tcW w:w="4720" w:type="dxa"/>
            <w:vAlign w:val="bottom"/>
          </w:tcPr>
          <w:p>
            <w:pPr>
              <w:ind w:left="40"/>
              <w:spacing w:after="0"/>
              <w:rPr>
                <w:sz w:val="20"/>
                <w:szCs w:val="20"/>
                <w:color w:val="auto"/>
              </w:rPr>
            </w:pPr>
            <w:r>
              <w:rPr>
                <w:rFonts w:ascii="Arial" w:cs="Arial" w:eastAsia="Arial" w:hAnsi="Arial"/>
                <w:sz w:val="14"/>
                <w:szCs w:val="14"/>
                <w:color w:val="auto"/>
              </w:rPr>
              <w:t>Total</w:t>
            </w:r>
          </w:p>
        </w:tc>
        <w:tc>
          <w:tcPr>
            <w:tcW w:w="3600" w:type="dxa"/>
            <w:vAlign w:val="bottom"/>
            <w:gridSpan w:val="2"/>
          </w:tcPr>
          <w:p>
            <w:pPr>
              <w:jc w:val="right"/>
              <w:ind w:right="274"/>
              <w:spacing w:after="0"/>
              <w:rPr>
                <w:sz w:val="20"/>
                <w:szCs w:val="20"/>
                <w:color w:val="auto"/>
              </w:rPr>
            </w:pPr>
            <w:r>
              <w:rPr>
                <w:rFonts w:ascii="Arial" w:cs="Arial" w:eastAsia="Arial" w:hAnsi="Arial"/>
                <w:sz w:val="14"/>
                <w:szCs w:val="14"/>
                <w:color w:val="auto"/>
              </w:rPr>
              <w:t>$1,609,944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$1,730,471</w:t>
            </w:r>
          </w:p>
        </w:tc>
      </w:tr>
      <w:tr>
        <w:trPr>
          <w:trHeight w:val="89"/>
        </w:trPr>
        <w:tc>
          <w:tcPr>
            <w:tcW w:w="4720" w:type="dxa"/>
            <w:vAlign w:val="bottom"/>
            <w:tcBorders>
              <w:bottom w:val="single" w:sz="8" w:color="017B52"/>
            </w:tcBorders>
          </w:tcPr>
          <w:p>
            <w:pPr>
              <w:spacing w:after="0"/>
              <w:rPr>
                <w:sz w:val="7"/>
                <w:szCs w:val="7"/>
                <w:color w:val="auto"/>
              </w:rPr>
            </w:pPr>
          </w:p>
        </w:tc>
        <w:tc>
          <w:tcPr>
            <w:tcW w:w="268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540" w:type="dxa"/>
            <w:vAlign w:val="bottom"/>
            <w:tcBorders>
              <w:bottom w:val="single" w:sz="8" w:color="017B52"/>
            </w:tcBorders>
          </w:tcPr>
          <w:p>
            <w:pPr>
              <w:spacing w:after="0"/>
              <w:rPr>
                <w:sz w:val="7"/>
                <w:szCs w:val="7"/>
                <w:color w:val="auto"/>
              </w:rPr>
            </w:pPr>
          </w:p>
        </w:tc>
        <w:tc>
          <w:tcPr>
            <w:tcW w:w="540" w:type="dxa"/>
            <w:vAlign w:val="bottom"/>
            <w:tcBorders>
              <w:bottom w:val="single" w:sz="8" w:color="017B52"/>
            </w:tcBorders>
          </w:tcPr>
          <w:p>
            <w:pPr>
              <w:spacing w:after="0"/>
              <w:rPr>
                <w:sz w:val="7"/>
                <w:szCs w:val="7"/>
                <w:color w:val="auto"/>
              </w:rPr>
            </w:pPr>
          </w:p>
        </w:tc>
      </w:tr>
    </w:tbl>
    <w:p>
      <w:pPr>
        <w:spacing w:after="0" w:line="185" w:lineRule="exact"/>
        <w:rPr>
          <w:sz w:val="20"/>
          <w:szCs w:val="20"/>
          <w:color w:val="auto"/>
        </w:rPr>
      </w:pPr>
    </w:p>
    <w:p>
      <w:pPr>
        <w:ind w:left="360" w:hanging="354"/>
        <w:spacing w:after="0"/>
        <w:tabs>
          <w:tab w:leader="none" w:pos="360" w:val="left"/>
        </w:tabs>
        <w:numPr>
          <w:ilvl w:val="0"/>
          <w:numId w:val="26"/>
        </w:numPr>
        <w:rPr>
          <w:rFonts w:ascii="Arial" w:cs="Arial" w:eastAsia="Arial" w:hAnsi="Arial"/>
          <w:sz w:val="13"/>
          <w:szCs w:val="13"/>
          <w:color w:val="333333"/>
        </w:rPr>
      </w:pPr>
      <w:r>
        <w:rPr>
          <w:rFonts w:ascii="Arial" w:cs="Arial" w:eastAsia="Arial" w:hAnsi="Arial"/>
          <w:sz w:val="13"/>
          <w:szCs w:val="13"/>
          <w:color w:val="333333"/>
        </w:rPr>
        <w:t>Includes annual audit, quarterly reviews, and audit of internal controls.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23</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Policy.</w:t>
      </w:r>
    </w:p>
    <w:p>
      <w:pPr>
        <w:spacing w:after="0" w:line="3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has established a pre-approval 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 All services provided by Deloitte under the captions “Audit Fees,” “Tax Services (Time and Materials)” and “Other Services” were approved by the Audit Committee under this policy.</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2024, the Audit Committee submitted to the Board of Directors the following report:</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Committee has reviewed and discussed with management our Company’s audited financial statements as of and for the year ended December 30, 2023.</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Committee has discussed with our independent auditors the matters covered by Public Company Accounting Oversight Board (“PCAOB”) standards, AU Section 380 </w:t>
      </w:r>
      <w:r>
        <w:rPr>
          <w:rFonts w:ascii="Arial" w:cs="Arial" w:eastAsia="Arial" w:hAnsi="Arial"/>
          <w:sz w:val="16"/>
          <w:szCs w:val="16"/>
          <w:i w:val="1"/>
          <w:iCs w:val="1"/>
          <w:color w:val="auto"/>
        </w:rPr>
        <w:t>Communication with Audit Committees.</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Committee has received from Deloitte the written disclosures and letter required by the applicable requirements of the PCAOB regarding Deloitte’s communications with the Audit Committee concerning independence, has discussed with Deloitte their independence, and has satisfied itself as to Deloitte’s independence.</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Based on the reviews and discussions referred to above, the Committee recommended to the Board of Directors that the audited financial statements referred to above be included in our Company’s Annual Report on Form 10-K for the year ended December 30, 2023.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Brian C. Walker,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Benjamin J. McLean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Tuuk Kuras</w:t>
      </w:r>
    </w:p>
    <w:p>
      <w:pPr>
        <w:spacing w:after="0" w:line="16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report of the Audit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UFP Industries      24</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3420"/>
        <w:spacing w:after="0" w:line="284" w:lineRule="auto"/>
        <w:rPr>
          <w:sz w:val="20"/>
          <w:szCs w:val="20"/>
          <w:color w:val="auto"/>
        </w:rPr>
      </w:pPr>
      <w:r>
        <w:rPr>
          <w:rFonts w:ascii="Arial" w:cs="Arial" w:eastAsia="Arial" w:hAnsi="Arial"/>
          <w:sz w:val="40"/>
          <w:szCs w:val="40"/>
          <w:b w:val="1"/>
          <w:bCs w:val="1"/>
          <w:color w:val="017B52"/>
        </w:rPr>
        <w:t>Advisory (Non-Binding)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274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Consistent with our Board’s recommendation, as approved by our shareholders, and as required under the Securities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13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compensation programs are substantially tied to our key business objectives and the success of our shareholders. If the value we deliver to our shareholders declines, so does the compensation we pay to our executives. We closely monitor the compensation programs and pay levels of executives of companies of similar size and complexity, with the objective that our compensation programs are within a range of market practices and remain competitive.</w:t>
      </w:r>
    </w:p>
    <w:p>
      <w:pPr>
        <w:spacing w:after="0" w:line="13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69 years.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advisory vote on executive compensation was conducted at our Annual Meeting of Shareholders in 2023, based on the disclosure of our executive compensation in the proxy statement for that meeting. Approximately 95% of the shares voted at that meeting approved of the compensation paid to our Named Executives. The Board considered the results of this vote as highly supportive of the Company’s compensation policies and programs.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Accordingly, our Board of Directors recommends that you vote in favor of the following resolution:</w:t>
      </w:r>
    </w:p>
    <w:p>
      <w:pPr>
        <w:spacing w:after="0" w:line="18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2024 Annual Meeting of Shareholders,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30035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17B52"/>
        </w:rPr>
        <w:t>The Board of Directors recommends a vote “FOR” this proposal.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25</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Securities Ownership of Management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28, 2024:</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ind w:left="40"/>
              <w:spacing w:after="0"/>
              <w:rPr>
                <w:sz w:val="20"/>
                <w:szCs w:val="20"/>
                <w:color w:val="auto"/>
              </w:rPr>
            </w:pPr>
            <w:r>
              <w:rPr>
                <w:rFonts w:ascii="Arial" w:cs="Arial" w:eastAsia="Arial" w:hAnsi="Arial"/>
                <w:sz w:val="11"/>
                <w:szCs w:val="11"/>
                <w:b w:val="1"/>
                <w:bCs w:val="1"/>
                <w:color w:val="auto"/>
              </w:rPr>
              <w:t>NAME OF BENEFICIAL OWNER</w:t>
            </w:r>
          </w:p>
        </w:tc>
        <w:tc>
          <w:tcPr>
            <w:tcW w:w="3200" w:type="dxa"/>
            <w:vAlign w:val="bottom"/>
          </w:tcPr>
          <w:p>
            <w:pPr>
              <w:ind w:left="160"/>
              <w:spacing w:after="0"/>
              <w:rPr>
                <w:sz w:val="20"/>
                <w:szCs w:val="20"/>
                <w:color w:val="auto"/>
              </w:rPr>
            </w:pPr>
            <w:r>
              <w:rPr>
                <w:rFonts w:ascii="Arial" w:cs="Arial" w:eastAsia="Arial" w:hAnsi="Arial"/>
                <w:sz w:val="11"/>
                <w:szCs w:val="11"/>
                <w:b w:val="1"/>
                <w:bCs w:val="1"/>
                <w:color w:val="auto"/>
              </w:rPr>
              <w:t>AMOUNT AND NATURE OF BENEFICIAL OWNERSHIP</w:t>
            </w:r>
            <w:r>
              <w:rPr>
                <w:rFonts w:ascii="Arial" w:cs="Arial" w:eastAsia="Arial" w:hAnsi="Arial"/>
                <w:sz w:val="16"/>
                <w:szCs w:val="16"/>
                <w:b w:val="1"/>
                <w:bCs w:val="1"/>
                <w:color w:val="auto"/>
                <w:vertAlign w:val="superscript"/>
              </w:rPr>
              <w:t>(1)</w:t>
            </w:r>
          </w:p>
        </w:tc>
        <w:tc>
          <w:tcPr>
            <w:tcW w:w="2120" w:type="dxa"/>
            <w:vAlign w:val="bottom"/>
          </w:tcPr>
          <w:p>
            <w:pPr>
              <w:ind w:left="580"/>
              <w:spacing w:after="0"/>
              <w:rPr>
                <w:sz w:val="20"/>
                <w:szCs w:val="20"/>
                <w:color w:val="auto"/>
              </w:rPr>
            </w:pPr>
            <w:r>
              <w:rPr>
                <w:rFonts w:ascii="Arial" w:cs="Arial" w:eastAsia="Arial" w:hAnsi="Arial"/>
                <w:sz w:val="11"/>
                <w:szCs w:val="11"/>
                <w:b w:val="1"/>
                <w:bCs w:val="1"/>
                <w:color w:val="auto"/>
              </w:rPr>
              <w:t>PERCENT OF CLASS</w:t>
            </w:r>
          </w:p>
        </w:tc>
      </w:tr>
      <w:tr>
        <w:trPr>
          <w:trHeight w:val="90"/>
        </w:trPr>
        <w:tc>
          <w:tcPr>
            <w:tcW w:w="4080" w:type="dxa"/>
            <w:vAlign w:val="bottom"/>
            <w:tcBorders>
              <w:bottom w:val="single" w:sz="8" w:color="017B52"/>
            </w:tcBorders>
          </w:tcPr>
          <w:p>
            <w:pPr>
              <w:spacing w:after="0"/>
              <w:rPr>
                <w:sz w:val="7"/>
                <w:szCs w:val="7"/>
                <w:color w:val="auto"/>
              </w:rPr>
            </w:pPr>
          </w:p>
        </w:tc>
        <w:tc>
          <w:tcPr>
            <w:tcW w:w="3200" w:type="dxa"/>
            <w:vAlign w:val="bottom"/>
            <w:tcBorders>
              <w:bottom w:val="single" w:sz="8" w:color="017B52"/>
            </w:tcBorders>
          </w:tcPr>
          <w:p>
            <w:pPr>
              <w:spacing w:after="0"/>
              <w:rPr>
                <w:sz w:val="7"/>
                <w:szCs w:val="7"/>
                <w:color w:val="auto"/>
              </w:rPr>
            </w:pPr>
          </w:p>
        </w:tc>
        <w:tc>
          <w:tcPr>
            <w:tcW w:w="2120" w:type="dxa"/>
            <w:vAlign w:val="bottom"/>
            <w:tcBorders>
              <w:bottom w:val="single" w:sz="8" w:color="017B52"/>
            </w:tcBorders>
          </w:tcPr>
          <w:p>
            <w:pPr>
              <w:spacing w:after="0"/>
              <w:rPr>
                <w:sz w:val="7"/>
                <w:szCs w:val="7"/>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Matthew J. Missad</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5"/>
              </w:rPr>
              <w:t>479,237</w:t>
            </w:r>
            <w:r>
              <w:rPr>
                <w:rFonts w:ascii="Arial" w:cs="Arial" w:eastAsia="Arial" w:hAnsi="Arial"/>
                <w:sz w:val="23"/>
                <w:szCs w:val="23"/>
                <w:color w:val="auto"/>
                <w:w w:val="95"/>
                <w:vertAlign w:val="superscript"/>
              </w:rPr>
              <w:t>(2)</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Michael R. Cole</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5"/>
              </w:rPr>
              <w:t>253,963</w:t>
            </w:r>
            <w:r>
              <w:rPr>
                <w:rFonts w:ascii="Arial" w:cs="Arial" w:eastAsia="Arial" w:hAnsi="Arial"/>
                <w:sz w:val="23"/>
                <w:szCs w:val="23"/>
                <w:color w:val="auto"/>
                <w:w w:val="95"/>
                <w:vertAlign w:val="superscript"/>
              </w:rPr>
              <w:t>(2)</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Patrick M. Benton</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5"/>
              </w:rPr>
              <w:t>197,868</w:t>
            </w:r>
            <w:r>
              <w:rPr>
                <w:rFonts w:ascii="Arial" w:cs="Arial" w:eastAsia="Arial" w:hAnsi="Arial"/>
                <w:sz w:val="23"/>
                <w:szCs w:val="23"/>
                <w:color w:val="auto"/>
                <w:w w:val="95"/>
                <w:vertAlign w:val="superscript"/>
              </w:rPr>
              <w:t>(2)</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William G. Currie</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5"/>
              </w:rPr>
              <w:t>182,071</w:t>
            </w:r>
            <w:r>
              <w:rPr>
                <w:rFonts w:ascii="Arial" w:cs="Arial" w:eastAsia="Arial" w:hAnsi="Arial"/>
                <w:sz w:val="23"/>
                <w:szCs w:val="23"/>
                <w:color w:val="auto"/>
                <w:w w:val="95"/>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5"/>
              </w:rPr>
              <w:t>142,557</w:t>
            </w:r>
            <w:r>
              <w:rPr>
                <w:rFonts w:ascii="Arial" w:cs="Arial" w:eastAsia="Arial" w:hAnsi="Arial"/>
                <w:sz w:val="23"/>
                <w:szCs w:val="23"/>
                <w:color w:val="auto"/>
                <w:w w:val="95"/>
                <w:vertAlign w:val="superscript"/>
              </w:rPr>
              <w:t>(2)</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Thomas W. Rhodes</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78,089</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70,547</w:t>
            </w:r>
            <w:r>
              <w:rPr>
                <w:rFonts w:ascii="Arial" w:cs="Arial" w:eastAsia="Arial" w:hAnsi="Arial"/>
                <w:sz w:val="23"/>
                <w:szCs w:val="23"/>
                <w:color w:val="auto"/>
                <w:w w:val="94"/>
                <w:vertAlign w:val="superscript"/>
              </w:rPr>
              <w:t>(2)</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Michael G. Wooldridge</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45,929</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Bruce A. Merino</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38,363</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Brian C. Walker</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37,657</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Mary Tuuk Kuras</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34,746</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Joan A. Budden</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17,776</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64"/>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017B52"/>
              </w:rPr>
              <w:t>Benjamin J. McLean</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11,152</w:t>
            </w:r>
            <w:r>
              <w:rPr>
                <w:rFonts w:ascii="Arial" w:cs="Arial" w:eastAsia="Arial" w:hAnsi="Arial"/>
                <w:sz w:val="23"/>
                <w:szCs w:val="23"/>
                <w:color w:val="auto"/>
                <w:w w:val="94"/>
                <w:vertAlign w:val="superscript"/>
              </w:rPr>
              <w:t>(3)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w:t>
            </w:r>
          </w:p>
        </w:tc>
      </w:tr>
      <w:tr>
        <w:trPr>
          <w:trHeight w:val="42"/>
        </w:trPr>
        <w:tc>
          <w:tcPr>
            <w:tcW w:w="4080" w:type="dxa"/>
            <w:vAlign w:val="bottom"/>
            <w:tcBorders>
              <w:bottom w:val="single" w:sz="8" w:color="017B52"/>
              <w:right w:val="single" w:sz="8" w:color="017B52"/>
            </w:tcBorders>
          </w:tcPr>
          <w:p>
            <w:pPr>
              <w:spacing w:after="0"/>
              <w:rPr>
                <w:sz w:val="3"/>
                <w:szCs w:val="3"/>
                <w:color w:val="auto"/>
              </w:rPr>
            </w:pPr>
          </w:p>
        </w:tc>
        <w:tc>
          <w:tcPr>
            <w:tcW w:w="3200" w:type="dxa"/>
            <w:vAlign w:val="bottom"/>
            <w:tcBorders>
              <w:bottom w:val="single" w:sz="8" w:color="017B52"/>
              <w:right w:val="single" w:sz="8" w:color="017B52"/>
            </w:tcBorders>
          </w:tcPr>
          <w:p>
            <w:pPr>
              <w:spacing w:after="0"/>
              <w:rPr>
                <w:sz w:val="3"/>
                <w:szCs w:val="3"/>
                <w:color w:val="auto"/>
              </w:rPr>
            </w:pPr>
          </w:p>
        </w:tc>
        <w:tc>
          <w:tcPr>
            <w:tcW w:w="2120" w:type="dxa"/>
            <w:vAlign w:val="bottom"/>
            <w:tcBorders>
              <w:bottom w:val="single" w:sz="8" w:color="017B52"/>
            </w:tcBorders>
          </w:tcPr>
          <w:p>
            <w:pPr>
              <w:spacing w:after="0"/>
              <w:rPr>
                <w:sz w:val="3"/>
                <w:szCs w:val="3"/>
                <w:color w:val="auto"/>
              </w:rPr>
            </w:pPr>
          </w:p>
        </w:tc>
      </w:tr>
      <w:tr>
        <w:trPr>
          <w:trHeight w:val="452"/>
        </w:trPr>
        <w:tc>
          <w:tcPr>
            <w:tcW w:w="4080" w:type="dxa"/>
            <w:vAlign w:val="bottom"/>
            <w:tcBorders>
              <w:right w:val="single" w:sz="8" w:color="017B52"/>
            </w:tcBorders>
          </w:tcPr>
          <w:p>
            <w:pPr>
              <w:ind w:left="40"/>
              <w:spacing w:after="0"/>
              <w:rPr>
                <w:sz w:val="20"/>
                <w:szCs w:val="20"/>
                <w:color w:val="auto"/>
              </w:rPr>
            </w:pPr>
            <w:r>
              <w:rPr>
                <w:rFonts w:ascii="Arial" w:cs="Arial" w:eastAsia="Arial" w:hAnsi="Arial"/>
                <w:sz w:val="13"/>
                <w:szCs w:val="13"/>
                <w:b w:val="1"/>
                <w:bCs w:val="1"/>
                <w:color w:val="auto"/>
              </w:rPr>
              <w:t>All directors and executive officers as a group (15 persons)</w:t>
            </w:r>
          </w:p>
        </w:tc>
        <w:tc>
          <w:tcPr>
            <w:tcW w:w="3200" w:type="dxa"/>
            <w:vAlign w:val="bottom"/>
            <w:tcBorders>
              <w:right w:val="single" w:sz="8" w:color="017B52"/>
            </w:tcBorders>
          </w:tcPr>
          <w:p>
            <w:pPr>
              <w:jc w:val="center"/>
              <w:spacing w:after="0"/>
              <w:rPr>
                <w:sz w:val="20"/>
                <w:szCs w:val="20"/>
                <w:color w:val="auto"/>
              </w:rPr>
            </w:pPr>
            <w:r>
              <w:rPr>
                <w:rFonts w:ascii="Arial" w:cs="Arial" w:eastAsia="Arial" w:hAnsi="Arial"/>
                <w:sz w:val="14"/>
                <w:szCs w:val="14"/>
                <w:color w:val="auto"/>
                <w:w w:val="94"/>
              </w:rPr>
              <w:t>1,589,955</w:t>
            </w:r>
            <w:r>
              <w:rPr>
                <w:rFonts w:ascii="Arial" w:cs="Arial" w:eastAsia="Arial" w:hAnsi="Arial"/>
                <w:sz w:val="23"/>
                <w:szCs w:val="23"/>
                <w:color w:val="auto"/>
                <w:w w:val="94"/>
                <w:vertAlign w:val="superscript"/>
              </w:rPr>
              <w:t>(2)(3)</w:t>
            </w:r>
          </w:p>
        </w:tc>
        <w:tc>
          <w:tcPr>
            <w:tcW w:w="2120" w:type="dxa"/>
            <w:vAlign w:val="bottom"/>
          </w:tcPr>
          <w:p>
            <w:pPr>
              <w:jc w:val="center"/>
              <w:ind w:left="69"/>
              <w:spacing w:after="0"/>
              <w:rPr>
                <w:sz w:val="20"/>
                <w:szCs w:val="20"/>
                <w:color w:val="auto"/>
              </w:rPr>
            </w:pPr>
            <w:r>
              <w:rPr>
                <w:rFonts w:ascii="Arial" w:cs="Arial" w:eastAsia="Arial" w:hAnsi="Arial"/>
                <w:sz w:val="14"/>
                <w:szCs w:val="14"/>
                <w:color w:val="auto"/>
              </w:rPr>
              <w:t>2.58%</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333333"/>
        </w:rPr>
        <w:t>* Less than one percent (1%).</w:t>
      </w:r>
    </w:p>
    <w:p>
      <w:pPr>
        <w:spacing w:after="0" w:line="67"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3"/>
          <w:szCs w:val="13"/>
          <w:color w:val="333333"/>
        </w:rPr>
      </w:pPr>
      <w:r>
        <w:rPr>
          <w:rFonts w:ascii="Arial" w:cs="Arial" w:eastAsia="Arial" w:hAnsi="Arial"/>
          <w:sz w:val="13"/>
          <w:szCs w:val="13"/>
          <w:color w:val="333333"/>
        </w:rPr>
        <w:t>Except as otherwise indicated by footnote, each named person has sole voting and investment power with respect to the shares indicated.</w:t>
      </w:r>
    </w:p>
    <w:p>
      <w:pPr>
        <w:spacing w:after="0" w:line="80" w:lineRule="exact"/>
        <w:rPr>
          <w:rFonts w:ascii="Arial" w:cs="Arial" w:eastAsia="Arial" w:hAnsi="Arial"/>
          <w:sz w:val="13"/>
          <w:szCs w:val="13"/>
          <w:color w:val="333333"/>
        </w:rPr>
      </w:pPr>
    </w:p>
    <w:p>
      <w:pPr>
        <w:ind w:left="360" w:right="380" w:hanging="354"/>
        <w:spacing w:after="0" w:line="243" w:lineRule="auto"/>
        <w:tabs>
          <w:tab w:leader="none" w:pos="360" w:val="left"/>
        </w:tabs>
        <w:numPr>
          <w:ilvl w:val="0"/>
          <w:numId w:val="27"/>
        </w:numPr>
        <w:rPr>
          <w:rFonts w:ascii="Arial" w:cs="Arial" w:eastAsia="Arial" w:hAnsi="Arial"/>
          <w:sz w:val="13"/>
          <w:szCs w:val="13"/>
          <w:color w:val="333333"/>
        </w:rPr>
      </w:pPr>
      <w:r>
        <w:rPr>
          <w:rFonts w:ascii="Arial" w:cs="Arial" w:eastAsia="Arial" w:hAnsi="Arial"/>
          <w:sz w:val="13"/>
          <w:szCs w:val="13"/>
          <w:color w:val="333333"/>
        </w:rPr>
        <w:t>Includes shares subject to issuance under our deferred compensation plans for Messrs. Missad, Cole, Benton, Worthington and Schwartz in the amounts of 91,469 shares; 31,130 shares; 11,214 shares; 15,824 shares; and 10,139 shares, respectively.</w:t>
      </w:r>
    </w:p>
    <w:p>
      <w:pPr>
        <w:spacing w:after="0" w:line="61" w:lineRule="exact"/>
        <w:rPr>
          <w:rFonts w:ascii="Arial" w:cs="Arial" w:eastAsia="Arial" w:hAnsi="Arial"/>
          <w:sz w:val="13"/>
          <w:szCs w:val="13"/>
          <w:color w:val="333333"/>
        </w:rPr>
      </w:pPr>
    </w:p>
    <w:p>
      <w:pPr>
        <w:ind w:left="360" w:right="280" w:hanging="354"/>
        <w:spacing w:after="0" w:line="283" w:lineRule="auto"/>
        <w:tabs>
          <w:tab w:leader="none" w:pos="360"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Includes shares held in our Director Plan for Mesdames Budden and Tuuk Kuras who hold 17,776 shares and 7,712 shares, respectively, and Messrs. Currie, McLean, Rhodes, Walker and Wooldridge who hold 35,223 shares; 10,486 shares; 60,663 shares; 30,248 shares; and 28,220 shares,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26</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ind w:right="3900"/>
        <w:spacing w:after="0" w:line="307" w:lineRule="auto"/>
        <w:rPr>
          <w:sz w:val="20"/>
          <w:szCs w:val="20"/>
          <w:color w:val="auto"/>
        </w:rPr>
      </w:pPr>
      <w:r>
        <w:rPr>
          <w:rFonts w:ascii="Arial" w:cs="Arial" w:eastAsia="Arial" w:hAnsi="Arial"/>
          <w:sz w:val="28"/>
          <w:szCs w:val="28"/>
          <w:b w:val="1"/>
          <w:bCs w:val="1"/>
          <w:color w:val="017B52"/>
        </w:rPr>
        <w:t>Executive Compensation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274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Philosophy and Objectives</w:t>
      </w:r>
    </w:p>
    <w:p>
      <w:pPr>
        <w:spacing w:after="0" w:line="4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We believe our employees are our most important asset. Our executive compensation program has been designed to motivate, reward, attract and retain management personnel that we deem essential to promote our success. The program seeks to align executive compensation with Company objectives, business strategy and financial performance. In applying these principles, we seek to:</w:t>
      </w:r>
    </w:p>
    <w:p>
      <w:pPr>
        <w:spacing w:after="0" w:line="153" w:lineRule="exact"/>
        <w:rPr>
          <w:sz w:val="20"/>
          <w:szCs w:val="20"/>
          <w:color w:val="auto"/>
        </w:rPr>
      </w:pPr>
    </w:p>
    <w:p>
      <w:pPr>
        <w:ind w:left="860" w:hanging="35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Create an environment that rewards performance for achievement of Company goals;</w:t>
      </w:r>
    </w:p>
    <w:p>
      <w:pPr>
        <w:spacing w:after="0" w:line="207" w:lineRule="exact"/>
        <w:rPr>
          <w:rFonts w:ascii="Arial" w:cs="Arial" w:eastAsia="Arial" w:hAnsi="Arial"/>
          <w:sz w:val="16"/>
          <w:szCs w:val="16"/>
          <w:color w:val="auto"/>
        </w:rPr>
      </w:pPr>
    </w:p>
    <w:p>
      <w:pPr>
        <w:ind w:left="860" w:hanging="350"/>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and retain key executives critical to the long-term success of our Company; and</w:t>
      </w:r>
    </w:p>
    <w:p>
      <w:pPr>
        <w:spacing w:after="0" w:line="207" w:lineRule="exact"/>
        <w:rPr>
          <w:rFonts w:ascii="Arial" w:cs="Arial" w:eastAsia="Arial" w:hAnsi="Arial"/>
          <w:sz w:val="16"/>
          <w:szCs w:val="16"/>
          <w:color w:val="auto"/>
        </w:rPr>
      </w:pPr>
    </w:p>
    <w:p>
      <w:pPr>
        <w:ind w:left="860" w:right="260" w:hanging="350"/>
        <w:spacing w:after="0" w:line="286"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Align the interests of executives with the long-term interests of shareholders through stock ownership initiatives and requirements.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What Our Compensation Program is Designed to Reward</w:t>
      </w:r>
    </w:p>
    <w:p>
      <w:pPr>
        <w:spacing w:after="0" w:line="34"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Our compensation program is designed to reward overall financial performance as well as each person’s individual contribution to our Company. In measuring an individual’s contribution to our Company, the Personnel and Compensation Committee</w:t>
      </w:r>
    </w:p>
    <w:p>
      <w:pPr>
        <w:spacing w:after="0" w:line="1" w:lineRule="exact"/>
        <w:rPr>
          <w:sz w:val="20"/>
          <w:szCs w:val="20"/>
          <w:color w:val="auto"/>
        </w:rPr>
      </w:pPr>
    </w:p>
    <w:p>
      <w:pPr>
        <w:ind w:right="720"/>
        <w:spacing w:after="0" w:line="265" w:lineRule="auto"/>
        <w:rPr>
          <w:sz w:val="20"/>
          <w:szCs w:val="20"/>
          <w:color w:val="auto"/>
        </w:rPr>
      </w:pPr>
      <w:r>
        <w:rPr>
          <w:rFonts w:ascii="Arial" w:cs="Arial" w:eastAsia="Arial" w:hAnsi="Arial"/>
          <w:sz w:val="16"/>
          <w:szCs w:val="16"/>
          <w:color w:val="auto"/>
        </w:rPr>
        <w:t>(the “Committee”) considers numerous factors, including the individual’s contribution to Company performance, individual performance relative to pre-established goals, and general economic conditions in the markets we serve.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Compensation Program Components - Emphasis on Incentive-Based Compensation</w:t>
      </w:r>
    </w:p>
    <w:p>
      <w:pPr>
        <w:spacing w:after="0" w:line="34" w:lineRule="exact"/>
        <w:rPr>
          <w:sz w:val="20"/>
          <w:szCs w:val="20"/>
          <w:color w:val="auto"/>
        </w:rPr>
      </w:pPr>
    </w:p>
    <w:p>
      <w:pPr>
        <w:jc w:val="both"/>
        <w:ind w:right="200"/>
        <w:spacing w:after="0" w:line="256" w:lineRule="auto"/>
        <w:rPr>
          <w:sz w:val="20"/>
          <w:szCs w:val="20"/>
          <w:color w:val="auto"/>
        </w:rPr>
      </w:pPr>
      <w:r>
        <w:rPr>
          <w:rFonts w:ascii="Arial" w:cs="Arial" w:eastAsia="Arial" w:hAnsi="Arial"/>
          <w:sz w:val="16"/>
          <w:szCs w:val="16"/>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13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principal components of our executive compensation consist of (a) base salary, (b) annual performance incentives, and (c) long-term incentive compensation (generally payable in the form of equity-based compensation awards).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It has been our practice to provide modest base salaries, relative to the market, and place a greater emphasis on performance-based compensation. We believe that this is consistent with motivating our management team to create shareholder value and with what our shareholders expect. If we perform well and create value for our shareholders, our management team is compensated well for those results. We measure financial performance by our return on investment (“ROI”) in the business (described below), a metric we believe correlates well with the creation of shareholder value.</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2023, the Company once again performed very well, relative to our targeted ROI. For the year, we achieved an overall ROI of 22.49% (our threshold ROI is 6.0% for the corporate incentive compensation pool and 8.5% for each segment pool). This resulted in meaningful incentive compensation awards. Our annual cash incentive compensation is limited to two times each executive’s prevailing base salary. Any amounts earned in excess of this limitation is paid in the form of long-term equity-based compensation.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explained in more detail below, any incentive compensation paid in the form of our shares is subject to future service conditions. Consequently, each executive must continue working for the Company for an additional service period to receive the balance of the incentive compensation earned in 2023 and paid as long-term compensation. For 2023, the variable compensation earned by all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27</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Business Units (defined below) totaled approximately $132 million in annual cash incentive compensation and</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$30 million in long-term incentive compensation. The long-term incentive amount was paid in the form of (a) restricted stock grants that vest five years from the grant date and (b) stock performance units that vest and are payable three years from the date of grant, based upon Company performance.</w:t>
      </w:r>
    </w:p>
    <w:p>
      <w:pPr>
        <w:spacing w:after="0" w:line="13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b w:val="1"/>
          <w:bCs w:val="1"/>
          <w:i w:val="1"/>
          <w:iCs w:val="1"/>
          <w:color w:val="auto"/>
        </w:rPr>
        <w:t xml:space="preserve">Base Salaries. </w:t>
      </w:r>
      <w:r>
        <w:rPr>
          <w:rFonts w:ascii="Arial" w:cs="Arial" w:eastAsia="Arial" w:hAnsi="Arial"/>
          <w:sz w:val="16"/>
          <w:szCs w:val="16"/>
          <w:color w:val="auto"/>
        </w:rPr>
        <w:t>Base salaries are set for our executive officers at the Committee’s first meeting each year, generally at the end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or the beginning of February.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the approval of our Board.</w:t>
      </w:r>
    </w:p>
    <w:p>
      <w:pPr>
        <w:spacing w:after="0" w:line="139" w:lineRule="exact"/>
        <w:rPr>
          <w:sz w:val="20"/>
          <w:szCs w:val="20"/>
          <w:color w:val="auto"/>
        </w:rPr>
      </w:pPr>
    </w:p>
    <w:p>
      <w:pPr>
        <w:ind w:right="440"/>
        <w:spacing w:after="0" w:line="255" w:lineRule="auto"/>
        <w:rPr>
          <w:sz w:val="20"/>
          <w:szCs w:val="20"/>
          <w:color w:val="auto"/>
        </w:rPr>
      </w:pPr>
      <w:r>
        <w:rPr>
          <w:rFonts w:ascii="Arial" w:cs="Arial" w:eastAsia="Arial" w:hAnsi="Arial"/>
          <w:sz w:val="16"/>
          <w:szCs w:val="16"/>
          <w:color w:val="auto"/>
        </w:rPr>
        <w:t>The Committee considers a variety of objective and subjective factors in considering the establishment of base salaries. In addition, the Committee reviews and monitors the executive compensation programs and pay levels of executives among our</w:t>
      </w:r>
    </w:p>
    <w:p>
      <w:pPr>
        <w:ind w:right="100"/>
        <w:spacing w:after="0" w:line="214" w:lineRule="auto"/>
        <w:rPr>
          <w:sz w:val="20"/>
          <w:szCs w:val="20"/>
          <w:color w:val="auto"/>
        </w:rPr>
      </w:pPr>
      <w:r>
        <w:rPr>
          <w:rFonts w:ascii="Arial" w:cs="Arial" w:eastAsia="Arial" w:hAnsi="Arial"/>
          <w:sz w:val="16"/>
          <w:szCs w:val="16"/>
          <w:color w:val="auto"/>
        </w:rPr>
        <w:t>Company’s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Based upon its review, the Committee concluded that our compensation program for executive officers is generally competitive and is effective in providing the requisite incentives and rewards to our leadership team.</w:t>
      </w:r>
    </w:p>
    <w:p>
      <w:pPr>
        <w:spacing w:after="0" w:line="1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For fiscal 2024, the Committee approved salary increases to the Named Executives, identified in the Summary Compensation Table,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NAMED EXECUTIVE</w:t>
            </w:r>
          </w:p>
        </w:tc>
        <w:tc>
          <w:tcPr>
            <w:tcW w:w="3660" w:type="dxa"/>
            <w:vAlign w:val="bottom"/>
          </w:tcPr>
          <w:p>
            <w:pPr>
              <w:jc w:val="right"/>
              <w:ind w:right="91"/>
              <w:spacing w:after="0"/>
              <w:rPr>
                <w:sz w:val="20"/>
                <w:szCs w:val="20"/>
                <w:color w:val="auto"/>
              </w:rPr>
            </w:pPr>
            <w:r>
              <w:rPr>
                <w:rFonts w:ascii="Arial" w:cs="Arial" w:eastAsia="Arial" w:hAnsi="Arial"/>
                <w:sz w:val="11"/>
                <w:szCs w:val="11"/>
                <w:b w:val="1"/>
                <w:bCs w:val="1"/>
                <w:color w:val="auto"/>
              </w:rPr>
              <w:t>2024 EFFECTIVE DATE</w:t>
            </w:r>
          </w:p>
        </w:tc>
        <w:tc>
          <w:tcPr>
            <w:tcW w:w="1080" w:type="dxa"/>
            <w:vAlign w:val="bottom"/>
          </w:tcPr>
          <w:p>
            <w:pPr>
              <w:jc w:val="right"/>
              <w:ind w:right="111"/>
              <w:spacing w:after="0"/>
              <w:rPr>
                <w:sz w:val="20"/>
                <w:szCs w:val="20"/>
                <w:color w:val="auto"/>
              </w:rPr>
            </w:pPr>
            <w:r>
              <w:rPr>
                <w:rFonts w:ascii="Arial" w:cs="Arial" w:eastAsia="Arial" w:hAnsi="Arial"/>
                <w:sz w:val="11"/>
                <w:szCs w:val="11"/>
                <w:b w:val="1"/>
                <w:bCs w:val="1"/>
                <w:color w:val="auto"/>
              </w:rPr>
              <w:t>NEW SALARY</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 INCREASE</w:t>
            </w:r>
          </w:p>
        </w:tc>
      </w:tr>
      <w:tr>
        <w:trPr>
          <w:trHeight w:val="95"/>
        </w:trPr>
        <w:tc>
          <w:tcPr>
            <w:tcW w:w="3780" w:type="dxa"/>
            <w:vAlign w:val="bottom"/>
            <w:tcBorders>
              <w:bottom w:val="single" w:sz="8" w:color="017B52"/>
            </w:tcBorders>
          </w:tcPr>
          <w:p>
            <w:pPr>
              <w:spacing w:after="0"/>
              <w:rPr>
                <w:sz w:val="8"/>
                <w:szCs w:val="8"/>
                <w:color w:val="auto"/>
              </w:rPr>
            </w:pPr>
          </w:p>
        </w:tc>
        <w:tc>
          <w:tcPr>
            <w:tcW w:w="3660" w:type="dxa"/>
            <w:vAlign w:val="bottom"/>
            <w:tcBorders>
              <w:bottom w:val="single" w:sz="8" w:color="017B52"/>
            </w:tcBorders>
          </w:tcPr>
          <w:p>
            <w:pPr>
              <w:spacing w:after="0"/>
              <w:rPr>
                <w:sz w:val="8"/>
                <w:szCs w:val="8"/>
                <w:color w:val="auto"/>
              </w:rPr>
            </w:pPr>
          </w:p>
        </w:tc>
        <w:tc>
          <w:tcPr>
            <w:tcW w:w="1080" w:type="dxa"/>
            <w:vAlign w:val="bottom"/>
            <w:tcBorders>
              <w:bottom w:val="single" w:sz="8" w:color="017B52"/>
            </w:tcBorders>
          </w:tcPr>
          <w:p>
            <w:pPr>
              <w:spacing w:after="0"/>
              <w:rPr>
                <w:sz w:val="8"/>
                <w:szCs w:val="8"/>
                <w:color w:val="auto"/>
              </w:rPr>
            </w:pPr>
          </w:p>
        </w:tc>
        <w:tc>
          <w:tcPr>
            <w:tcW w:w="880" w:type="dxa"/>
            <w:vAlign w:val="bottom"/>
            <w:tcBorders>
              <w:bottom w:val="single" w:sz="8" w:color="017B52"/>
            </w:tcBorders>
          </w:tcPr>
          <w:p>
            <w:pPr>
              <w:spacing w:after="0"/>
              <w:rPr>
                <w:sz w:val="8"/>
                <w:szCs w:val="8"/>
                <w:color w:val="auto"/>
              </w:rPr>
            </w:pPr>
          </w:p>
        </w:tc>
      </w:tr>
      <w:tr>
        <w:trPr>
          <w:trHeight w:val="288"/>
        </w:trPr>
        <w:tc>
          <w:tcPr>
            <w:tcW w:w="3780" w:type="dxa"/>
            <w:vAlign w:val="bottom"/>
          </w:tcPr>
          <w:p>
            <w:pPr>
              <w:ind w:left="40"/>
              <w:spacing w:after="0"/>
              <w:rPr>
                <w:sz w:val="20"/>
                <w:szCs w:val="20"/>
                <w:color w:val="auto"/>
              </w:rPr>
            </w:pPr>
            <w:r>
              <w:rPr>
                <w:rFonts w:ascii="Arial" w:cs="Arial" w:eastAsia="Arial" w:hAnsi="Arial"/>
                <w:sz w:val="14"/>
                <w:szCs w:val="14"/>
                <w:b w:val="1"/>
                <w:bCs w:val="1"/>
                <w:color w:val="017B52"/>
              </w:rPr>
              <w:t>Matthew J. Missad</w:t>
            </w:r>
          </w:p>
        </w:tc>
        <w:tc>
          <w:tcPr>
            <w:tcW w:w="3660" w:type="dxa"/>
            <w:vAlign w:val="bottom"/>
          </w:tcPr>
          <w:p>
            <w:pPr>
              <w:jc w:val="right"/>
              <w:ind w:right="91"/>
              <w:spacing w:after="0"/>
              <w:rPr>
                <w:sz w:val="20"/>
                <w:szCs w:val="20"/>
                <w:color w:val="auto"/>
              </w:rPr>
            </w:pPr>
            <w:r>
              <w:rPr>
                <w:rFonts w:ascii="Arial" w:cs="Arial" w:eastAsia="Arial" w:hAnsi="Arial"/>
                <w:sz w:val="14"/>
                <w:szCs w:val="14"/>
                <w:color w:val="auto"/>
              </w:rPr>
              <w:t>02/01/2024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$871,873</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83"/>
        </w:trPr>
        <w:tc>
          <w:tcPr>
            <w:tcW w:w="3780" w:type="dxa"/>
            <w:vAlign w:val="bottom"/>
            <w:tcBorders>
              <w:bottom w:val="single" w:sz="8" w:color="017B52"/>
            </w:tcBorders>
          </w:tcPr>
          <w:p>
            <w:pPr>
              <w:spacing w:after="0"/>
              <w:rPr>
                <w:sz w:val="7"/>
                <w:szCs w:val="7"/>
                <w:color w:val="auto"/>
              </w:rPr>
            </w:pPr>
          </w:p>
        </w:tc>
        <w:tc>
          <w:tcPr>
            <w:tcW w:w="36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880" w:type="dxa"/>
            <w:vAlign w:val="bottom"/>
            <w:tcBorders>
              <w:bottom w:val="single" w:sz="8" w:color="017B52"/>
            </w:tcBorders>
          </w:tcPr>
          <w:p>
            <w:pPr>
              <w:spacing w:after="0"/>
              <w:rPr>
                <w:sz w:val="7"/>
                <w:szCs w:val="7"/>
                <w:color w:val="auto"/>
              </w:rPr>
            </w:pPr>
          </w:p>
        </w:tc>
      </w:tr>
      <w:tr>
        <w:trPr>
          <w:trHeight w:val="288"/>
        </w:trPr>
        <w:tc>
          <w:tcPr>
            <w:tcW w:w="3780" w:type="dxa"/>
            <w:vAlign w:val="bottom"/>
          </w:tcPr>
          <w:p>
            <w:pPr>
              <w:ind w:left="40"/>
              <w:spacing w:after="0"/>
              <w:rPr>
                <w:sz w:val="20"/>
                <w:szCs w:val="20"/>
                <w:color w:val="auto"/>
              </w:rPr>
            </w:pPr>
            <w:r>
              <w:rPr>
                <w:rFonts w:ascii="Arial" w:cs="Arial" w:eastAsia="Arial" w:hAnsi="Arial"/>
                <w:sz w:val="14"/>
                <w:szCs w:val="14"/>
                <w:b w:val="1"/>
                <w:bCs w:val="1"/>
                <w:color w:val="017B52"/>
              </w:rPr>
              <w:t>Michael R. Cole</w:t>
            </w:r>
          </w:p>
        </w:tc>
        <w:tc>
          <w:tcPr>
            <w:tcW w:w="3660" w:type="dxa"/>
            <w:vAlign w:val="bottom"/>
          </w:tcPr>
          <w:p>
            <w:pPr>
              <w:jc w:val="right"/>
              <w:ind w:right="91"/>
              <w:spacing w:after="0"/>
              <w:rPr>
                <w:sz w:val="20"/>
                <w:szCs w:val="20"/>
                <w:color w:val="auto"/>
              </w:rPr>
            </w:pPr>
            <w:r>
              <w:rPr>
                <w:rFonts w:ascii="Arial" w:cs="Arial" w:eastAsia="Arial" w:hAnsi="Arial"/>
                <w:sz w:val="14"/>
                <w:szCs w:val="14"/>
                <w:color w:val="auto"/>
              </w:rPr>
              <w:t>02/01/2024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$480,000</w:t>
            </w: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83"/>
        </w:trPr>
        <w:tc>
          <w:tcPr>
            <w:tcW w:w="3780" w:type="dxa"/>
            <w:vAlign w:val="bottom"/>
            <w:tcBorders>
              <w:bottom w:val="single" w:sz="8" w:color="017B52"/>
            </w:tcBorders>
          </w:tcPr>
          <w:p>
            <w:pPr>
              <w:spacing w:after="0"/>
              <w:rPr>
                <w:sz w:val="7"/>
                <w:szCs w:val="7"/>
                <w:color w:val="auto"/>
              </w:rPr>
            </w:pPr>
          </w:p>
        </w:tc>
        <w:tc>
          <w:tcPr>
            <w:tcW w:w="36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880" w:type="dxa"/>
            <w:vAlign w:val="bottom"/>
            <w:tcBorders>
              <w:bottom w:val="single" w:sz="8" w:color="017B52"/>
            </w:tcBorders>
          </w:tcPr>
          <w:p>
            <w:pPr>
              <w:spacing w:after="0"/>
              <w:rPr>
                <w:sz w:val="7"/>
                <w:szCs w:val="7"/>
                <w:color w:val="auto"/>
              </w:rPr>
            </w:pPr>
          </w:p>
        </w:tc>
      </w:tr>
      <w:tr>
        <w:trPr>
          <w:trHeight w:val="288"/>
        </w:trPr>
        <w:tc>
          <w:tcPr>
            <w:tcW w:w="3780" w:type="dxa"/>
            <w:vAlign w:val="bottom"/>
          </w:tcPr>
          <w:p>
            <w:pPr>
              <w:ind w:left="40"/>
              <w:spacing w:after="0"/>
              <w:rPr>
                <w:sz w:val="20"/>
                <w:szCs w:val="20"/>
                <w:color w:val="auto"/>
              </w:rPr>
            </w:pPr>
            <w:r>
              <w:rPr>
                <w:rFonts w:ascii="Arial" w:cs="Arial" w:eastAsia="Arial" w:hAnsi="Arial"/>
                <w:sz w:val="14"/>
                <w:szCs w:val="14"/>
                <w:b w:val="1"/>
                <w:bCs w:val="1"/>
                <w:color w:val="017B52"/>
              </w:rPr>
              <w:t>Patrick M. Benton</w:t>
            </w:r>
          </w:p>
        </w:tc>
        <w:tc>
          <w:tcPr>
            <w:tcW w:w="3660" w:type="dxa"/>
            <w:vAlign w:val="bottom"/>
          </w:tcPr>
          <w:p>
            <w:pPr>
              <w:jc w:val="right"/>
              <w:ind w:right="91"/>
              <w:spacing w:after="0"/>
              <w:rPr>
                <w:sz w:val="20"/>
                <w:szCs w:val="20"/>
                <w:color w:val="auto"/>
              </w:rPr>
            </w:pPr>
            <w:r>
              <w:rPr>
                <w:rFonts w:ascii="Arial" w:cs="Arial" w:eastAsia="Arial" w:hAnsi="Arial"/>
                <w:sz w:val="14"/>
                <w:szCs w:val="14"/>
                <w:color w:val="auto"/>
              </w:rPr>
              <w:t>02/01/2024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$408,000</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83"/>
        </w:trPr>
        <w:tc>
          <w:tcPr>
            <w:tcW w:w="3780" w:type="dxa"/>
            <w:vAlign w:val="bottom"/>
            <w:tcBorders>
              <w:bottom w:val="single" w:sz="8" w:color="017B52"/>
            </w:tcBorders>
          </w:tcPr>
          <w:p>
            <w:pPr>
              <w:spacing w:after="0"/>
              <w:rPr>
                <w:sz w:val="7"/>
                <w:szCs w:val="7"/>
                <w:color w:val="auto"/>
              </w:rPr>
            </w:pPr>
          </w:p>
        </w:tc>
        <w:tc>
          <w:tcPr>
            <w:tcW w:w="36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880" w:type="dxa"/>
            <w:vAlign w:val="bottom"/>
            <w:tcBorders>
              <w:bottom w:val="single" w:sz="8" w:color="017B52"/>
            </w:tcBorders>
          </w:tcPr>
          <w:p>
            <w:pPr>
              <w:spacing w:after="0"/>
              <w:rPr>
                <w:sz w:val="7"/>
                <w:szCs w:val="7"/>
                <w:color w:val="auto"/>
              </w:rPr>
            </w:pPr>
          </w:p>
        </w:tc>
      </w:tr>
      <w:tr>
        <w:trPr>
          <w:trHeight w:val="288"/>
        </w:trPr>
        <w:tc>
          <w:tcPr>
            <w:tcW w:w="3780" w:type="dxa"/>
            <w:vAlign w:val="bottom"/>
          </w:tcPr>
          <w:p>
            <w:pPr>
              <w:ind w:left="40"/>
              <w:spacing w:after="0"/>
              <w:rPr>
                <w:sz w:val="20"/>
                <w:szCs w:val="20"/>
                <w:color w:val="auto"/>
              </w:rPr>
            </w:pPr>
            <w:r>
              <w:rPr>
                <w:rFonts w:ascii="Arial" w:cs="Arial" w:eastAsia="Arial" w:hAnsi="Arial"/>
                <w:sz w:val="14"/>
                <w:szCs w:val="14"/>
                <w:b w:val="1"/>
                <w:bCs w:val="1"/>
                <w:color w:val="017B52"/>
              </w:rPr>
              <w:t>Scott A. Worthington</w:t>
            </w:r>
          </w:p>
        </w:tc>
        <w:tc>
          <w:tcPr>
            <w:tcW w:w="3660" w:type="dxa"/>
            <w:vAlign w:val="bottom"/>
          </w:tcPr>
          <w:p>
            <w:pPr>
              <w:jc w:val="right"/>
              <w:ind w:right="91"/>
              <w:spacing w:after="0"/>
              <w:rPr>
                <w:sz w:val="20"/>
                <w:szCs w:val="20"/>
                <w:color w:val="auto"/>
              </w:rPr>
            </w:pPr>
            <w:r>
              <w:rPr>
                <w:rFonts w:ascii="Arial" w:cs="Arial" w:eastAsia="Arial" w:hAnsi="Arial"/>
                <w:sz w:val="14"/>
                <w:szCs w:val="14"/>
                <w:color w:val="auto"/>
              </w:rPr>
              <w:t>02/01/2024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$408,000</w:t>
            </w: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83"/>
        </w:trPr>
        <w:tc>
          <w:tcPr>
            <w:tcW w:w="3780" w:type="dxa"/>
            <w:vAlign w:val="bottom"/>
            <w:tcBorders>
              <w:bottom w:val="single" w:sz="8" w:color="017B52"/>
            </w:tcBorders>
          </w:tcPr>
          <w:p>
            <w:pPr>
              <w:spacing w:after="0"/>
              <w:rPr>
                <w:sz w:val="7"/>
                <w:szCs w:val="7"/>
                <w:color w:val="auto"/>
              </w:rPr>
            </w:pPr>
          </w:p>
        </w:tc>
        <w:tc>
          <w:tcPr>
            <w:tcW w:w="36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880" w:type="dxa"/>
            <w:vAlign w:val="bottom"/>
            <w:tcBorders>
              <w:bottom w:val="single" w:sz="8" w:color="017B52"/>
            </w:tcBorders>
          </w:tcPr>
          <w:p>
            <w:pPr>
              <w:spacing w:after="0"/>
              <w:rPr>
                <w:sz w:val="7"/>
                <w:szCs w:val="7"/>
                <w:color w:val="auto"/>
              </w:rPr>
            </w:pPr>
          </w:p>
        </w:tc>
      </w:tr>
      <w:tr>
        <w:trPr>
          <w:trHeight w:val="288"/>
        </w:trPr>
        <w:tc>
          <w:tcPr>
            <w:tcW w:w="3780" w:type="dxa"/>
            <w:vAlign w:val="bottom"/>
          </w:tcPr>
          <w:p>
            <w:pPr>
              <w:ind w:left="40"/>
              <w:spacing w:after="0"/>
              <w:rPr>
                <w:sz w:val="20"/>
                <w:szCs w:val="20"/>
                <w:color w:val="auto"/>
              </w:rPr>
            </w:pPr>
            <w:r>
              <w:rPr>
                <w:rFonts w:ascii="Arial" w:cs="Arial" w:eastAsia="Arial" w:hAnsi="Arial"/>
                <w:sz w:val="14"/>
                <w:szCs w:val="14"/>
                <w:b w:val="1"/>
                <w:bCs w:val="1"/>
                <w:color w:val="017B52"/>
              </w:rPr>
              <w:t>William D. Schwartz</w:t>
            </w:r>
          </w:p>
        </w:tc>
        <w:tc>
          <w:tcPr>
            <w:tcW w:w="3660" w:type="dxa"/>
            <w:vAlign w:val="bottom"/>
          </w:tcPr>
          <w:p>
            <w:pPr>
              <w:jc w:val="right"/>
              <w:ind w:right="91"/>
              <w:spacing w:after="0"/>
              <w:rPr>
                <w:sz w:val="20"/>
                <w:szCs w:val="20"/>
                <w:color w:val="auto"/>
              </w:rPr>
            </w:pPr>
            <w:r>
              <w:rPr>
                <w:rFonts w:ascii="Arial" w:cs="Arial" w:eastAsia="Arial" w:hAnsi="Arial"/>
                <w:sz w:val="14"/>
                <w:szCs w:val="14"/>
                <w:color w:val="auto"/>
              </w:rPr>
              <w:t>02/01/2024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$390,000</w:t>
            </w:r>
          </w:p>
        </w:tc>
        <w:tc>
          <w:tcPr>
            <w:tcW w:w="88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83"/>
        </w:trPr>
        <w:tc>
          <w:tcPr>
            <w:tcW w:w="3780" w:type="dxa"/>
            <w:vAlign w:val="bottom"/>
            <w:tcBorders>
              <w:bottom w:val="single" w:sz="8" w:color="017B52"/>
            </w:tcBorders>
          </w:tcPr>
          <w:p>
            <w:pPr>
              <w:spacing w:after="0"/>
              <w:rPr>
                <w:sz w:val="7"/>
                <w:szCs w:val="7"/>
                <w:color w:val="auto"/>
              </w:rPr>
            </w:pPr>
          </w:p>
        </w:tc>
        <w:tc>
          <w:tcPr>
            <w:tcW w:w="3660" w:type="dxa"/>
            <w:vAlign w:val="bottom"/>
            <w:tcBorders>
              <w:bottom w:val="single" w:sz="8" w:color="017B52"/>
            </w:tcBorders>
          </w:tcPr>
          <w:p>
            <w:pPr>
              <w:spacing w:after="0"/>
              <w:rPr>
                <w:sz w:val="7"/>
                <w:szCs w:val="7"/>
                <w:color w:val="auto"/>
              </w:rPr>
            </w:pPr>
          </w:p>
        </w:tc>
        <w:tc>
          <w:tcPr>
            <w:tcW w:w="1080" w:type="dxa"/>
            <w:vAlign w:val="bottom"/>
            <w:tcBorders>
              <w:bottom w:val="single" w:sz="8" w:color="017B52"/>
            </w:tcBorders>
          </w:tcPr>
          <w:p>
            <w:pPr>
              <w:spacing w:after="0"/>
              <w:rPr>
                <w:sz w:val="7"/>
                <w:szCs w:val="7"/>
                <w:color w:val="auto"/>
              </w:rPr>
            </w:pPr>
          </w:p>
        </w:tc>
        <w:tc>
          <w:tcPr>
            <w:tcW w:w="880" w:type="dxa"/>
            <w:vAlign w:val="bottom"/>
            <w:tcBorders>
              <w:bottom w:val="single" w:sz="8" w:color="017B52"/>
            </w:tcBorders>
          </w:tcPr>
          <w:p>
            <w:pPr>
              <w:spacing w:after="0"/>
              <w:rPr>
                <w:sz w:val="7"/>
                <w:szCs w:val="7"/>
                <w:color w:val="auto"/>
              </w:rPr>
            </w:pPr>
          </w:p>
        </w:tc>
      </w:tr>
    </w:tbl>
    <w:p>
      <w:pPr>
        <w:spacing w:after="0" w:line="26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noted above, at our Annual Meeting of Shareholders in 2023, based on the disclosure of our executive compensation in the proxy statement for that meeting, approximately 95% of the shares voted at that meeting approved of the compensation paid to our Named Executives.</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b w:val="1"/>
          <w:bCs w:val="1"/>
          <w:i w:val="1"/>
          <w:iCs w:val="1"/>
          <w:color w:val="auto"/>
        </w:rPr>
        <w:t xml:space="preserve">Chief Executive Officer. </w:t>
      </w:r>
      <w:r>
        <w:rPr>
          <w:rFonts w:ascii="Arial" w:cs="Arial" w:eastAsia="Arial" w:hAnsi="Arial"/>
          <w:sz w:val="16"/>
          <w:szCs w:val="16"/>
          <w:color w:val="auto"/>
        </w:rPr>
        <w:t>The Committee annually reviews, and recommends for Board approval, our Chief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Mr. Missad’s salary is based on comparable compensation data, the Committee’s assessment of his past performance, and its expectation as to his future contributions in leading our Company. Mr. Missad’s base salary fell in the mid-range of the salaries of comparable executives in our peer group. The Committee has complete discretion in recommending the base salary for Mr. Missad (who does not have an employment agreement with our Company).</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 xml:space="preserve">CEO Pay Ratio. </w:t>
      </w:r>
      <w:r>
        <w:rPr>
          <w:rFonts w:ascii="Arial" w:cs="Arial" w:eastAsia="Arial" w:hAnsi="Arial"/>
          <w:sz w:val="16"/>
          <w:szCs w:val="16"/>
          <w:color w:val="auto"/>
        </w:rPr>
        <w:t>As of December 31, 2023 the ratio of the median of the annual total compensation of all of our active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2023 excluding our Chief Executive Officer, ($52,138) to the annual total compensation of our Chief Executive Officer ($8,441,616) was 162:1. The compensation of our median employee was determined by: (1) calculating the annual total compensation of all of our active employees as of December 31, 2023 (the “Determination Date”); (2) ranking the annual total compensation of all employees (except our Chief Executive Officer) from lowest to highest (which comprised a total of</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16,241 employees); and (3) selecting the employee who ranked as the median (8,121 on the list of 16,241). We included all of our full-time and part-time employees as of the Determination Date and annualized the total compensation for those full-time and part-time employees who were employed by us for less than one year as of the Determination Date. We applied applicable foreign exchange rates, relative to the U.S. dollar, for our non-U.S. employees. Total annual compensation for each employee, other than the CEO, is based on our payroll records and includes each element of compensation listed in the Summary Compensation Table below, with the exception of employer contributions to any 401(k) or similar qualified, defined contribution plan, and shares granted</w:t>
      </w:r>
    </w:p>
    <w:p>
      <w:pPr>
        <w:spacing w:after="0" w:line="59" w:lineRule="exact"/>
        <w:rPr>
          <w:sz w:val="20"/>
          <w:szCs w:val="20"/>
          <w:color w:val="auto"/>
        </w:rPr>
      </w:pPr>
    </w:p>
    <w:p>
      <w:pPr>
        <w:ind w:left="360" w:right="140" w:hanging="354"/>
        <w:spacing w:after="0" w:line="245" w:lineRule="auto"/>
        <w:tabs>
          <w:tab w:leader="none" w:pos="360" w:val="left"/>
        </w:tabs>
        <w:numPr>
          <w:ilvl w:val="0"/>
          <w:numId w:val="29"/>
        </w:numPr>
        <w:rPr>
          <w:rFonts w:ascii="Arial" w:cs="Arial" w:eastAsia="Arial" w:hAnsi="Arial"/>
          <w:sz w:val="12"/>
          <w:szCs w:val="12"/>
          <w:color w:val="333333"/>
        </w:rPr>
      </w:pPr>
      <w:r>
        <w:rPr>
          <w:rFonts w:ascii="Arial" w:cs="Arial" w:eastAsia="Arial" w:hAnsi="Arial"/>
          <w:sz w:val="12"/>
          <w:szCs w:val="12"/>
          <w:color w:val="333333"/>
        </w:rPr>
        <w:t>Our current peer group companies are American Woodmark Corp.; Boise Cascade Co.; Builders FirstSource, Inc.; Gibraltar Industries Inc.; Greif Inc.; Lousiana-Pacific Corp.; Masco Corp.; Patrick Industries, Inc.; Simpson Manufacturing Company, Inc.; Sonoco Products Company; Trex Company, Inc.; and</w:t>
      </w:r>
    </w:p>
    <w:p>
      <w:pPr>
        <w:ind w:left="360"/>
        <w:spacing w:after="0"/>
        <w:rPr>
          <w:rFonts w:ascii="Arial" w:cs="Arial" w:eastAsia="Arial" w:hAnsi="Arial"/>
          <w:sz w:val="12"/>
          <w:szCs w:val="12"/>
          <w:color w:val="333333"/>
        </w:rPr>
      </w:pPr>
      <w:r>
        <w:rPr>
          <w:rFonts w:ascii="Arial" w:cs="Arial" w:eastAsia="Arial" w:hAnsi="Arial"/>
          <w:sz w:val="13"/>
          <w:szCs w:val="13"/>
          <w:color w:val="333333"/>
        </w:rPr>
        <w:t>WestRock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28</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but not vested, are excluded from the total annual compensation for each employee other than our CEO. For ease of administration, bonus dollars for all employees, except the CEO, reflect actual bonus compensation paid in 2023 but earned in 2022. However, as required for the Summary Compensation Table, the bonus dollars for the CEO reflect bonus dollars and associated stock grants earned in 2023 and paid in February 2024.</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Our incentive compensation program provides for the contribution of a fixed percentage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 incentive compensation operating profit to each of a number of pools, based upon the pre-incentive compensation ROI of each plant, business unit and segment (each of which is referred to as a “Profit Center”), as well as a separate Corporate incentive compensation pool. Combined, these incentive compensation pools are the source of our Company’s aggregate incentive compensation awards.</w:t>
      </w:r>
    </w:p>
    <w:p>
      <w:pPr>
        <w:spacing w:after="0" w:line="13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At the beginning of each year, each Named Executive is allocated a fixed percentage of the incentive compensation pool of his or her respective Profit Center. The amount of an employee’s percentage of his or her pool is generally reflective of that person’s relative degree of responsibility for the operations and results of that Profit Center, as well as his or her performance and tenure with the Company. If the Profit Center generates profits which result in an incentive compensation pool, the participant receives the allocated percentage as incentive compensation. The dollar amount of that pool is based upon the Profit Center aggregate ROI. As ROI increases, a higher percentage of pre-incentive compensation operating profit is contributed to the pool.</w:t>
      </w:r>
    </w:p>
    <w:p>
      <w:pPr>
        <w:spacing w:after="0" w:line="141"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For the Corporate Profit Center, the minimum contribution percentage of 4.70% of pre-incentive compensation operating profit occurs at the lowest level of ROI, which is 6.00%. The maximum contribution percentage of 7.5% occurs at a ROI of at least</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22.00%. Following the achievement of ROI of 6.0%, and subject to the maximum contribution rate of 7.5%, for every hundred basis point improvement in ROI, the Company contributes an approximate additional 2.5 basis points of pre-incentive compensation operating profit to the Corporate Profit Center incentive compensation pool. Two of our Named Executives participated in the Corporate Profit Center incentive compensation pool in 2023. For our segment pools, the minimum contribution percentage of</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1.8% of pre-incentive compensation operating profit occurs at the lowest level of ROI, which is 8.5%. The maximum contribution percentage of 2.2% occurs at an ROI of at least 22.0%. Subject to the maximum contribution percentage of 2.2%, for every hundred basis point improvement in ROI, the Company contributes approximately .35 basis points in pre-incentive compensation operating profit to each segment incentive compensation pool.</w:t>
      </w:r>
    </w:p>
    <w:p>
      <w:pPr>
        <w:spacing w:after="0" w:line="14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There are tiered performance thresholds for both the size of each incentive compensation pool as well as individual incentive compensation payments. This effectively resulted in the reallocation of approximately $50 million of otherwise incentive compensation to our shareholders. Under this program, each performance pool was preliminarily allocated funds based upon the formula described in the preceding paragraph. Each pool is then subject to threshold amounts. For the Corporate Profit Center incentive compensation pool, the thresholds were $850 million (Tier 1) and $950 million (Tier 2). To the extent the pool exceeds Tier 1, 25% of the pool in excess of Tier 1 and below Tier 2 is deducted from the pool and effectively reallocated to shareholders; 50% of the pool in excess of Tier 2 is effectively reallocated to shareholders. The segment pools are subject to the same reallocations at $300 million (Tier 1) and $350 million (Tier 2). In addition to the adjustments made to the incentive compensation pools, and subsequent to those adjustments, preliminary individual incentive compensation allocations for the leaders of each pool, as well as each other Named Executive, are subject to similar adjustments. For 2023, each Named Executive was subject to payment thresholds of $1 million (Tier 1) and $1.5 million (Tier 2). For preliminary bonus payments in excess of Tier 1, 25% of the amount between Tier 1 and Tier 2 was reallocated to other, non-Named Executive participants; 50% of the preliminary bonus payment above Tier 2 was similarly reallocated.</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For 2023, we achieved an overall ROI of 22.49%. Following the adjustments described above, the total contribution to the Corporate Profit Center incentive compensation pool for fiscal 2023 was $61,778,463, which equaled 7.5% of pre-incentive compensation operating profit. The performance incentive for each of the Named Executives (other than Messrs. Benton, Schwartz, and Worthington) was based upon our Company’s total ROI. The performance bonuses for Messrs. Benton, Schwartz, and Worthington were based upon the ROI of their respective segments.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29</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incentive compensation amount for Mr. Missad was determined by the Company’s ROI as a whole. Based upon that performance and subject to the above-described adjustments, we contributed the calculated amount of pre-incentive compensation operating profit to the Corporate Profit Center incentive compensation pool. For 2023, Mr. Missad was eligible to receive an initial 20% allocation of the net Corporate Profit Center pool. The initial allocation to Mr. Missad, as well as allocations for each of the other Named Executives, is subject to the adjustments described above. Following the application of those adjustments, not more than 2.0 times an executive’s base salary may be paid in the form of annual cash incentive compensation. As a result, Mr. Missad’s received cash incentive compensation of $1,743,747 for 2023, which was 2.82% of the Corporate Profit Center incentive compensation pool. Mr. Missad’s total allocation of the 2023 Corporate Profit Center incentive compensation pool was 12.06%.</w:t>
      </w:r>
    </w:p>
    <w:p>
      <w:pPr>
        <w:spacing w:after="0" w:line="14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amount of incentive compensation earned by an employee in excess of the annual cash incentive compensation limitation is paid in the form of equity-based compensation awards under our Long-Term Stock Incentive Plan (“Long-Term Compensation”). Ninety percent (90%) of the equity awards granted to the Named Executives in 2024, based upon 2023 performance, were paid in the form of shares of restricted Company common stock that cliff vest on the fifth anniversary of the award date. The balance of the awards were issued in the form of performance units. The number of shares that may be issued for each performance unit is determined at the end of the three-year performance period, based upon the Company’s actual, cumulative pre-incentive compensation operating profit relative to the budgeted amount of pre-incentive compensation operating profit for that three-year period (“Budget PBOP”). The Budget PBOP is determined as of the beginning of each three-year performance period. The actual number of shares issuable is based upon the product of (1) the number of target shares that are subject to the award, and (2) the earnout percentage, based upon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60" w:type="dxa"/>
            <w:vAlign w:val="bottom"/>
          </w:tcPr>
          <w:p>
            <w:pPr>
              <w:ind w:left="40"/>
              <w:spacing w:after="0"/>
              <w:rPr>
                <w:sz w:val="20"/>
                <w:szCs w:val="20"/>
                <w:color w:val="auto"/>
              </w:rPr>
            </w:pPr>
            <w:r>
              <w:rPr>
                <w:rFonts w:ascii="Arial" w:cs="Arial" w:eastAsia="Arial" w:hAnsi="Arial"/>
                <w:sz w:val="11"/>
                <w:szCs w:val="11"/>
                <w:b w:val="1"/>
                <w:bCs w:val="1"/>
                <w:color w:val="auto"/>
              </w:rPr>
              <w:t>ACTUAL COMPANY PBOP RELATIVE TO TARGET PBOP</w:t>
            </w:r>
          </w:p>
        </w:tc>
        <w:tc>
          <w:tcPr>
            <w:tcW w:w="4040" w:type="dxa"/>
            <w:vAlign w:val="bottom"/>
          </w:tcPr>
          <w:p>
            <w:pPr>
              <w:jc w:val="center"/>
              <w:ind w:right="32"/>
              <w:spacing w:after="0"/>
              <w:rPr>
                <w:sz w:val="20"/>
                <w:szCs w:val="20"/>
                <w:color w:val="auto"/>
              </w:rPr>
            </w:pPr>
            <w:r>
              <w:rPr>
                <w:rFonts w:ascii="Arial" w:cs="Arial" w:eastAsia="Arial" w:hAnsi="Arial"/>
                <w:sz w:val="11"/>
                <w:szCs w:val="11"/>
                <w:b w:val="1"/>
                <w:bCs w:val="1"/>
                <w:color w:val="auto"/>
                <w:w w:val="97"/>
              </w:rPr>
              <w:t>EARNOUT PERCENTAGE</w:t>
            </w:r>
          </w:p>
        </w:tc>
      </w:tr>
      <w:tr>
        <w:trPr>
          <w:trHeight w:val="68"/>
        </w:trPr>
        <w:tc>
          <w:tcPr>
            <w:tcW w:w="5360" w:type="dxa"/>
            <w:vAlign w:val="bottom"/>
            <w:tcBorders>
              <w:bottom w:val="single" w:sz="8" w:color="017B52"/>
            </w:tcBorders>
          </w:tcPr>
          <w:p>
            <w:pPr>
              <w:spacing w:after="0"/>
              <w:rPr>
                <w:sz w:val="5"/>
                <w:szCs w:val="5"/>
                <w:color w:val="auto"/>
              </w:rPr>
            </w:pPr>
          </w:p>
        </w:tc>
        <w:tc>
          <w:tcPr>
            <w:tcW w:w="4040" w:type="dxa"/>
            <w:vAlign w:val="bottom"/>
            <w:tcBorders>
              <w:bottom w:val="single" w:sz="8" w:color="017B52"/>
            </w:tcBorders>
          </w:tcPr>
          <w:p>
            <w:pPr>
              <w:spacing w:after="0"/>
              <w:rPr>
                <w:sz w:val="5"/>
                <w:szCs w:val="5"/>
                <w:color w:val="auto"/>
              </w:rPr>
            </w:pPr>
          </w:p>
        </w:tc>
      </w:tr>
      <w:tr>
        <w:trPr>
          <w:trHeight w:val="255"/>
        </w:trPr>
        <w:tc>
          <w:tcPr>
            <w:tcW w:w="5360" w:type="dxa"/>
            <w:vAlign w:val="bottom"/>
          </w:tcPr>
          <w:p>
            <w:pPr>
              <w:ind w:left="40"/>
              <w:spacing w:after="0"/>
              <w:rPr>
                <w:sz w:val="20"/>
                <w:szCs w:val="20"/>
                <w:color w:val="auto"/>
              </w:rPr>
            </w:pPr>
            <w:r>
              <w:rPr>
                <w:rFonts w:ascii="Arial" w:cs="Arial" w:eastAsia="Arial" w:hAnsi="Arial"/>
                <w:sz w:val="14"/>
                <w:szCs w:val="14"/>
                <w:color w:val="auto"/>
              </w:rPr>
              <w:t>- At least 150% of Budget PBOP</w:t>
            </w:r>
          </w:p>
        </w:tc>
        <w:tc>
          <w:tcPr>
            <w:tcW w:w="4040" w:type="dxa"/>
            <w:vAlign w:val="bottom"/>
          </w:tcPr>
          <w:p>
            <w:pPr>
              <w:jc w:val="center"/>
              <w:ind w:right="52"/>
              <w:spacing w:after="0"/>
              <w:rPr>
                <w:sz w:val="20"/>
                <w:szCs w:val="20"/>
                <w:color w:val="auto"/>
              </w:rPr>
            </w:pPr>
            <w:r>
              <w:rPr>
                <w:rFonts w:ascii="Arial" w:cs="Arial" w:eastAsia="Arial" w:hAnsi="Arial"/>
                <w:sz w:val="14"/>
                <w:szCs w:val="14"/>
                <w:color w:val="auto"/>
              </w:rPr>
              <w:t>200%</w:t>
            </w:r>
          </w:p>
        </w:tc>
      </w:tr>
      <w:tr>
        <w:trPr>
          <w:trHeight w:val="62"/>
        </w:trPr>
        <w:tc>
          <w:tcPr>
            <w:tcW w:w="5360" w:type="dxa"/>
            <w:vAlign w:val="bottom"/>
            <w:tcBorders>
              <w:bottom w:val="single" w:sz="8" w:color="017B52"/>
            </w:tcBorders>
          </w:tcPr>
          <w:p>
            <w:pPr>
              <w:spacing w:after="0"/>
              <w:rPr>
                <w:sz w:val="5"/>
                <w:szCs w:val="5"/>
                <w:color w:val="auto"/>
              </w:rPr>
            </w:pPr>
          </w:p>
        </w:tc>
        <w:tc>
          <w:tcPr>
            <w:tcW w:w="4040" w:type="dxa"/>
            <w:vAlign w:val="bottom"/>
            <w:tcBorders>
              <w:bottom w:val="single" w:sz="8" w:color="017B52"/>
            </w:tcBorders>
          </w:tcPr>
          <w:p>
            <w:pPr>
              <w:spacing w:after="0"/>
              <w:rPr>
                <w:sz w:val="5"/>
                <w:szCs w:val="5"/>
                <w:color w:val="auto"/>
              </w:rPr>
            </w:pPr>
          </w:p>
        </w:tc>
      </w:tr>
      <w:tr>
        <w:trPr>
          <w:trHeight w:val="255"/>
        </w:trPr>
        <w:tc>
          <w:tcPr>
            <w:tcW w:w="5360" w:type="dxa"/>
            <w:vAlign w:val="bottom"/>
          </w:tcPr>
          <w:p>
            <w:pPr>
              <w:ind w:left="40"/>
              <w:spacing w:after="0"/>
              <w:rPr>
                <w:sz w:val="20"/>
                <w:szCs w:val="20"/>
                <w:color w:val="auto"/>
              </w:rPr>
            </w:pPr>
            <w:r>
              <w:rPr>
                <w:rFonts w:ascii="Arial" w:cs="Arial" w:eastAsia="Arial" w:hAnsi="Arial"/>
                <w:sz w:val="14"/>
                <w:szCs w:val="14"/>
                <w:color w:val="auto"/>
              </w:rPr>
              <w:t>- Less than 150% of Budget PBOP but at least 100% of Budget PBOP</w:t>
            </w:r>
          </w:p>
        </w:tc>
        <w:tc>
          <w:tcPr>
            <w:tcW w:w="4040" w:type="dxa"/>
            <w:vAlign w:val="bottom"/>
          </w:tcPr>
          <w:p>
            <w:pPr>
              <w:jc w:val="center"/>
              <w:ind w:right="52"/>
              <w:spacing w:after="0"/>
              <w:rPr>
                <w:sz w:val="20"/>
                <w:szCs w:val="20"/>
                <w:color w:val="auto"/>
              </w:rPr>
            </w:pPr>
            <w:r>
              <w:rPr>
                <w:rFonts w:ascii="Arial" w:cs="Arial" w:eastAsia="Arial" w:hAnsi="Arial"/>
                <w:sz w:val="14"/>
                <w:szCs w:val="14"/>
                <w:color w:val="auto"/>
              </w:rPr>
              <w:t>100%</w:t>
            </w:r>
          </w:p>
        </w:tc>
      </w:tr>
      <w:tr>
        <w:trPr>
          <w:trHeight w:val="62"/>
        </w:trPr>
        <w:tc>
          <w:tcPr>
            <w:tcW w:w="5360" w:type="dxa"/>
            <w:vAlign w:val="bottom"/>
            <w:tcBorders>
              <w:bottom w:val="single" w:sz="8" w:color="017B52"/>
            </w:tcBorders>
          </w:tcPr>
          <w:p>
            <w:pPr>
              <w:spacing w:after="0"/>
              <w:rPr>
                <w:sz w:val="5"/>
                <w:szCs w:val="5"/>
                <w:color w:val="auto"/>
              </w:rPr>
            </w:pPr>
          </w:p>
        </w:tc>
        <w:tc>
          <w:tcPr>
            <w:tcW w:w="4040" w:type="dxa"/>
            <w:vAlign w:val="bottom"/>
            <w:tcBorders>
              <w:bottom w:val="single" w:sz="8" w:color="017B52"/>
            </w:tcBorders>
          </w:tcPr>
          <w:p>
            <w:pPr>
              <w:spacing w:after="0"/>
              <w:rPr>
                <w:sz w:val="5"/>
                <w:szCs w:val="5"/>
                <w:color w:val="auto"/>
              </w:rPr>
            </w:pPr>
          </w:p>
        </w:tc>
      </w:tr>
      <w:tr>
        <w:trPr>
          <w:trHeight w:val="255"/>
        </w:trPr>
        <w:tc>
          <w:tcPr>
            <w:tcW w:w="5360" w:type="dxa"/>
            <w:vAlign w:val="bottom"/>
          </w:tcPr>
          <w:p>
            <w:pPr>
              <w:ind w:left="40"/>
              <w:spacing w:after="0"/>
              <w:rPr>
                <w:sz w:val="20"/>
                <w:szCs w:val="20"/>
                <w:color w:val="auto"/>
              </w:rPr>
            </w:pPr>
            <w:r>
              <w:rPr>
                <w:rFonts w:ascii="Arial" w:cs="Arial" w:eastAsia="Arial" w:hAnsi="Arial"/>
                <w:sz w:val="14"/>
                <w:szCs w:val="14"/>
                <w:color w:val="auto"/>
              </w:rPr>
              <w:t>- Less than 100% of Budget PBOP but at least 50% of Budget PBOP</w:t>
            </w:r>
          </w:p>
        </w:tc>
        <w:tc>
          <w:tcPr>
            <w:tcW w:w="4040" w:type="dxa"/>
            <w:vAlign w:val="bottom"/>
          </w:tcPr>
          <w:p>
            <w:pPr>
              <w:jc w:val="center"/>
              <w:ind w:right="32"/>
              <w:spacing w:after="0"/>
              <w:rPr>
                <w:sz w:val="20"/>
                <w:szCs w:val="20"/>
                <w:color w:val="auto"/>
              </w:rPr>
            </w:pPr>
            <w:r>
              <w:rPr>
                <w:rFonts w:ascii="Arial" w:cs="Arial" w:eastAsia="Arial" w:hAnsi="Arial"/>
                <w:sz w:val="14"/>
                <w:szCs w:val="14"/>
                <w:color w:val="auto"/>
              </w:rPr>
              <w:t>Percent of Budget PBOP Achieved</w:t>
            </w:r>
          </w:p>
        </w:tc>
      </w:tr>
      <w:tr>
        <w:trPr>
          <w:trHeight w:val="62"/>
        </w:trPr>
        <w:tc>
          <w:tcPr>
            <w:tcW w:w="5360" w:type="dxa"/>
            <w:vAlign w:val="bottom"/>
            <w:tcBorders>
              <w:bottom w:val="single" w:sz="8" w:color="017B52"/>
            </w:tcBorders>
          </w:tcPr>
          <w:p>
            <w:pPr>
              <w:spacing w:after="0"/>
              <w:rPr>
                <w:sz w:val="5"/>
                <w:szCs w:val="5"/>
                <w:color w:val="auto"/>
              </w:rPr>
            </w:pPr>
          </w:p>
        </w:tc>
        <w:tc>
          <w:tcPr>
            <w:tcW w:w="4040" w:type="dxa"/>
            <w:vAlign w:val="bottom"/>
            <w:tcBorders>
              <w:bottom w:val="single" w:sz="8" w:color="017B52"/>
            </w:tcBorders>
          </w:tcPr>
          <w:p>
            <w:pPr>
              <w:spacing w:after="0"/>
              <w:rPr>
                <w:sz w:val="5"/>
                <w:szCs w:val="5"/>
                <w:color w:val="auto"/>
              </w:rPr>
            </w:pPr>
          </w:p>
        </w:tc>
      </w:tr>
      <w:tr>
        <w:trPr>
          <w:trHeight w:val="255"/>
        </w:trPr>
        <w:tc>
          <w:tcPr>
            <w:tcW w:w="5360" w:type="dxa"/>
            <w:vAlign w:val="bottom"/>
          </w:tcPr>
          <w:p>
            <w:pPr>
              <w:ind w:left="40"/>
              <w:spacing w:after="0"/>
              <w:rPr>
                <w:sz w:val="20"/>
                <w:szCs w:val="20"/>
                <w:color w:val="auto"/>
              </w:rPr>
            </w:pPr>
            <w:r>
              <w:rPr>
                <w:rFonts w:ascii="Arial" w:cs="Arial" w:eastAsia="Arial" w:hAnsi="Arial"/>
                <w:sz w:val="14"/>
                <w:szCs w:val="14"/>
                <w:color w:val="auto"/>
              </w:rPr>
              <w:t>- Less than 50% of Budget PBOP</w:t>
            </w:r>
          </w:p>
        </w:tc>
        <w:tc>
          <w:tcPr>
            <w:tcW w:w="4040" w:type="dxa"/>
            <w:vAlign w:val="bottom"/>
          </w:tcPr>
          <w:p>
            <w:pPr>
              <w:jc w:val="center"/>
              <w:ind w:right="52"/>
              <w:spacing w:after="0"/>
              <w:rPr>
                <w:sz w:val="20"/>
                <w:szCs w:val="20"/>
                <w:color w:val="auto"/>
              </w:rPr>
            </w:pPr>
            <w:r>
              <w:rPr>
                <w:rFonts w:ascii="Arial" w:cs="Arial" w:eastAsia="Arial" w:hAnsi="Arial"/>
                <w:sz w:val="14"/>
                <w:szCs w:val="14"/>
                <w:color w:val="auto"/>
                <w:w w:val="98"/>
              </w:rPr>
              <w:t>0%</w:t>
            </w:r>
          </w:p>
        </w:tc>
      </w:tr>
      <w:tr>
        <w:trPr>
          <w:trHeight w:val="49"/>
        </w:trPr>
        <w:tc>
          <w:tcPr>
            <w:tcW w:w="5360" w:type="dxa"/>
            <w:vAlign w:val="bottom"/>
            <w:tcBorders>
              <w:bottom w:val="single" w:sz="8" w:color="017B52"/>
            </w:tcBorders>
          </w:tcPr>
          <w:p>
            <w:pPr>
              <w:spacing w:after="0"/>
              <w:rPr>
                <w:sz w:val="4"/>
                <w:szCs w:val="4"/>
                <w:color w:val="auto"/>
              </w:rPr>
            </w:pPr>
          </w:p>
        </w:tc>
        <w:tc>
          <w:tcPr>
            <w:tcW w:w="4040" w:type="dxa"/>
            <w:vAlign w:val="bottom"/>
            <w:tcBorders>
              <w:bottom w:val="single" w:sz="8" w:color="017B52"/>
            </w:tcBorders>
          </w:tcPr>
          <w:p>
            <w:pPr>
              <w:spacing w:after="0"/>
              <w:rPr>
                <w:sz w:val="4"/>
                <w:szCs w:val="4"/>
                <w:color w:val="auto"/>
              </w:rPr>
            </w:pPr>
          </w:p>
        </w:tc>
      </w:tr>
    </w:tbl>
    <w:p>
      <w:pPr>
        <w:spacing w:after="0" w:line="28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no shares are issuable under our performance unit award agreements unless the Company achieves the targeted pre-incentive compensation return on investment (“PBROI”) during the three-year performance period. For awards granted in 2023, the target level PBROI was 12%.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and explains the determination of incentive compensation earned by the Named Executives for 2023.</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80" w:type="dxa"/>
            <w:vAlign w:val="bottom"/>
          </w:tcPr>
          <w:p>
            <w:pPr>
              <w:jc w:val="center"/>
              <w:ind w:left="22"/>
              <w:spacing w:after="0"/>
              <w:rPr>
                <w:sz w:val="20"/>
                <w:szCs w:val="20"/>
                <w:color w:val="auto"/>
              </w:rPr>
            </w:pPr>
            <w:r>
              <w:rPr>
                <w:rFonts w:ascii="Arial" w:cs="Arial" w:eastAsia="Arial" w:hAnsi="Arial"/>
                <w:sz w:val="11"/>
                <w:szCs w:val="11"/>
                <w:b w:val="1"/>
                <w:bCs w:val="1"/>
                <w:color w:val="auto"/>
                <w:w w:val="98"/>
              </w:rPr>
              <w:t>PERCENT OF PBOP</w:t>
            </w:r>
          </w:p>
        </w:tc>
        <w:tc>
          <w:tcPr>
            <w:tcW w:w="1740" w:type="dxa"/>
            <w:vAlign w:val="bottom"/>
          </w:tcPr>
          <w:p>
            <w:pPr>
              <w:jc w:val="center"/>
              <w:spacing w:after="0"/>
              <w:rPr>
                <w:sz w:val="20"/>
                <w:szCs w:val="20"/>
                <w:color w:val="auto"/>
              </w:rPr>
            </w:pPr>
            <w:r>
              <w:rPr>
                <w:rFonts w:ascii="Arial" w:cs="Arial" w:eastAsia="Arial" w:hAnsi="Arial"/>
                <w:sz w:val="11"/>
                <w:szCs w:val="11"/>
                <w:b w:val="1"/>
                <w:bCs w:val="1"/>
                <w:color w:val="auto"/>
                <w:w w:val="96"/>
              </w:rPr>
              <w:t>ADJUSTED ALLOCATION</w:t>
            </w: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2"/>
        </w:trPr>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80" w:type="dxa"/>
            <w:vAlign w:val="bottom"/>
          </w:tcPr>
          <w:p>
            <w:pPr>
              <w:jc w:val="center"/>
              <w:ind w:left="22"/>
              <w:spacing w:after="0" w:line="122" w:lineRule="exact"/>
              <w:rPr>
                <w:sz w:val="20"/>
                <w:szCs w:val="20"/>
                <w:color w:val="auto"/>
              </w:rPr>
            </w:pPr>
            <w:r>
              <w:rPr>
                <w:rFonts w:ascii="Arial" w:cs="Arial" w:eastAsia="Arial" w:hAnsi="Arial"/>
                <w:sz w:val="11"/>
                <w:szCs w:val="11"/>
                <w:b w:val="1"/>
                <w:bCs w:val="1"/>
                <w:color w:val="auto"/>
                <w:w w:val="97"/>
              </w:rPr>
              <w:t>CONTRIBUTED TO THE</w:t>
            </w:r>
          </w:p>
        </w:tc>
        <w:tc>
          <w:tcPr>
            <w:tcW w:w="1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OF PARTICIPATION IN</w:t>
            </w: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2"/>
        </w:trPr>
        <w:tc>
          <w:tcPr>
            <w:tcW w:w="2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80" w:type="dxa"/>
            <w:vAlign w:val="bottom"/>
          </w:tcPr>
          <w:p>
            <w:pPr>
              <w:jc w:val="center"/>
              <w:ind w:left="22"/>
              <w:spacing w:after="0" w:line="122" w:lineRule="exact"/>
              <w:rPr>
                <w:sz w:val="20"/>
                <w:szCs w:val="20"/>
                <w:color w:val="auto"/>
              </w:rPr>
            </w:pPr>
            <w:r>
              <w:rPr>
                <w:rFonts w:ascii="Arial" w:cs="Arial" w:eastAsia="Arial" w:hAnsi="Arial"/>
                <w:sz w:val="11"/>
                <w:szCs w:val="11"/>
                <w:b w:val="1"/>
                <w:bCs w:val="1"/>
                <w:color w:val="auto"/>
                <w:w w:val="98"/>
              </w:rPr>
              <w:t>CORPORATE PROFIT</w:t>
            </w:r>
          </w:p>
        </w:tc>
        <w:tc>
          <w:tcPr>
            <w:tcW w:w="1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THE CORPORATE PROFIT</w:t>
            </w:r>
          </w:p>
        </w:tc>
        <w:tc>
          <w:tcPr>
            <w:tcW w:w="1360" w:type="dxa"/>
            <w:vAlign w:val="bottom"/>
          </w:tcPr>
          <w:p>
            <w:pPr>
              <w:spacing w:after="0"/>
              <w:rPr>
                <w:sz w:val="10"/>
                <w:szCs w:val="10"/>
                <w:color w:val="auto"/>
              </w:rPr>
            </w:pPr>
          </w:p>
        </w:tc>
        <w:tc>
          <w:tcPr>
            <w:tcW w:w="1200" w:type="dxa"/>
            <w:vAlign w:val="bottom"/>
          </w:tcPr>
          <w:p>
            <w:pPr>
              <w:jc w:val="center"/>
              <w:ind w:left="120"/>
              <w:spacing w:after="0" w:line="122" w:lineRule="exact"/>
              <w:rPr>
                <w:sz w:val="20"/>
                <w:szCs w:val="20"/>
                <w:color w:val="auto"/>
              </w:rPr>
            </w:pPr>
            <w:r>
              <w:rPr>
                <w:rFonts w:ascii="Arial" w:cs="Arial" w:eastAsia="Arial" w:hAnsi="Arial"/>
                <w:sz w:val="11"/>
                <w:szCs w:val="11"/>
                <w:b w:val="1"/>
                <w:bCs w:val="1"/>
                <w:color w:val="auto"/>
                <w:w w:val="99"/>
              </w:rPr>
              <w:t>LONG-TERM</w:t>
            </w:r>
          </w:p>
        </w:tc>
      </w:tr>
      <w:tr>
        <w:trPr>
          <w:trHeight w:val="108"/>
        </w:trPr>
        <w:tc>
          <w:tcPr>
            <w:tcW w:w="2000" w:type="dxa"/>
            <w:vAlign w:val="bottom"/>
          </w:tcPr>
          <w:p>
            <w:pPr>
              <w:spacing w:after="0"/>
              <w:rPr>
                <w:sz w:val="9"/>
                <w:szCs w:val="9"/>
                <w:color w:val="auto"/>
              </w:rPr>
            </w:pPr>
          </w:p>
        </w:tc>
        <w:tc>
          <w:tcPr>
            <w:tcW w:w="1420" w:type="dxa"/>
            <w:vAlign w:val="bottom"/>
          </w:tcPr>
          <w:p>
            <w:pPr>
              <w:jc w:val="center"/>
              <w:ind w:left="402"/>
              <w:spacing w:after="0" w:line="108" w:lineRule="exact"/>
              <w:rPr>
                <w:sz w:val="20"/>
                <w:szCs w:val="20"/>
                <w:color w:val="auto"/>
              </w:rPr>
            </w:pPr>
            <w:r>
              <w:rPr>
                <w:rFonts w:ascii="Arial" w:cs="Arial" w:eastAsia="Arial" w:hAnsi="Arial"/>
                <w:sz w:val="11"/>
                <w:szCs w:val="11"/>
                <w:b w:val="1"/>
                <w:bCs w:val="1"/>
                <w:color w:val="auto"/>
                <w:w w:val="97"/>
              </w:rPr>
              <w:t>ACTUAL</w:t>
            </w:r>
          </w:p>
        </w:tc>
        <w:tc>
          <w:tcPr>
            <w:tcW w:w="1680" w:type="dxa"/>
            <w:vAlign w:val="bottom"/>
          </w:tcPr>
          <w:p>
            <w:pPr>
              <w:jc w:val="center"/>
              <w:ind w:left="22"/>
              <w:spacing w:after="0" w:line="108" w:lineRule="exact"/>
              <w:rPr>
                <w:sz w:val="20"/>
                <w:szCs w:val="20"/>
                <w:color w:val="auto"/>
              </w:rPr>
            </w:pPr>
            <w:r>
              <w:rPr>
                <w:rFonts w:ascii="Arial" w:cs="Arial" w:eastAsia="Arial" w:hAnsi="Arial"/>
                <w:sz w:val="11"/>
                <w:szCs w:val="11"/>
                <w:b w:val="1"/>
                <w:bCs w:val="1"/>
                <w:color w:val="auto"/>
                <w:w w:val="97"/>
              </w:rPr>
              <w:t>CENTER INCENTIVE</w:t>
            </w:r>
          </w:p>
        </w:tc>
        <w:tc>
          <w:tcPr>
            <w:tcW w:w="17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CENTER INCENTIVE</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ANNUAL CASH</w:t>
            </w:r>
          </w:p>
        </w:tc>
        <w:tc>
          <w:tcPr>
            <w:tcW w:w="1200" w:type="dxa"/>
            <w:vAlign w:val="bottom"/>
          </w:tcPr>
          <w:p>
            <w:pPr>
              <w:jc w:val="center"/>
              <w:ind w:left="120"/>
              <w:spacing w:after="0" w:line="108" w:lineRule="exact"/>
              <w:rPr>
                <w:sz w:val="20"/>
                <w:szCs w:val="20"/>
                <w:color w:val="auto"/>
              </w:rPr>
            </w:pPr>
            <w:r>
              <w:rPr>
                <w:rFonts w:ascii="Arial" w:cs="Arial" w:eastAsia="Arial" w:hAnsi="Arial"/>
                <w:sz w:val="11"/>
                <w:szCs w:val="11"/>
                <w:b w:val="1"/>
                <w:bCs w:val="1"/>
                <w:color w:val="auto"/>
                <w:w w:val="98"/>
              </w:rPr>
              <w:t>INCENTIVE</w:t>
            </w:r>
          </w:p>
        </w:tc>
      </w:tr>
      <w:tr>
        <w:trPr>
          <w:trHeight w:val="270"/>
        </w:trPr>
        <w:tc>
          <w:tcPr>
            <w:tcW w:w="2000" w:type="dxa"/>
            <w:vAlign w:val="bottom"/>
            <w:tcBorders>
              <w:bottom w:val="single" w:sz="8" w:color="017B52"/>
            </w:tcBorders>
          </w:tcPr>
          <w:p>
            <w:pPr>
              <w:ind w:left="40"/>
              <w:spacing w:after="0"/>
              <w:rPr>
                <w:sz w:val="20"/>
                <w:szCs w:val="20"/>
                <w:color w:val="auto"/>
              </w:rPr>
            </w:pPr>
            <w:r>
              <w:rPr>
                <w:rFonts w:ascii="Arial" w:cs="Arial" w:eastAsia="Arial" w:hAnsi="Arial"/>
                <w:sz w:val="11"/>
                <w:szCs w:val="11"/>
                <w:b w:val="1"/>
                <w:bCs w:val="1"/>
                <w:color w:val="auto"/>
              </w:rPr>
              <w:t>NAMED EXECUTIVE</w:t>
            </w:r>
          </w:p>
        </w:tc>
        <w:tc>
          <w:tcPr>
            <w:tcW w:w="1420" w:type="dxa"/>
            <w:vAlign w:val="bottom"/>
            <w:tcBorders>
              <w:bottom w:val="single" w:sz="8" w:color="017B52"/>
            </w:tcBorders>
          </w:tcPr>
          <w:p>
            <w:pPr>
              <w:jc w:val="center"/>
              <w:ind w:left="402"/>
              <w:spacing w:after="0"/>
              <w:rPr>
                <w:sz w:val="20"/>
                <w:szCs w:val="20"/>
                <w:color w:val="auto"/>
              </w:rPr>
            </w:pPr>
            <w:r>
              <w:rPr>
                <w:rFonts w:ascii="Arial" w:cs="Arial" w:eastAsia="Arial" w:hAnsi="Arial"/>
                <w:sz w:val="21"/>
                <w:szCs w:val="21"/>
                <w:b w:val="1"/>
                <w:bCs w:val="1"/>
                <w:color w:val="auto"/>
                <w:w w:val="80"/>
                <w:vertAlign w:val="subscript"/>
              </w:rPr>
              <w:t>ROI</w:t>
            </w:r>
            <w:r>
              <w:rPr>
                <w:rFonts w:ascii="Arial" w:cs="Arial" w:eastAsia="Arial" w:hAnsi="Arial"/>
                <w:sz w:val="8"/>
                <w:szCs w:val="8"/>
                <w:b w:val="1"/>
                <w:bCs w:val="1"/>
                <w:color w:val="auto"/>
                <w:w w:val="80"/>
              </w:rPr>
              <w:t>(1)</w:t>
            </w:r>
          </w:p>
        </w:tc>
        <w:tc>
          <w:tcPr>
            <w:tcW w:w="1680" w:type="dxa"/>
            <w:vAlign w:val="bottom"/>
            <w:tcBorders>
              <w:bottom w:val="single" w:sz="8" w:color="017B52"/>
            </w:tcBorders>
          </w:tcPr>
          <w:p>
            <w:pPr>
              <w:jc w:val="center"/>
              <w:ind w:left="22"/>
              <w:spacing w:after="0"/>
              <w:rPr>
                <w:sz w:val="20"/>
                <w:szCs w:val="20"/>
                <w:color w:val="auto"/>
              </w:rPr>
            </w:pPr>
            <w:r>
              <w:rPr>
                <w:rFonts w:ascii="Arial" w:cs="Arial" w:eastAsia="Arial" w:hAnsi="Arial"/>
                <w:sz w:val="11"/>
                <w:szCs w:val="11"/>
                <w:b w:val="1"/>
                <w:bCs w:val="1"/>
                <w:color w:val="auto"/>
                <w:w w:val="96"/>
              </w:rPr>
              <w:t>COMPENSATION POOL</w:t>
            </w:r>
          </w:p>
        </w:tc>
        <w:tc>
          <w:tcPr>
            <w:tcW w:w="174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8"/>
              </w:rPr>
              <w:t>COMPENSATION POOL</w:t>
            </w:r>
          </w:p>
        </w:tc>
        <w:tc>
          <w:tcPr>
            <w:tcW w:w="1360" w:type="dxa"/>
            <w:vAlign w:val="bottom"/>
            <w:tcBorders>
              <w:bottom w:val="single" w:sz="8" w:color="017B52"/>
            </w:tcBorders>
          </w:tcPr>
          <w:p>
            <w:pPr>
              <w:jc w:val="center"/>
              <w:spacing w:after="0"/>
              <w:rPr>
                <w:sz w:val="20"/>
                <w:szCs w:val="20"/>
                <w:color w:val="auto"/>
              </w:rPr>
            </w:pPr>
            <w:r>
              <w:rPr>
                <w:rFonts w:ascii="Arial" w:cs="Arial" w:eastAsia="Arial" w:hAnsi="Arial"/>
                <w:sz w:val="11"/>
                <w:szCs w:val="11"/>
                <w:b w:val="1"/>
                <w:bCs w:val="1"/>
                <w:color w:val="auto"/>
                <w:w w:val="94"/>
              </w:rPr>
              <w:t>INCENTIVE PAID</w:t>
            </w:r>
            <w:r>
              <w:rPr>
                <w:rFonts w:ascii="Arial" w:cs="Arial" w:eastAsia="Arial" w:hAnsi="Arial"/>
                <w:sz w:val="16"/>
                <w:szCs w:val="16"/>
                <w:b w:val="1"/>
                <w:bCs w:val="1"/>
                <w:color w:val="auto"/>
                <w:w w:val="94"/>
                <w:vertAlign w:val="superscript"/>
              </w:rPr>
              <w:t>(2)</w:t>
            </w:r>
          </w:p>
        </w:tc>
        <w:tc>
          <w:tcPr>
            <w:tcW w:w="1200" w:type="dxa"/>
            <w:vAlign w:val="bottom"/>
            <w:tcBorders>
              <w:bottom w:val="single" w:sz="8" w:color="017B52"/>
            </w:tcBorders>
          </w:tcPr>
          <w:p>
            <w:pPr>
              <w:jc w:val="center"/>
              <w:ind w:left="120"/>
              <w:spacing w:after="0"/>
              <w:rPr>
                <w:sz w:val="20"/>
                <w:szCs w:val="20"/>
                <w:color w:val="auto"/>
              </w:rPr>
            </w:pPr>
            <w:r>
              <w:rPr>
                <w:rFonts w:ascii="Arial" w:cs="Arial" w:eastAsia="Arial" w:hAnsi="Arial"/>
                <w:sz w:val="11"/>
                <w:szCs w:val="11"/>
                <w:b w:val="1"/>
                <w:bCs w:val="1"/>
                <w:color w:val="auto"/>
                <w:w w:val="95"/>
              </w:rPr>
              <w:t>COMPENSATION</w:t>
            </w:r>
            <w:r>
              <w:rPr>
                <w:rFonts w:ascii="Arial" w:cs="Arial" w:eastAsia="Arial" w:hAnsi="Arial"/>
                <w:sz w:val="16"/>
                <w:szCs w:val="16"/>
                <w:b w:val="1"/>
                <w:bCs w:val="1"/>
                <w:color w:val="auto"/>
                <w:w w:val="95"/>
                <w:vertAlign w:val="superscript"/>
              </w:rPr>
              <w:t>(2)</w:t>
            </w:r>
          </w:p>
        </w:tc>
      </w:tr>
      <w:tr>
        <w:trPr>
          <w:trHeight w:val="269"/>
        </w:trPr>
        <w:tc>
          <w:tcPr>
            <w:tcW w:w="200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1420" w:type="dxa"/>
            <w:vAlign w:val="bottom"/>
          </w:tcPr>
          <w:p>
            <w:pPr>
              <w:jc w:val="center"/>
              <w:ind w:left="402"/>
              <w:spacing w:after="0"/>
              <w:rPr>
                <w:sz w:val="20"/>
                <w:szCs w:val="20"/>
                <w:color w:val="auto"/>
              </w:rPr>
            </w:pPr>
            <w:r>
              <w:rPr>
                <w:rFonts w:ascii="Arial" w:cs="Arial" w:eastAsia="Arial" w:hAnsi="Arial"/>
                <w:sz w:val="13"/>
                <w:szCs w:val="13"/>
                <w:color w:val="auto"/>
                <w:w w:val="99"/>
              </w:rPr>
              <w:t>22.49%</w:t>
            </w:r>
          </w:p>
        </w:tc>
        <w:tc>
          <w:tcPr>
            <w:tcW w:w="1680" w:type="dxa"/>
            <w:vAlign w:val="bottom"/>
          </w:tcPr>
          <w:p>
            <w:pPr>
              <w:jc w:val="center"/>
              <w:ind w:left="22"/>
              <w:spacing w:after="0"/>
              <w:rPr>
                <w:sz w:val="20"/>
                <w:szCs w:val="20"/>
                <w:color w:val="auto"/>
              </w:rPr>
            </w:pPr>
            <w:r>
              <w:rPr>
                <w:rFonts w:ascii="Arial" w:cs="Arial" w:eastAsia="Arial" w:hAnsi="Arial"/>
                <w:sz w:val="13"/>
                <w:szCs w:val="13"/>
                <w:color w:val="auto"/>
                <w:w w:val="94"/>
              </w:rPr>
              <w:t>7.5%</w:t>
            </w:r>
          </w:p>
        </w:tc>
        <w:tc>
          <w:tcPr>
            <w:tcW w:w="1740" w:type="dxa"/>
            <w:vAlign w:val="bottom"/>
          </w:tcPr>
          <w:p>
            <w:pPr>
              <w:jc w:val="center"/>
              <w:spacing w:after="0"/>
              <w:rPr>
                <w:sz w:val="20"/>
                <w:szCs w:val="20"/>
                <w:color w:val="auto"/>
              </w:rPr>
            </w:pPr>
            <w:r>
              <w:rPr>
                <w:rFonts w:ascii="Arial" w:cs="Arial" w:eastAsia="Arial" w:hAnsi="Arial"/>
                <w:sz w:val="13"/>
                <w:szCs w:val="13"/>
                <w:color w:val="auto"/>
                <w:w w:val="95"/>
              </w:rPr>
              <w:t>12.06%</w:t>
            </w:r>
          </w:p>
        </w:tc>
        <w:tc>
          <w:tcPr>
            <w:tcW w:w="1360" w:type="dxa"/>
            <w:vAlign w:val="bottom"/>
          </w:tcPr>
          <w:p>
            <w:pPr>
              <w:jc w:val="center"/>
              <w:spacing w:after="0"/>
              <w:rPr>
                <w:sz w:val="20"/>
                <w:szCs w:val="20"/>
                <w:color w:val="auto"/>
              </w:rPr>
            </w:pPr>
            <w:r>
              <w:rPr>
                <w:rFonts w:ascii="Arial" w:cs="Arial" w:eastAsia="Arial" w:hAnsi="Arial"/>
                <w:sz w:val="13"/>
                <w:szCs w:val="13"/>
                <w:color w:val="auto"/>
                <w:w w:val="98"/>
              </w:rPr>
              <w:t>$1,743,747</w:t>
            </w:r>
          </w:p>
        </w:tc>
        <w:tc>
          <w:tcPr>
            <w:tcW w:w="1200" w:type="dxa"/>
            <w:vAlign w:val="bottom"/>
          </w:tcPr>
          <w:p>
            <w:pPr>
              <w:jc w:val="center"/>
              <w:ind w:left="120"/>
              <w:spacing w:after="0"/>
              <w:rPr>
                <w:sz w:val="20"/>
                <w:szCs w:val="20"/>
                <w:color w:val="auto"/>
              </w:rPr>
            </w:pPr>
            <w:r>
              <w:rPr>
                <w:rFonts w:ascii="Arial" w:cs="Arial" w:eastAsia="Arial" w:hAnsi="Arial"/>
                <w:sz w:val="13"/>
                <w:szCs w:val="13"/>
                <w:color w:val="auto"/>
                <w:w w:val="95"/>
              </w:rPr>
              <w:t>$5,704,121</w:t>
            </w:r>
          </w:p>
        </w:tc>
      </w:tr>
      <w:tr>
        <w:trPr>
          <w:trHeight w:val="103"/>
        </w:trPr>
        <w:tc>
          <w:tcPr>
            <w:tcW w:w="2000" w:type="dxa"/>
            <w:vAlign w:val="bottom"/>
            <w:tcBorders>
              <w:bottom w:val="single" w:sz="8" w:color="017B52"/>
            </w:tcBorders>
          </w:tcPr>
          <w:p>
            <w:pPr>
              <w:spacing w:after="0"/>
              <w:rPr>
                <w:sz w:val="8"/>
                <w:szCs w:val="8"/>
                <w:color w:val="auto"/>
              </w:rPr>
            </w:pPr>
          </w:p>
        </w:tc>
        <w:tc>
          <w:tcPr>
            <w:tcW w:w="1420" w:type="dxa"/>
            <w:vAlign w:val="bottom"/>
            <w:tcBorders>
              <w:bottom w:val="single" w:sz="8" w:color="017B52"/>
            </w:tcBorders>
          </w:tcPr>
          <w:p>
            <w:pPr>
              <w:spacing w:after="0"/>
              <w:rPr>
                <w:sz w:val="8"/>
                <w:szCs w:val="8"/>
                <w:color w:val="auto"/>
              </w:rPr>
            </w:pPr>
          </w:p>
        </w:tc>
        <w:tc>
          <w:tcPr>
            <w:tcW w:w="1680" w:type="dxa"/>
            <w:vAlign w:val="bottom"/>
            <w:tcBorders>
              <w:bottom w:val="single" w:sz="8" w:color="017B52"/>
            </w:tcBorders>
          </w:tcPr>
          <w:p>
            <w:pPr>
              <w:spacing w:after="0"/>
              <w:rPr>
                <w:sz w:val="8"/>
                <w:szCs w:val="8"/>
                <w:color w:val="auto"/>
              </w:rPr>
            </w:pPr>
          </w:p>
        </w:tc>
        <w:tc>
          <w:tcPr>
            <w:tcW w:w="1740" w:type="dxa"/>
            <w:vAlign w:val="bottom"/>
            <w:tcBorders>
              <w:bottom w:val="single" w:sz="8" w:color="017B52"/>
            </w:tcBorders>
          </w:tcPr>
          <w:p>
            <w:pPr>
              <w:spacing w:after="0"/>
              <w:rPr>
                <w:sz w:val="8"/>
                <w:szCs w:val="8"/>
                <w:color w:val="auto"/>
              </w:rPr>
            </w:pPr>
          </w:p>
        </w:tc>
        <w:tc>
          <w:tcPr>
            <w:tcW w:w="1360" w:type="dxa"/>
            <w:vAlign w:val="bottom"/>
            <w:tcBorders>
              <w:bottom w:val="single" w:sz="8" w:color="017B52"/>
            </w:tcBorders>
          </w:tcPr>
          <w:p>
            <w:pPr>
              <w:spacing w:after="0"/>
              <w:rPr>
                <w:sz w:val="8"/>
                <w:szCs w:val="8"/>
                <w:color w:val="auto"/>
              </w:rPr>
            </w:pPr>
          </w:p>
        </w:tc>
        <w:tc>
          <w:tcPr>
            <w:tcW w:w="1200" w:type="dxa"/>
            <w:vAlign w:val="bottom"/>
            <w:tcBorders>
              <w:bottom w:val="single" w:sz="8" w:color="017B52"/>
            </w:tcBorders>
          </w:tcPr>
          <w:p>
            <w:pPr>
              <w:spacing w:after="0"/>
              <w:rPr>
                <w:sz w:val="8"/>
                <w:szCs w:val="8"/>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1420" w:type="dxa"/>
            <w:vAlign w:val="bottom"/>
          </w:tcPr>
          <w:p>
            <w:pPr>
              <w:jc w:val="center"/>
              <w:ind w:left="402"/>
              <w:spacing w:after="0"/>
              <w:rPr>
                <w:sz w:val="20"/>
                <w:szCs w:val="20"/>
                <w:color w:val="auto"/>
              </w:rPr>
            </w:pPr>
            <w:r>
              <w:rPr>
                <w:rFonts w:ascii="Arial" w:cs="Arial" w:eastAsia="Arial" w:hAnsi="Arial"/>
                <w:sz w:val="13"/>
                <w:szCs w:val="13"/>
                <w:color w:val="auto"/>
                <w:w w:val="99"/>
              </w:rPr>
              <w:t>22.49%</w:t>
            </w:r>
          </w:p>
        </w:tc>
        <w:tc>
          <w:tcPr>
            <w:tcW w:w="1680" w:type="dxa"/>
            <w:vAlign w:val="bottom"/>
          </w:tcPr>
          <w:p>
            <w:pPr>
              <w:jc w:val="center"/>
              <w:ind w:left="22"/>
              <w:spacing w:after="0"/>
              <w:rPr>
                <w:sz w:val="20"/>
                <w:szCs w:val="20"/>
                <w:color w:val="auto"/>
              </w:rPr>
            </w:pPr>
            <w:r>
              <w:rPr>
                <w:rFonts w:ascii="Arial" w:cs="Arial" w:eastAsia="Arial" w:hAnsi="Arial"/>
                <w:sz w:val="13"/>
                <w:szCs w:val="13"/>
                <w:color w:val="auto"/>
                <w:w w:val="94"/>
              </w:rPr>
              <w:t>7.5%</w:t>
            </w:r>
          </w:p>
        </w:tc>
        <w:tc>
          <w:tcPr>
            <w:tcW w:w="1740" w:type="dxa"/>
            <w:vAlign w:val="bottom"/>
          </w:tcPr>
          <w:p>
            <w:pPr>
              <w:jc w:val="center"/>
              <w:spacing w:after="0"/>
              <w:rPr>
                <w:sz w:val="20"/>
                <w:szCs w:val="20"/>
                <w:color w:val="auto"/>
              </w:rPr>
            </w:pPr>
            <w:r>
              <w:rPr>
                <w:rFonts w:ascii="Arial" w:cs="Arial" w:eastAsia="Arial" w:hAnsi="Arial"/>
                <w:sz w:val="13"/>
                <w:szCs w:val="13"/>
                <w:color w:val="auto"/>
                <w:w w:val="97"/>
              </w:rPr>
              <w:t>6.07%</w:t>
            </w:r>
          </w:p>
        </w:tc>
        <w:tc>
          <w:tcPr>
            <w:tcW w:w="1360" w:type="dxa"/>
            <w:vAlign w:val="bottom"/>
          </w:tcPr>
          <w:p>
            <w:pPr>
              <w:jc w:val="center"/>
              <w:spacing w:after="0"/>
              <w:rPr>
                <w:sz w:val="20"/>
                <w:szCs w:val="20"/>
                <w:color w:val="auto"/>
              </w:rPr>
            </w:pPr>
            <w:r>
              <w:rPr>
                <w:rFonts w:ascii="Arial" w:cs="Arial" w:eastAsia="Arial" w:hAnsi="Arial"/>
                <w:sz w:val="13"/>
                <w:szCs w:val="13"/>
                <w:color w:val="auto"/>
                <w:w w:val="95"/>
              </w:rPr>
              <w:t>$960,000</w:t>
            </w:r>
          </w:p>
        </w:tc>
        <w:tc>
          <w:tcPr>
            <w:tcW w:w="1200" w:type="dxa"/>
            <w:vAlign w:val="bottom"/>
          </w:tcPr>
          <w:p>
            <w:pPr>
              <w:jc w:val="center"/>
              <w:ind w:left="120"/>
              <w:spacing w:after="0"/>
              <w:rPr>
                <w:sz w:val="20"/>
                <w:szCs w:val="20"/>
                <w:color w:val="auto"/>
              </w:rPr>
            </w:pPr>
            <w:r>
              <w:rPr>
                <w:rFonts w:ascii="Arial" w:cs="Arial" w:eastAsia="Arial" w:hAnsi="Arial"/>
                <w:sz w:val="13"/>
                <w:szCs w:val="13"/>
                <w:color w:val="auto"/>
                <w:w w:val="95"/>
              </w:rPr>
              <w:t>$2,789,017</w:t>
            </w:r>
          </w:p>
        </w:tc>
      </w:tr>
      <w:tr>
        <w:trPr>
          <w:trHeight w:val="103"/>
        </w:trPr>
        <w:tc>
          <w:tcPr>
            <w:tcW w:w="2000" w:type="dxa"/>
            <w:vAlign w:val="bottom"/>
            <w:tcBorders>
              <w:bottom w:val="single" w:sz="8" w:color="017B52"/>
            </w:tcBorders>
          </w:tcPr>
          <w:p>
            <w:pPr>
              <w:spacing w:after="0"/>
              <w:rPr>
                <w:sz w:val="8"/>
                <w:szCs w:val="8"/>
                <w:color w:val="auto"/>
              </w:rPr>
            </w:pPr>
          </w:p>
        </w:tc>
        <w:tc>
          <w:tcPr>
            <w:tcW w:w="1420" w:type="dxa"/>
            <w:vAlign w:val="bottom"/>
            <w:tcBorders>
              <w:bottom w:val="single" w:sz="8" w:color="017B52"/>
            </w:tcBorders>
          </w:tcPr>
          <w:p>
            <w:pPr>
              <w:spacing w:after="0"/>
              <w:rPr>
                <w:sz w:val="8"/>
                <w:szCs w:val="8"/>
                <w:color w:val="auto"/>
              </w:rPr>
            </w:pPr>
          </w:p>
        </w:tc>
        <w:tc>
          <w:tcPr>
            <w:tcW w:w="1680" w:type="dxa"/>
            <w:vAlign w:val="bottom"/>
            <w:tcBorders>
              <w:bottom w:val="single" w:sz="8" w:color="017B52"/>
            </w:tcBorders>
          </w:tcPr>
          <w:p>
            <w:pPr>
              <w:spacing w:after="0"/>
              <w:rPr>
                <w:sz w:val="8"/>
                <w:szCs w:val="8"/>
                <w:color w:val="auto"/>
              </w:rPr>
            </w:pPr>
          </w:p>
        </w:tc>
        <w:tc>
          <w:tcPr>
            <w:tcW w:w="1740" w:type="dxa"/>
            <w:vAlign w:val="bottom"/>
            <w:tcBorders>
              <w:bottom w:val="single" w:sz="8" w:color="017B52"/>
            </w:tcBorders>
          </w:tcPr>
          <w:p>
            <w:pPr>
              <w:spacing w:after="0"/>
              <w:rPr>
                <w:sz w:val="8"/>
                <w:szCs w:val="8"/>
                <w:color w:val="auto"/>
              </w:rPr>
            </w:pPr>
          </w:p>
        </w:tc>
        <w:tc>
          <w:tcPr>
            <w:tcW w:w="1360" w:type="dxa"/>
            <w:vAlign w:val="bottom"/>
            <w:tcBorders>
              <w:bottom w:val="single" w:sz="8" w:color="017B52"/>
            </w:tcBorders>
          </w:tcPr>
          <w:p>
            <w:pPr>
              <w:spacing w:after="0"/>
              <w:rPr>
                <w:sz w:val="8"/>
                <w:szCs w:val="8"/>
                <w:color w:val="auto"/>
              </w:rPr>
            </w:pPr>
          </w:p>
        </w:tc>
        <w:tc>
          <w:tcPr>
            <w:tcW w:w="1200" w:type="dxa"/>
            <w:vAlign w:val="bottom"/>
            <w:tcBorders>
              <w:bottom w:val="single" w:sz="8" w:color="017B52"/>
            </w:tcBorders>
          </w:tcPr>
          <w:p>
            <w:pPr>
              <w:spacing w:after="0"/>
              <w:rPr>
                <w:sz w:val="8"/>
                <w:szCs w:val="8"/>
                <w:color w:val="auto"/>
              </w:rPr>
            </w:pPr>
          </w:p>
        </w:tc>
      </w:tr>
      <w:tr>
        <w:trPr>
          <w:trHeight w:val="384"/>
        </w:trPr>
        <w:tc>
          <w:tcPr>
            <w:tcW w:w="200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1420" w:type="dxa"/>
            <w:vAlign w:val="bottom"/>
          </w:tcPr>
          <w:p>
            <w:pPr>
              <w:jc w:val="center"/>
              <w:ind w:left="402"/>
              <w:spacing w:after="0"/>
              <w:rPr>
                <w:sz w:val="20"/>
                <w:szCs w:val="20"/>
                <w:color w:val="auto"/>
              </w:rPr>
            </w:pPr>
            <w:r>
              <w:rPr>
                <w:rFonts w:ascii="Arial" w:cs="Arial" w:eastAsia="Arial" w:hAnsi="Arial"/>
                <w:sz w:val="13"/>
                <w:szCs w:val="13"/>
                <w:color w:val="auto"/>
                <w:w w:val="99"/>
              </w:rPr>
              <w:t>41.86%</w:t>
            </w:r>
          </w:p>
        </w:tc>
        <w:tc>
          <w:tcPr>
            <w:tcW w:w="1680" w:type="dxa"/>
            <w:vAlign w:val="bottom"/>
          </w:tcPr>
          <w:p>
            <w:pPr>
              <w:jc w:val="center"/>
              <w:ind w:left="22"/>
              <w:spacing w:after="0"/>
              <w:rPr>
                <w:sz w:val="20"/>
                <w:szCs w:val="20"/>
                <w:color w:val="auto"/>
              </w:rPr>
            </w:pPr>
            <w:r>
              <w:rPr>
                <w:rFonts w:ascii="Arial" w:cs="Arial" w:eastAsia="Arial" w:hAnsi="Arial"/>
                <w:sz w:val="13"/>
                <w:szCs w:val="13"/>
                <w:color w:val="auto"/>
                <w:w w:val="86"/>
              </w:rPr>
              <w:t>2.2%</w:t>
            </w:r>
            <w:r>
              <w:rPr>
                <w:rFonts w:ascii="Arial" w:cs="Arial" w:eastAsia="Arial" w:hAnsi="Arial"/>
                <w:sz w:val="20"/>
                <w:szCs w:val="20"/>
                <w:color w:val="auto"/>
                <w:w w:val="86"/>
                <w:vertAlign w:val="superscript"/>
              </w:rPr>
              <w:t>(3)</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36.52%</w:t>
            </w:r>
            <w:r>
              <w:rPr>
                <w:rFonts w:ascii="Arial" w:cs="Arial" w:eastAsia="Arial" w:hAnsi="Arial"/>
                <w:sz w:val="20"/>
                <w:szCs w:val="20"/>
                <w:color w:val="auto"/>
                <w:w w:val="92"/>
                <w:vertAlign w:val="superscript"/>
              </w:rPr>
              <w:t>(3)</w:t>
            </w:r>
          </w:p>
        </w:tc>
        <w:tc>
          <w:tcPr>
            <w:tcW w:w="1360" w:type="dxa"/>
            <w:vAlign w:val="bottom"/>
          </w:tcPr>
          <w:p>
            <w:pPr>
              <w:jc w:val="center"/>
              <w:spacing w:after="0"/>
              <w:rPr>
                <w:sz w:val="20"/>
                <w:szCs w:val="20"/>
                <w:color w:val="auto"/>
              </w:rPr>
            </w:pPr>
            <w:r>
              <w:rPr>
                <w:rFonts w:ascii="Arial" w:cs="Arial" w:eastAsia="Arial" w:hAnsi="Arial"/>
                <w:sz w:val="13"/>
                <w:szCs w:val="13"/>
                <w:color w:val="auto"/>
                <w:w w:val="95"/>
              </w:rPr>
              <w:t>$816,000</w:t>
            </w:r>
          </w:p>
        </w:tc>
        <w:tc>
          <w:tcPr>
            <w:tcW w:w="1200" w:type="dxa"/>
            <w:vAlign w:val="bottom"/>
          </w:tcPr>
          <w:p>
            <w:pPr>
              <w:jc w:val="center"/>
              <w:ind w:left="120"/>
              <w:spacing w:after="0"/>
              <w:rPr>
                <w:sz w:val="20"/>
                <w:szCs w:val="20"/>
                <w:color w:val="auto"/>
              </w:rPr>
            </w:pPr>
            <w:r>
              <w:rPr>
                <w:rFonts w:ascii="Arial" w:cs="Arial" w:eastAsia="Arial" w:hAnsi="Arial"/>
                <w:sz w:val="13"/>
                <w:szCs w:val="13"/>
                <w:color w:val="auto"/>
                <w:w w:val="95"/>
              </w:rPr>
              <w:t>$1,481,725</w:t>
            </w:r>
          </w:p>
        </w:tc>
      </w:tr>
      <w:tr>
        <w:trPr>
          <w:trHeight w:val="28"/>
        </w:trPr>
        <w:tc>
          <w:tcPr>
            <w:tcW w:w="2000" w:type="dxa"/>
            <w:vAlign w:val="bottom"/>
            <w:tcBorders>
              <w:bottom w:val="single" w:sz="8" w:color="017B52"/>
            </w:tcBorders>
          </w:tcPr>
          <w:p>
            <w:pPr>
              <w:spacing w:after="0"/>
              <w:rPr>
                <w:sz w:val="2"/>
                <w:szCs w:val="2"/>
                <w:color w:val="auto"/>
              </w:rPr>
            </w:pPr>
          </w:p>
        </w:tc>
        <w:tc>
          <w:tcPr>
            <w:tcW w:w="142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1740" w:type="dxa"/>
            <w:vAlign w:val="bottom"/>
            <w:tcBorders>
              <w:bottom w:val="single" w:sz="8" w:color="017B52"/>
            </w:tcBorders>
          </w:tcPr>
          <w:p>
            <w:pPr>
              <w:spacing w:after="0"/>
              <w:rPr>
                <w:sz w:val="2"/>
                <w:szCs w:val="2"/>
                <w:color w:val="auto"/>
              </w:rPr>
            </w:pPr>
          </w:p>
        </w:tc>
        <w:tc>
          <w:tcPr>
            <w:tcW w:w="1360" w:type="dxa"/>
            <w:vAlign w:val="bottom"/>
            <w:tcBorders>
              <w:bottom w:val="single" w:sz="8" w:color="017B52"/>
            </w:tcBorders>
          </w:tcPr>
          <w:p>
            <w:pPr>
              <w:spacing w:after="0"/>
              <w:rPr>
                <w:sz w:val="2"/>
                <w:szCs w:val="2"/>
                <w:color w:val="auto"/>
              </w:rPr>
            </w:pPr>
          </w:p>
        </w:tc>
        <w:tc>
          <w:tcPr>
            <w:tcW w:w="1200" w:type="dxa"/>
            <w:vAlign w:val="bottom"/>
            <w:tcBorders>
              <w:bottom w:val="single" w:sz="8" w:color="017B52"/>
            </w:tcBorders>
          </w:tcPr>
          <w:p>
            <w:pPr>
              <w:spacing w:after="0"/>
              <w:rPr>
                <w:sz w:val="2"/>
                <w:szCs w:val="2"/>
                <w:color w:val="auto"/>
              </w:rPr>
            </w:pPr>
          </w:p>
        </w:tc>
      </w:tr>
      <w:tr>
        <w:trPr>
          <w:trHeight w:val="384"/>
        </w:trPr>
        <w:tc>
          <w:tcPr>
            <w:tcW w:w="200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1420" w:type="dxa"/>
            <w:vAlign w:val="bottom"/>
          </w:tcPr>
          <w:p>
            <w:pPr>
              <w:jc w:val="center"/>
              <w:ind w:left="402"/>
              <w:spacing w:after="0"/>
              <w:rPr>
                <w:sz w:val="20"/>
                <w:szCs w:val="20"/>
                <w:color w:val="auto"/>
              </w:rPr>
            </w:pPr>
            <w:r>
              <w:rPr>
                <w:rFonts w:ascii="Arial" w:cs="Arial" w:eastAsia="Arial" w:hAnsi="Arial"/>
                <w:sz w:val="13"/>
                <w:szCs w:val="13"/>
                <w:color w:val="auto"/>
                <w:w w:val="99"/>
              </w:rPr>
              <w:t>19.17%</w:t>
            </w:r>
          </w:p>
        </w:tc>
        <w:tc>
          <w:tcPr>
            <w:tcW w:w="1680" w:type="dxa"/>
            <w:vAlign w:val="bottom"/>
          </w:tcPr>
          <w:p>
            <w:pPr>
              <w:jc w:val="center"/>
              <w:ind w:left="22"/>
              <w:spacing w:after="0"/>
              <w:rPr>
                <w:sz w:val="20"/>
                <w:szCs w:val="20"/>
                <w:color w:val="auto"/>
              </w:rPr>
            </w:pPr>
            <w:r>
              <w:rPr>
                <w:rFonts w:ascii="Arial" w:cs="Arial" w:eastAsia="Arial" w:hAnsi="Arial"/>
                <w:sz w:val="13"/>
                <w:szCs w:val="13"/>
                <w:color w:val="auto"/>
                <w:w w:val="86"/>
              </w:rPr>
              <w:t>2.0%</w:t>
            </w:r>
            <w:r>
              <w:rPr>
                <w:rFonts w:ascii="Arial" w:cs="Arial" w:eastAsia="Arial" w:hAnsi="Arial"/>
                <w:sz w:val="20"/>
                <w:szCs w:val="20"/>
                <w:color w:val="auto"/>
                <w:w w:val="86"/>
                <w:vertAlign w:val="superscript"/>
              </w:rPr>
              <w:t>(3)</w:t>
            </w:r>
          </w:p>
        </w:tc>
        <w:tc>
          <w:tcPr>
            <w:tcW w:w="1740" w:type="dxa"/>
            <w:vAlign w:val="bottom"/>
          </w:tcPr>
          <w:p>
            <w:pPr>
              <w:jc w:val="center"/>
              <w:spacing w:after="0"/>
              <w:rPr>
                <w:sz w:val="20"/>
                <w:szCs w:val="20"/>
                <w:color w:val="auto"/>
              </w:rPr>
            </w:pPr>
            <w:r>
              <w:rPr>
                <w:rFonts w:ascii="Arial" w:cs="Arial" w:eastAsia="Arial" w:hAnsi="Arial"/>
                <w:sz w:val="13"/>
                <w:szCs w:val="13"/>
                <w:color w:val="auto"/>
                <w:w w:val="92"/>
              </w:rPr>
              <w:t>40.60%</w:t>
            </w:r>
            <w:r>
              <w:rPr>
                <w:rFonts w:ascii="Arial" w:cs="Arial" w:eastAsia="Arial" w:hAnsi="Arial"/>
                <w:sz w:val="20"/>
                <w:szCs w:val="20"/>
                <w:color w:val="auto"/>
                <w:w w:val="92"/>
                <w:vertAlign w:val="superscript"/>
              </w:rPr>
              <w:t>(3)</w:t>
            </w:r>
          </w:p>
        </w:tc>
        <w:tc>
          <w:tcPr>
            <w:tcW w:w="1360" w:type="dxa"/>
            <w:vAlign w:val="bottom"/>
          </w:tcPr>
          <w:p>
            <w:pPr>
              <w:jc w:val="center"/>
              <w:spacing w:after="0"/>
              <w:rPr>
                <w:sz w:val="20"/>
                <w:szCs w:val="20"/>
                <w:color w:val="auto"/>
              </w:rPr>
            </w:pPr>
            <w:r>
              <w:rPr>
                <w:rFonts w:ascii="Arial" w:cs="Arial" w:eastAsia="Arial" w:hAnsi="Arial"/>
                <w:sz w:val="13"/>
                <w:szCs w:val="13"/>
                <w:color w:val="auto"/>
                <w:w w:val="95"/>
              </w:rPr>
              <w:t>$780,000</w:t>
            </w:r>
          </w:p>
        </w:tc>
        <w:tc>
          <w:tcPr>
            <w:tcW w:w="1200" w:type="dxa"/>
            <w:vAlign w:val="bottom"/>
          </w:tcPr>
          <w:p>
            <w:pPr>
              <w:jc w:val="center"/>
              <w:ind w:left="120"/>
              <w:spacing w:after="0"/>
              <w:rPr>
                <w:sz w:val="20"/>
                <w:szCs w:val="20"/>
                <w:color w:val="auto"/>
              </w:rPr>
            </w:pPr>
            <w:r>
              <w:rPr>
                <w:rFonts w:ascii="Arial" w:cs="Arial" w:eastAsia="Arial" w:hAnsi="Arial"/>
                <w:sz w:val="13"/>
                <w:szCs w:val="13"/>
                <w:color w:val="auto"/>
                <w:w w:val="95"/>
              </w:rPr>
              <w:t>$1,106,981</w:t>
            </w:r>
          </w:p>
        </w:tc>
      </w:tr>
      <w:tr>
        <w:trPr>
          <w:trHeight w:val="28"/>
        </w:trPr>
        <w:tc>
          <w:tcPr>
            <w:tcW w:w="2000" w:type="dxa"/>
            <w:vAlign w:val="bottom"/>
            <w:tcBorders>
              <w:bottom w:val="single" w:sz="8" w:color="017B52"/>
            </w:tcBorders>
          </w:tcPr>
          <w:p>
            <w:pPr>
              <w:spacing w:after="0"/>
              <w:rPr>
                <w:sz w:val="2"/>
                <w:szCs w:val="2"/>
                <w:color w:val="auto"/>
              </w:rPr>
            </w:pPr>
          </w:p>
        </w:tc>
        <w:tc>
          <w:tcPr>
            <w:tcW w:w="1420" w:type="dxa"/>
            <w:vAlign w:val="bottom"/>
            <w:tcBorders>
              <w:bottom w:val="single" w:sz="8" w:color="017B52"/>
            </w:tcBorders>
          </w:tcPr>
          <w:p>
            <w:pPr>
              <w:spacing w:after="0"/>
              <w:rPr>
                <w:sz w:val="2"/>
                <w:szCs w:val="2"/>
                <w:color w:val="auto"/>
              </w:rPr>
            </w:pPr>
          </w:p>
        </w:tc>
        <w:tc>
          <w:tcPr>
            <w:tcW w:w="1680" w:type="dxa"/>
            <w:vAlign w:val="bottom"/>
            <w:tcBorders>
              <w:bottom w:val="single" w:sz="8" w:color="017B52"/>
            </w:tcBorders>
          </w:tcPr>
          <w:p>
            <w:pPr>
              <w:spacing w:after="0"/>
              <w:rPr>
                <w:sz w:val="2"/>
                <w:szCs w:val="2"/>
                <w:color w:val="auto"/>
              </w:rPr>
            </w:pPr>
          </w:p>
        </w:tc>
        <w:tc>
          <w:tcPr>
            <w:tcW w:w="1740" w:type="dxa"/>
            <w:vAlign w:val="bottom"/>
            <w:tcBorders>
              <w:bottom w:val="single" w:sz="8" w:color="017B52"/>
            </w:tcBorders>
          </w:tcPr>
          <w:p>
            <w:pPr>
              <w:spacing w:after="0"/>
              <w:rPr>
                <w:sz w:val="2"/>
                <w:szCs w:val="2"/>
                <w:color w:val="auto"/>
              </w:rPr>
            </w:pPr>
          </w:p>
        </w:tc>
        <w:tc>
          <w:tcPr>
            <w:tcW w:w="1360" w:type="dxa"/>
            <w:vAlign w:val="bottom"/>
            <w:tcBorders>
              <w:bottom w:val="single" w:sz="8" w:color="017B52"/>
            </w:tcBorders>
          </w:tcPr>
          <w:p>
            <w:pPr>
              <w:spacing w:after="0"/>
              <w:rPr>
                <w:sz w:val="2"/>
                <w:szCs w:val="2"/>
                <w:color w:val="auto"/>
              </w:rPr>
            </w:pPr>
          </w:p>
        </w:tc>
        <w:tc>
          <w:tcPr>
            <w:tcW w:w="1200" w:type="dxa"/>
            <w:vAlign w:val="bottom"/>
            <w:tcBorders>
              <w:bottom w:val="single" w:sz="8" w:color="017B52"/>
            </w:tcBorders>
          </w:tcPr>
          <w:p>
            <w:pPr>
              <w:spacing w:after="0"/>
              <w:rPr>
                <w:sz w:val="2"/>
                <w:szCs w:val="2"/>
                <w:color w:val="auto"/>
              </w:rPr>
            </w:pPr>
          </w:p>
        </w:tc>
      </w:tr>
      <w:tr>
        <w:trPr>
          <w:trHeight w:val="392"/>
        </w:trPr>
        <w:tc>
          <w:tcPr>
            <w:tcW w:w="200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1420" w:type="dxa"/>
            <w:vAlign w:val="bottom"/>
            <w:tcBorders>
              <w:bottom w:val="single" w:sz="8" w:color="017B52"/>
            </w:tcBorders>
          </w:tcPr>
          <w:p>
            <w:pPr>
              <w:jc w:val="center"/>
              <w:ind w:left="402"/>
              <w:spacing w:after="0"/>
              <w:rPr>
                <w:sz w:val="20"/>
                <w:szCs w:val="20"/>
                <w:color w:val="auto"/>
              </w:rPr>
            </w:pPr>
            <w:r>
              <w:rPr>
                <w:rFonts w:ascii="Arial" w:cs="Arial" w:eastAsia="Arial" w:hAnsi="Arial"/>
                <w:sz w:val="13"/>
                <w:szCs w:val="13"/>
                <w:color w:val="auto"/>
                <w:w w:val="99"/>
              </w:rPr>
              <w:t>23.61%</w:t>
            </w:r>
          </w:p>
        </w:tc>
        <w:tc>
          <w:tcPr>
            <w:tcW w:w="1680" w:type="dxa"/>
            <w:vAlign w:val="bottom"/>
            <w:tcBorders>
              <w:bottom w:val="single" w:sz="8" w:color="017B52"/>
            </w:tcBorders>
          </w:tcPr>
          <w:p>
            <w:pPr>
              <w:jc w:val="center"/>
              <w:ind w:left="22"/>
              <w:spacing w:after="0"/>
              <w:rPr>
                <w:sz w:val="20"/>
                <w:szCs w:val="20"/>
                <w:color w:val="auto"/>
              </w:rPr>
            </w:pPr>
            <w:r>
              <w:rPr>
                <w:rFonts w:ascii="Arial" w:cs="Arial" w:eastAsia="Arial" w:hAnsi="Arial"/>
                <w:sz w:val="13"/>
                <w:szCs w:val="13"/>
                <w:color w:val="auto"/>
                <w:w w:val="86"/>
              </w:rPr>
              <w:t>2.2%</w:t>
            </w:r>
            <w:r>
              <w:rPr>
                <w:rFonts w:ascii="Arial" w:cs="Arial" w:eastAsia="Arial" w:hAnsi="Arial"/>
                <w:sz w:val="20"/>
                <w:szCs w:val="20"/>
                <w:color w:val="auto"/>
                <w:w w:val="86"/>
                <w:vertAlign w:val="superscript"/>
              </w:rPr>
              <w:t>(3)</w:t>
            </w:r>
          </w:p>
        </w:tc>
        <w:tc>
          <w:tcPr>
            <w:tcW w:w="174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2"/>
              </w:rPr>
              <w:t>38.19%</w:t>
            </w:r>
            <w:r>
              <w:rPr>
                <w:rFonts w:ascii="Arial" w:cs="Arial" w:eastAsia="Arial" w:hAnsi="Arial"/>
                <w:sz w:val="20"/>
                <w:szCs w:val="20"/>
                <w:color w:val="auto"/>
                <w:w w:val="92"/>
                <w:vertAlign w:val="superscript"/>
              </w:rPr>
              <w:t>(3)</w:t>
            </w:r>
          </w:p>
        </w:tc>
        <w:tc>
          <w:tcPr>
            <w:tcW w:w="1360" w:type="dxa"/>
            <w:vAlign w:val="bottom"/>
            <w:tcBorders>
              <w:bottom w:val="single" w:sz="8" w:color="017B52"/>
            </w:tcBorders>
          </w:tcPr>
          <w:p>
            <w:pPr>
              <w:jc w:val="center"/>
              <w:spacing w:after="0"/>
              <w:rPr>
                <w:sz w:val="20"/>
                <w:szCs w:val="20"/>
                <w:color w:val="auto"/>
              </w:rPr>
            </w:pPr>
            <w:r>
              <w:rPr>
                <w:rFonts w:ascii="Arial" w:cs="Arial" w:eastAsia="Arial" w:hAnsi="Arial"/>
                <w:sz w:val="13"/>
                <w:szCs w:val="13"/>
                <w:color w:val="auto"/>
                <w:w w:val="95"/>
              </w:rPr>
              <w:t>$816,000</w:t>
            </w:r>
          </w:p>
        </w:tc>
        <w:tc>
          <w:tcPr>
            <w:tcW w:w="1200" w:type="dxa"/>
            <w:vAlign w:val="bottom"/>
            <w:tcBorders>
              <w:bottom w:val="single" w:sz="8" w:color="017B52"/>
            </w:tcBorders>
          </w:tcPr>
          <w:p>
            <w:pPr>
              <w:jc w:val="center"/>
              <w:ind w:left="120"/>
              <w:spacing w:after="0"/>
              <w:rPr>
                <w:sz w:val="20"/>
                <w:szCs w:val="20"/>
                <w:color w:val="auto"/>
              </w:rPr>
            </w:pPr>
            <w:r>
              <w:rPr>
                <w:rFonts w:ascii="Arial" w:cs="Arial" w:eastAsia="Arial" w:hAnsi="Arial"/>
                <w:sz w:val="13"/>
                <w:szCs w:val="13"/>
                <w:color w:val="auto"/>
                <w:w w:val="95"/>
              </w:rPr>
              <w:t>$1,282,891</w:t>
            </w:r>
          </w:p>
        </w:tc>
      </w:tr>
    </w:tbl>
    <w:p>
      <w:pPr>
        <w:spacing w:after="0" w:line="185" w:lineRule="exact"/>
        <w:rPr>
          <w:sz w:val="20"/>
          <w:szCs w:val="20"/>
          <w:color w:val="auto"/>
        </w:rPr>
      </w:pPr>
    </w:p>
    <w:p>
      <w:pPr>
        <w:ind w:left="360" w:hanging="354"/>
        <w:spacing w:after="0"/>
        <w:tabs>
          <w:tab w:leader="none" w:pos="36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The Committee periodically establishes ROI threshold achievement levels for each Profit Center, which may vary among the different Profit Centers.</w:t>
      </w:r>
    </w:p>
    <w:p>
      <w:pPr>
        <w:spacing w:after="0" w:line="80" w:lineRule="exact"/>
        <w:rPr>
          <w:rFonts w:ascii="Arial" w:cs="Arial" w:eastAsia="Arial" w:hAnsi="Arial"/>
          <w:sz w:val="13"/>
          <w:szCs w:val="13"/>
          <w:color w:val="333333"/>
        </w:rPr>
      </w:pPr>
    </w:p>
    <w:p>
      <w:pPr>
        <w:ind w:left="360" w:right="180" w:hanging="354"/>
        <w:spacing w:after="0" w:line="243" w:lineRule="auto"/>
        <w:tabs>
          <w:tab w:leader="none" w:pos="36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For 2023, the incentive compensation for Messrs. Missad, Cole, Benton, Schwartz, and Worthington equaled $7,447,868; $3,749,017; $2,297,725; $1,886,981; and $2,098,891, respectively.</w:t>
      </w:r>
    </w:p>
    <w:p>
      <w:pPr>
        <w:spacing w:after="0" w:line="48" w:lineRule="exact"/>
        <w:rPr>
          <w:rFonts w:ascii="Arial" w:cs="Arial" w:eastAsia="Arial" w:hAnsi="Arial"/>
          <w:sz w:val="13"/>
          <w:szCs w:val="13"/>
          <w:color w:val="333333"/>
        </w:rPr>
      </w:pPr>
    </w:p>
    <w:p>
      <w:pPr>
        <w:ind w:left="360" w:right="460" w:hanging="354"/>
        <w:spacing w:after="0" w:line="243" w:lineRule="auto"/>
        <w:tabs>
          <w:tab w:leader="none" w:pos="36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For 2023, Messrs. Benton, Schwartz, and Worthington did not participate in the Corporate Profit Center incentive compensation pool. Rather, the incentive compensation for each of them was based upon the ROI of their respective Segments/Profit Centers.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30</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b w:val="1"/>
          <w:bCs w:val="1"/>
          <w:i w:val="1"/>
          <w:iCs w:val="1"/>
          <w:color w:val="auto"/>
        </w:rPr>
        <w:t xml:space="preserve">Long-Term Stock Incentive Plan. </w:t>
      </w:r>
      <w:r>
        <w:rPr>
          <w:rFonts w:ascii="Arial" w:cs="Arial" w:eastAsia="Arial" w:hAnsi="Arial"/>
          <w:sz w:val="16"/>
          <w:szCs w:val="16"/>
          <w:color w:val="auto"/>
        </w:rPr>
        <w:t>We provide long-term incentive compensation to our executive officers and key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13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Based upon the formula described above, our Named Executives received restricted stock awards and performance units in the following amounts for 2023 performance under our long-term incentive compensation program:</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80" w:type="dxa"/>
            <w:vAlign w:val="bottom"/>
          </w:tcPr>
          <w:p>
            <w:pPr>
              <w:spacing w:after="0"/>
              <w:rPr>
                <w:sz w:val="12"/>
                <w:szCs w:val="12"/>
                <w:color w:val="auto"/>
              </w:rPr>
            </w:pPr>
          </w:p>
        </w:tc>
        <w:tc>
          <w:tcPr>
            <w:tcW w:w="1520" w:type="dxa"/>
            <w:vAlign w:val="bottom"/>
          </w:tcPr>
          <w:p>
            <w:pPr>
              <w:ind w:left="220"/>
              <w:spacing w:after="0"/>
              <w:rPr>
                <w:sz w:val="20"/>
                <w:szCs w:val="20"/>
                <w:color w:val="auto"/>
              </w:rPr>
            </w:pPr>
            <w:r>
              <w:rPr>
                <w:rFonts w:ascii="Arial" w:cs="Arial" w:eastAsia="Arial" w:hAnsi="Arial"/>
                <w:sz w:val="11"/>
                <w:szCs w:val="11"/>
                <w:b w:val="1"/>
                <w:bCs w:val="1"/>
                <w:color w:val="auto"/>
              </w:rPr>
              <w:t>MATTHEW J. MISSAD</w:t>
            </w:r>
          </w:p>
        </w:tc>
        <w:tc>
          <w:tcPr>
            <w:tcW w:w="1340" w:type="dxa"/>
            <w:vAlign w:val="bottom"/>
          </w:tcPr>
          <w:p>
            <w:pPr>
              <w:ind w:left="200"/>
              <w:spacing w:after="0"/>
              <w:rPr>
                <w:sz w:val="20"/>
                <w:szCs w:val="20"/>
                <w:color w:val="auto"/>
              </w:rPr>
            </w:pPr>
            <w:r>
              <w:rPr>
                <w:rFonts w:ascii="Arial" w:cs="Arial" w:eastAsia="Arial" w:hAnsi="Arial"/>
                <w:sz w:val="11"/>
                <w:szCs w:val="11"/>
                <w:b w:val="1"/>
                <w:bCs w:val="1"/>
                <w:color w:val="auto"/>
              </w:rPr>
              <w:t>MICHAEL R. COLE</w:t>
            </w:r>
          </w:p>
        </w:tc>
        <w:tc>
          <w:tcPr>
            <w:tcW w:w="1480" w:type="dxa"/>
            <w:vAlign w:val="bottom"/>
          </w:tcPr>
          <w:p>
            <w:pPr>
              <w:ind w:left="180"/>
              <w:spacing w:after="0"/>
              <w:rPr>
                <w:sz w:val="20"/>
                <w:szCs w:val="20"/>
                <w:color w:val="auto"/>
              </w:rPr>
            </w:pPr>
            <w:r>
              <w:rPr>
                <w:rFonts w:ascii="Arial" w:cs="Arial" w:eastAsia="Arial" w:hAnsi="Arial"/>
                <w:sz w:val="11"/>
                <w:szCs w:val="11"/>
                <w:b w:val="1"/>
                <w:bCs w:val="1"/>
                <w:color w:val="auto"/>
              </w:rPr>
              <w:t>PATRICK M. BENTON</w:t>
            </w:r>
          </w:p>
        </w:tc>
        <w:tc>
          <w:tcPr>
            <w:tcW w:w="1740" w:type="dxa"/>
            <w:vAlign w:val="bottom"/>
          </w:tcPr>
          <w:p>
            <w:pPr>
              <w:ind w:left="180"/>
              <w:spacing w:after="0"/>
              <w:rPr>
                <w:sz w:val="20"/>
                <w:szCs w:val="20"/>
                <w:color w:val="auto"/>
              </w:rPr>
            </w:pPr>
            <w:r>
              <w:rPr>
                <w:rFonts w:ascii="Arial" w:cs="Arial" w:eastAsia="Arial" w:hAnsi="Arial"/>
                <w:sz w:val="11"/>
                <w:szCs w:val="11"/>
                <w:b w:val="1"/>
                <w:bCs w:val="1"/>
                <w:color w:val="auto"/>
              </w:rPr>
              <w:t>SCOTT A. WORTHINGTON</w:t>
            </w:r>
          </w:p>
        </w:tc>
        <w:tc>
          <w:tcPr>
            <w:tcW w:w="1440" w:type="dxa"/>
            <w:vAlign w:val="bottom"/>
          </w:tcPr>
          <w:p>
            <w:pPr>
              <w:ind w:left="200"/>
              <w:spacing w:after="0"/>
              <w:rPr>
                <w:sz w:val="20"/>
                <w:szCs w:val="20"/>
                <w:color w:val="auto"/>
              </w:rPr>
            </w:pPr>
            <w:r>
              <w:rPr>
                <w:rFonts w:ascii="Arial" w:cs="Arial" w:eastAsia="Arial" w:hAnsi="Arial"/>
                <w:sz w:val="11"/>
                <w:szCs w:val="11"/>
                <w:b w:val="1"/>
                <w:bCs w:val="1"/>
                <w:color w:val="auto"/>
                <w:w w:val="95"/>
              </w:rPr>
              <w:t>WILLIAM D. SCHWARTZ</w:t>
            </w:r>
          </w:p>
        </w:tc>
      </w:tr>
      <w:tr>
        <w:trPr>
          <w:trHeight w:val="95"/>
        </w:trPr>
        <w:tc>
          <w:tcPr>
            <w:tcW w:w="188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1340" w:type="dxa"/>
            <w:vAlign w:val="bottom"/>
            <w:tcBorders>
              <w:bottom w:val="single" w:sz="8" w:color="017B52"/>
            </w:tcBorders>
          </w:tcPr>
          <w:p>
            <w:pPr>
              <w:spacing w:after="0"/>
              <w:rPr>
                <w:sz w:val="8"/>
                <w:szCs w:val="8"/>
                <w:color w:val="auto"/>
              </w:rPr>
            </w:pPr>
          </w:p>
        </w:tc>
        <w:tc>
          <w:tcPr>
            <w:tcW w:w="1480" w:type="dxa"/>
            <w:vAlign w:val="bottom"/>
            <w:tcBorders>
              <w:bottom w:val="single" w:sz="8" w:color="017B52"/>
            </w:tcBorders>
          </w:tcPr>
          <w:p>
            <w:pPr>
              <w:spacing w:after="0"/>
              <w:rPr>
                <w:sz w:val="8"/>
                <w:szCs w:val="8"/>
                <w:color w:val="auto"/>
              </w:rPr>
            </w:pPr>
          </w:p>
        </w:tc>
        <w:tc>
          <w:tcPr>
            <w:tcW w:w="1740" w:type="dxa"/>
            <w:vAlign w:val="bottom"/>
            <w:tcBorders>
              <w:bottom w:val="single" w:sz="8" w:color="017B52"/>
            </w:tcBorders>
          </w:tcPr>
          <w:p>
            <w:pPr>
              <w:spacing w:after="0"/>
              <w:rPr>
                <w:sz w:val="8"/>
                <w:szCs w:val="8"/>
                <w:color w:val="auto"/>
              </w:rPr>
            </w:pPr>
          </w:p>
        </w:tc>
        <w:tc>
          <w:tcPr>
            <w:tcW w:w="1440" w:type="dxa"/>
            <w:vAlign w:val="bottom"/>
            <w:tcBorders>
              <w:bottom w:val="single" w:sz="8" w:color="017B52"/>
            </w:tcBorders>
          </w:tcPr>
          <w:p>
            <w:pPr>
              <w:spacing w:after="0"/>
              <w:rPr>
                <w:sz w:val="8"/>
                <w:szCs w:val="8"/>
                <w:color w:val="auto"/>
              </w:rPr>
            </w:pPr>
          </w:p>
        </w:tc>
      </w:tr>
      <w:tr>
        <w:trPr>
          <w:trHeight w:val="259"/>
        </w:trPr>
        <w:tc>
          <w:tcPr>
            <w:tcW w:w="1880" w:type="dxa"/>
            <w:vAlign w:val="bottom"/>
          </w:tcPr>
          <w:p>
            <w:pPr>
              <w:ind w:left="40"/>
              <w:spacing w:after="0"/>
              <w:rPr>
                <w:sz w:val="20"/>
                <w:szCs w:val="20"/>
                <w:color w:val="auto"/>
              </w:rPr>
            </w:pPr>
            <w:r>
              <w:rPr>
                <w:rFonts w:ascii="Arial" w:cs="Arial" w:eastAsia="Arial" w:hAnsi="Arial"/>
                <w:sz w:val="13"/>
                <w:szCs w:val="13"/>
                <w:b w:val="1"/>
                <w:bCs w:val="1"/>
                <w:color w:val="017B52"/>
              </w:rPr>
              <w:t>Shares subject to five-year</w:t>
            </w:r>
          </w:p>
        </w:tc>
        <w:tc>
          <w:tcPr>
            <w:tcW w:w="1520" w:type="dxa"/>
            <w:vAlign w:val="bottom"/>
          </w:tcPr>
          <w:p>
            <w:pPr>
              <w:jc w:val="right"/>
              <w:ind w:right="500"/>
              <w:spacing w:after="0"/>
              <w:rPr>
                <w:sz w:val="20"/>
                <w:szCs w:val="20"/>
                <w:color w:val="auto"/>
              </w:rPr>
            </w:pPr>
            <w:r>
              <w:rPr>
                <w:rFonts w:ascii="Arial" w:cs="Arial" w:eastAsia="Arial" w:hAnsi="Arial"/>
                <w:sz w:val="13"/>
                <w:szCs w:val="13"/>
                <w:color w:val="auto"/>
              </w:rPr>
              <w:t>45,235</w:t>
            </w:r>
          </w:p>
        </w:tc>
        <w:tc>
          <w:tcPr>
            <w:tcW w:w="1340" w:type="dxa"/>
            <w:vAlign w:val="bottom"/>
          </w:tcPr>
          <w:p>
            <w:pPr>
              <w:jc w:val="right"/>
              <w:ind w:right="420"/>
              <w:spacing w:after="0"/>
              <w:rPr>
                <w:sz w:val="20"/>
                <w:szCs w:val="20"/>
                <w:color w:val="auto"/>
              </w:rPr>
            </w:pPr>
            <w:r>
              <w:rPr>
                <w:rFonts w:ascii="Arial" w:cs="Arial" w:eastAsia="Arial" w:hAnsi="Arial"/>
                <w:sz w:val="13"/>
                <w:szCs w:val="13"/>
                <w:color w:val="auto"/>
              </w:rPr>
              <w:t>22,118</w:t>
            </w:r>
          </w:p>
        </w:tc>
        <w:tc>
          <w:tcPr>
            <w:tcW w:w="1480" w:type="dxa"/>
            <w:vAlign w:val="bottom"/>
          </w:tcPr>
          <w:p>
            <w:pPr>
              <w:jc w:val="right"/>
              <w:ind w:right="500"/>
              <w:spacing w:after="0"/>
              <w:rPr>
                <w:sz w:val="20"/>
                <w:szCs w:val="20"/>
                <w:color w:val="auto"/>
              </w:rPr>
            </w:pPr>
            <w:r>
              <w:rPr>
                <w:rFonts w:ascii="Arial" w:cs="Arial" w:eastAsia="Arial" w:hAnsi="Arial"/>
                <w:sz w:val="13"/>
                <w:szCs w:val="13"/>
                <w:color w:val="auto"/>
              </w:rPr>
              <w:t>11,751</w:t>
            </w:r>
          </w:p>
        </w:tc>
        <w:tc>
          <w:tcPr>
            <w:tcW w:w="1740" w:type="dxa"/>
            <w:vAlign w:val="bottom"/>
          </w:tcPr>
          <w:p>
            <w:pPr>
              <w:jc w:val="right"/>
              <w:ind w:right="640"/>
              <w:spacing w:after="0"/>
              <w:rPr>
                <w:sz w:val="20"/>
                <w:szCs w:val="20"/>
                <w:color w:val="auto"/>
              </w:rPr>
            </w:pPr>
            <w:r>
              <w:rPr>
                <w:rFonts w:ascii="Arial" w:cs="Arial" w:eastAsia="Arial" w:hAnsi="Arial"/>
                <w:sz w:val="13"/>
                <w:szCs w:val="13"/>
                <w:color w:val="auto"/>
              </w:rPr>
              <w:t>10,174</w:t>
            </w:r>
          </w:p>
        </w:tc>
        <w:tc>
          <w:tcPr>
            <w:tcW w:w="1440" w:type="dxa"/>
            <w:vAlign w:val="bottom"/>
          </w:tcPr>
          <w:p>
            <w:pPr>
              <w:jc w:val="right"/>
              <w:ind w:right="420"/>
              <w:spacing w:after="0"/>
              <w:rPr>
                <w:sz w:val="20"/>
                <w:szCs w:val="20"/>
                <w:color w:val="auto"/>
              </w:rPr>
            </w:pPr>
            <w:r>
              <w:rPr>
                <w:rFonts w:ascii="Arial" w:cs="Arial" w:eastAsia="Arial" w:hAnsi="Arial"/>
                <w:sz w:val="13"/>
                <w:szCs w:val="13"/>
                <w:color w:val="auto"/>
              </w:rPr>
              <w:t>8,779</w:t>
            </w:r>
          </w:p>
        </w:tc>
      </w:tr>
      <w:tr>
        <w:trPr>
          <w:trHeight w:val="172"/>
        </w:trPr>
        <w:tc>
          <w:tcPr>
            <w:tcW w:w="1880" w:type="dxa"/>
            <w:vAlign w:val="bottom"/>
          </w:tcPr>
          <w:p>
            <w:pPr>
              <w:ind w:left="40"/>
              <w:spacing w:after="0"/>
              <w:rPr>
                <w:sz w:val="20"/>
                <w:szCs w:val="20"/>
                <w:color w:val="auto"/>
              </w:rPr>
            </w:pPr>
            <w:r>
              <w:rPr>
                <w:rFonts w:ascii="Arial" w:cs="Arial" w:eastAsia="Arial" w:hAnsi="Arial"/>
                <w:sz w:val="13"/>
                <w:szCs w:val="13"/>
                <w:b w:val="1"/>
                <w:bCs w:val="1"/>
                <w:color w:val="017B52"/>
              </w:rPr>
              <w:t>cliff vesting</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03"/>
        </w:trPr>
        <w:tc>
          <w:tcPr>
            <w:tcW w:w="188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1340" w:type="dxa"/>
            <w:vAlign w:val="bottom"/>
            <w:tcBorders>
              <w:bottom w:val="single" w:sz="8" w:color="017B52"/>
            </w:tcBorders>
          </w:tcPr>
          <w:p>
            <w:pPr>
              <w:spacing w:after="0"/>
              <w:rPr>
                <w:sz w:val="8"/>
                <w:szCs w:val="8"/>
                <w:color w:val="auto"/>
              </w:rPr>
            </w:pPr>
          </w:p>
        </w:tc>
        <w:tc>
          <w:tcPr>
            <w:tcW w:w="1480" w:type="dxa"/>
            <w:vAlign w:val="bottom"/>
            <w:tcBorders>
              <w:bottom w:val="single" w:sz="8" w:color="017B52"/>
            </w:tcBorders>
          </w:tcPr>
          <w:p>
            <w:pPr>
              <w:spacing w:after="0"/>
              <w:rPr>
                <w:sz w:val="8"/>
                <w:szCs w:val="8"/>
                <w:color w:val="auto"/>
              </w:rPr>
            </w:pPr>
          </w:p>
        </w:tc>
        <w:tc>
          <w:tcPr>
            <w:tcW w:w="1740" w:type="dxa"/>
            <w:vAlign w:val="bottom"/>
            <w:tcBorders>
              <w:bottom w:val="single" w:sz="8" w:color="017B52"/>
            </w:tcBorders>
          </w:tcPr>
          <w:p>
            <w:pPr>
              <w:spacing w:after="0"/>
              <w:rPr>
                <w:sz w:val="8"/>
                <w:szCs w:val="8"/>
                <w:color w:val="auto"/>
              </w:rPr>
            </w:pPr>
          </w:p>
        </w:tc>
        <w:tc>
          <w:tcPr>
            <w:tcW w:w="1440" w:type="dxa"/>
            <w:vAlign w:val="bottom"/>
            <w:tcBorders>
              <w:bottom w:val="single" w:sz="8" w:color="017B52"/>
            </w:tcBorders>
          </w:tcPr>
          <w:p>
            <w:pPr>
              <w:spacing w:after="0"/>
              <w:rPr>
                <w:sz w:val="8"/>
                <w:szCs w:val="8"/>
                <w:color w:val="auto"/>
              </w:rPr>
            </w:pPr>
          </w:p>
        </w:tc>
      </w:tr>
      <w:tr>
        <w:trPr>
          <w:trHeight w:val="255"/>
        </w:trPr>
        <w:tc>
          <w:tcPr>
            <w:tcW w:w="1880" w:type="dxa"/>
            <w:vAlign w:val="bottom"/>
          </w:tcPr>
          <w:p>
            <w:pPr>
              <w:ind w:left="40"/>
              <w:spacing w:after="0"/>
              <w:rPr>
                <w:sz w:val="20"/>
                <w:szCs w:val="20"/>
                <w:color w:val="auto"/>
              </w:rPr>
            </w:pPr>
            <w:r>
              <w:rPr>
                <w:rFonts w:ascii="Arial" w:cs="Arial" w:eastAsia="Arial" w:hAnsi="Arial"/>
                <w:sz w:val="13"/>
                <w:szCs w:val="13"/>
                <w:b w:val="1"/>
                <w:bCs w:val="1"/>
                <w:color w:val="017B52"/>
              </w:rPr>
              <w:t>Performance Units</w:t>
            </w:r>
          </w:p>
        </w:tc>
        <w:tc>
          <w:tcPr>
            <w:tcW w:w="1520" w:type="dxa"/>
            <w:vAlign w:val="bottom"/>
          </w:tcPr>
          <w:p>
            <w:pPr>
              <w:jc w:val="right"/>
              <w:ind w:right="540"/>
              <w:spacing w:after="0"/>
              <w:rPr>
                <w:sz w:val="20"/>
                <w:szCs w:val="20"/>
                <w:color w:val="auto"/>
              </w:rPr>
            </w:pPr>
            <w:r>
              <w:rPr>
                <w:rFonts w:ascii="Arial" w:cs="Arial" w:eastAsia="Arial" w:hAnsi="Arial"/>
                <w:sz w:val="13"/>
                <w:szCs w:val="13"/>
                <w:color w:val="auto"/>
              </w:rPr>
              <w:t>5,026</w:t>
            </w:r>
          </w:p>
        </w:tc>
        <w:tc>
          <w:tcPr>
            <w:tcW w:w="1340" w:type="dxa"/>
            <w:vAlign w:val="bottom"/>
          </w:tcPr>
          <w:p>
            <w:pPr>
              <w:jc w:val="right"/>
              <w:ind w:right="460"/>
              <w:spacing w:after="0"/>
              <w:rPr>
                <w:sz w:val="20"/>
                <w:szCs w:val="20"/>
                <w:color w:val="auto"/>
              </w:rPr>
            </w:pPr>
            <w:r>
              <w:rPr>
                <w:rFonts w:ascii="Arial" w:cs="Arial" w:eastAsia="Arial" w:hAnsi="Arial"/>
                <w:sz w:val="13"/>
                <w:szCs w:val="13"/>
                <w:color w:val="auto"/>
              </w:rPr>
              <w:t>2,457</w:t>
            </w:r>
          </w:p>
        </w:tc>
        <w:tc>
          <w:tcPr>
            <w:tcW w:w="1480" w:type="dxa"/>
            <w:vAlign w:val="bottom"/>
          </w:tcPr>
          <w:p>
            <w:pPr>
              <w:jc w:val="right"/>
              <w:ind w:right="540"/>
              <w:spacing w:after="0"/>
              <w:rPr>
                <w:sz w:val="20"/>
                <w:szCs w:val="20"/>
                <w:color w:val="auto"/>
              </w:rPr>
            </w:pPr>
            <w:r>
              <w:rPr>
                <w:rFonts w:ascii="Arial" w:cs="Arial" w:eastAsia="Arial" w:hAnsi="Arial"/>
                <w:sz w:val="13"/>
                <w:szCs w:val="13"/>
                <w:color w:val="auto"/>
              </w:rPr>
              <w:t>1,305</w:t>
            </w:r>
          </w:p>
        </w:tc>
        <w:tc>
          <w:tcPr>
            <w:tcW w:w="1740" w:type="dxa"/>
            <w:vAlign w:val="bottom"/>
          </w:tcPr>
          <w:p>
            <w:pPr>
              <w:jc w:val="right"/>
              <w:ind w:right="660"/>
              <w:spacing w:after="0"/>
              <w:rPr>
                <w:sz w:val="20"/>
                <w:szCs w:val="20"/>
                <w:color w:val="auto"/>
              </w:rPr>
            </w:pPr>
            <w:r>
              <w:rPr>
                <w:rFonts w:ascii="Arial" w:cs="Arial" w:eastAsia="Arial" w:hAnsi="Arial"/>
                <w:sz w:val="13"/>
                <w:szCs w:val="13"/>
                <w:color w:val="auto"/>
              </w:rPr>
              <w:t>1,130</w:t>
            </w:r>
          </w:p>
        </w:tc>
        <w:tc>
          <w:tcPr>
            <w:tcW w:w="1440" w:type="dxa"/>
            <w:vAlign w:val="bottom"/>
          </w:tcPr>
          <w:p>
            <w:pPr>
              <w:jc w:val="right"/>
              <w:ind w:right="480"/>
              <w:spacing w:after="0"/>
              <w:rPr>
                <w:sz w:val="20"/>
                <w:szCs w:val="20"/>
                <w:color w:val="auto"/>
              </w:rPr>
            </w:pPr>
            <w:r>
              <w:rPr>
                <w:rFonts w:ascii="Arial" w:cs="Arial" w:eastAsia="Arial" w:hAnsi="Arial"/>
                <w:sz w:val="13"/>
                <w:szCs w:val="13"/>
                <w:color w:val="auto"/>
              </w:rPr>
              <w:t>975</w:t>
            </w:r>
          </w:p>
        </w:tc>
      </w:tr>
      <w:tr>
        <w:trPr>
          <w:trHeight w:val="89"/>
        </w:trPr>
        <w:tc>
          <w:tcPr>
            <w:tcW w:w="1880" w:type="dxa"/>
            <w:vAlign w:val="bottom"/>
            <w:tcBorders>
              <w:bottom w:val="single" w:sz="8" w:color="017B52"/>
            </w:tcBorders>
          </w:tcPr>
          <w:p>
            <w:pPr>
              <w:spacing w:after="0"/>
              <w:rPr>
                <w:sz w:val="7"/>
                <w:szCs w:val="7"/>
                <w:color w:val="auto"/>
              </w:rPr>
            </w:pPr>
          </w:p>
        </w:tc>
        <w:tc>
          <w:tcPr>
            <w:tcW w:w="1520" w:type="dxa"/>
            <w:vAlign w:val="bottom"/>
            <w:tcBorders>
              <w:bottom w:val="single" w:sz="8" w:color="017B52"/>
            </w:tcBorders>
          </w:tcPr>
          <w:p>
            <w:pPr>
              <w:spacing w:after="0"/>
              <w:rPr>
                <w:sz w:val="7"/>
                <w:szCs w:val="7"/>
                <w:color w:val="auto"/>
              </w:rPr>
            </w:pPr>
          </w:p>
        </w:tc>
        <w:tc>
          <w:tcPr>
            <w:tcW w:w="134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7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r>
    </w:tbl>
    <w:p>
      <w:pPr>
        <w:spacing w:after="0" w:line="28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b w:val="1"/>
          <w:bCs w:val="1"/>
          <w:i w:val="1"/>
          <w:iCs w:val="1"/>
          <w:color w:val="auto"/>
        </w:rPr>
        <w:t xml:space="preserve">Minimum Stock Ownership Policy. </w:t>
      </w:r>
      <w:r>
        <w:rPr>
          <w:rFonts w:ascii="Arial" w:cs="Arial" w:eastAsia="Arial" w:hAnsi="Arial"/>
          <w:sz w:val="16"/>
          <w:szCs w:val="16"/>
          <w:color w:val="auto"/>
        </w:rPr>
        <w:t>We encourage and promote ownership of Company stock by our employees and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have a Minimum Stock Ownership Policy that sets requirements for ownership of our common stock by our key employees and independent directors,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3280" w:type="dxa"/>
            <w:vAlign w:val="bottom"/>
          </w:tcPr>
          <w:p>
            <w:pPr>
              <w:jc w:val="right"/>
              <w:spacing w:after="0"/>
              <w:rPr>
                <w:sz w:val="20"/>
                <w:szCs w:val="20"/>
                <w:color w:val="auto"/>
              </w:rPr>
            </w:pPr>
            <w:r>
              <w:rPr>
                <w:rFonts w:ascii="Arial" w:cs="Arial" w:eastAsia="Arial" w:hAnsi="Arial"/>
                <w:sz w:val="11"/>
                <w:szCs w:val="11"/>
                <w:b w:val="1"/>
                <w:bCs w:val="1"/>
                <w:color w:val="auto"/>
              </w:rPr>
              <w:t>COMPANY STOCK OWNERSHIP REQUIREMENT</w:t>
            </w:r>
          </w:p>
        </w:tc>
      </w:tr>
      <w:tr>
        <w:trPr>
          <w:trHeight w:val="95"/>
        </w:trPr>
        <w:tc>
          <w:tcPr>
            <w:tcW w:w="6120" w:type="dxa"/>
            <w:vAlign w:val="bottom"/>
            <w:tcBorders>
              <w:bottom w:val="single" w:sz="8" w:color="017B52"/>
            </w:tcBorders>
          </w:tcPr>
          <w:p>
            <w:pPr>
              <w:spacing w:after="0"/>
              <w:rPr>
                <w:sz w:val="8"/>
                <w:szCs w:val="8"/>
                <w:color w:val="auto"/>
              </w:rPr>
            </w:pPr>
          </w:p>
        </w:tc>
        <w:tc>
          <w:tcPr>
            <w:tcW w:w="3280" w:type="dxa"/>
            <w:vAlign w:val="bottom"/>
            <w:tcBorders>
              <w:bottom w:val="single" w:sz="8" w:color="017B52"/>
            </w:tcBorders>
          </w:tcPr>
          <w:p>
            <w:pPr>
              <w:spacing w:after="0"/>
              <w:rPr>
                <w:sz w:val="8"/>
                <w:szCs w:val="8"/>
                <w:color w:val="auto"/>
              </w:rPr>
            </w:pPr>
          </w:p>
        </w:tc>
      </w:tr>
      <w:tr>
        <w:trPr>
          <w:trHeight w:val="255"/>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Officers</w:t>
            </w:r>
          </w:p>
        </w:tc>
        <w:tc>
          <w:tcPr>
            <w:tcW w:w="3280" w:type="dxa"/>
            <w:vAlign w:val="bottom"/>
          </w:tcPr>
          <w:p>
            <w:pPr>
              <w:jc w:val="right"/>
              <w:spacing w:after="0"/>
              <w:rPr>
                <w:sz w:val="20"/>
                <w:szCs w:val="20"/>
                <w:color w:val="auto"/>
              </w:rPr>
            </w:pPr>
            <w:r>
              <w:rPr>
                <w:rFonts w:ascii="Arial" w:cs="Arial" w:eastAsia="Arial" w:hAnsi="Arial"/>
                <w:sz w:val="13"/>
                <w:szCs w:val="13"/>
                <w:color w:val="auto"/>
              </w:rPr>
              <w:t>$200,000</w:t>
            </w:r>
          </w:p>
        </w:tc>
      </w:tr>
      <w:tr>
        <w:trPr>
          <w:trHeight w:val="89"/>
        </w:trPr>
        <w:tc>
          <w:tcPr>
            <w:tcW w:w="6120" w:type="dxa"/>
            <w:vAlign w:val="bottom"/>
            <w:tcBorders>
              <w:bottom w:val="single" w:sz="8" w:color="017B52"/>
            </w:tcBorders>
          </w:tcPr>
          <w:p>
            <w:pPr>
              <w:spacing w:after="0"/>
              <w:rPr>
                <w:sz w:val="7"/>
                <w:szCs w:val="7"/>
                <w:color w:val="auto"/>
              </w:rPr>
            </w:pPr>
          </w:p>
        </w:tc>
        <w:tc>
          <w:tcPr>
            <w:tcW w:w="3280" w:type="dxa"/>
            <w:vAlign w:val="bottom"/>
            <w:tcBorders>
              <w:bottom w:val="single" w:sz="8" w:color="017B52"/>
            </w:tcBorders>
          </w:tcPr>
          <w:p>
            <w:pPr>
              <w:spacing w:after="0"/>
              <w:rPr>
                <w:sz w:val="7"/>
                <w:szCs w:val="7"/>
                <w:color w:val="auto"/>
              </w:rPr>
            </w:pPr>
          </w:p>
        </w:tc>
      </w:tr>
      <w:tr>
        <w:trPr>
          <w:trHeight w:val="219"/>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General Managers of Operations, Managing Directors, Regional Sales Managers,</w:t>
            </w:r>
          </w:p>
        </w:tc>
        <w:tc>
          <w:tcPr>
            <w:tcW w:w="328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135"/>
        </w:trPr>
        <w:tc>
          <w:tcPr>
            <w:tcW w:w="6120" w:type="dxa"/>
            <w:vAlign w:val="bottom"/>
          </w:tcPr>
          <w:p>
            <w:pPr>
              <w:ind w:left="40"/>
              <w:spacing w:after="0" w:line="135" w:lineRule="exact"/>
              <w:rPr>
                <w:sz w:val="20"/>
                <w:szCs w:val="20"/>
                <w:color w:val="auto"/>
              </w:rPr>
            </w:pPr>
            <w:r>
              <w:rPr>
                <w:rFonts w:ascii="Arial" w:cs="Arial" w:eastAsia="Arial" w:hAnsi="Arial"/>
                <w:sz w:val="13"/>
                <w:szCs w:val="13"/>
                <w:b w:val="1"/>
                <w:bCs w:val="1"/>
                <w:color w:val="017B52"/>
              </w:rPr>
              <w:t>Operations Managers, Corporate Directors, National Sales Directors, Segment/ Business</w:t>
            </w:r>
          </w:p>
        </w:tc>
        <w:tc>
          <w:tcPr>
            <w:tcW w:w="3280" w:type="dxa"/>
            <w:vAlign w:val="bottom"/>
          </w:tcPr>
          <w:p>
            <w:pPr>
              <w:spacing w:after="0"/>
              <w:rPr>
                <w:sz w:val="11"/>
                <w:szCs w:val="11"/>
                <w:color w:val="auto"/>
              </w:rPr>
            </w:pPr>
          </w:p>
        </w:tc>
      </w:tr>
      <w:tr>
        <w:trPr>
          <w:trHeight w:val="172"/>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Unit Directors, Segment Controllers</w:t>
            </w:r>
          </w:p>
        </w:tc>
        <w:tc>
          <w:tcPr>
            <w:tcW w:w="3280" w:type="dxa"/>
            <w:vAlign w:val="bottom"/>
          </w:tcPr>
          <w:p>
            <w:pPr>
              <w:spacing w:after="0"/>
              <w:rPr>
                <w:sz w:val="14"/>
                <w:szCs w:val="14"/>
                <w:color w:val="auto"/>
              </w:rPr>
            </w:pPr>
          </w:p>
        </w:tc>
      </w:tr>
      <w:tr>
        <w:trPr>
          <w:trHeight w:val="89"/>
        </w:trPr>
        <w:tc>
          <w:tcPr>
            <w:tcW w:w="6120" w:type="dxa"/>
            <w:vAlign w:val="bottom"/>
            <w:tcBorders>
              <w:bottom w:val="single" w:sz="8" w:color="017B52"/>
            </w:tcBorders>
          </w:tcPr>
          <w:p>
            <w:pPr>
              <w:spacing w:after="0"/>
              <w:rPr>
                <w:sz w:val="7"/>
                <w:szCs w:val="7"/>
                <w:color w:val="auto"/>
              </w:rPr>
            </w:pPr>
          </w:p>
        </w:tc>
        <w:tc>
          <w:tcPr>
            <w:tcW w:w="3280" w:type="dxa"/>
            <w:vAlign w:val="bottom"/>
            <w:tcBorders>
              <w:bottom w:val="single" w:sz="8" w:color="017B52"/>
            </w:tcBorders>
          </w:tcPr>
          <w:p>
            <w:pPr>
              <w:spacing w:after="0"/>
              <w:rPr>
                <w:sz w:val="7"/>
                <w:szCs w:val="7"/>
                <w:color w:val="auto"/>
              </w:rPr>
            </w:pPr>
          </w:p>
        </w:tc>
      </w:tr>
      <w:tr>
        <w:trPr>
          <w:trHeight w:val="219"/>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Plant Managers, Corporate Senior Managers, Purchasing/ Transportation Managers,</w:t>
            </w:r>
          </w:p>
        </w:tc>
        <w:tc>
          <w:tcPr>
            <w:tcW w:w="328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72"/>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Regional Safety Directors</w:t>
            </w:r>
          </w:p>
        </w:tc>
        <w:tc>
          <w:tcPr>
            <w:tcW w:w="3280" w:type="dxa"/>
            <w:vAlign w:val="bottom"/>
          </w:tcPr>
          <w:p>
            <w:pPr>
              <w:spacing w:after="0"/>
              <w:rPr>
                <w:sz w:val="14"/>
                <w:szCs w:val="14"/>
                <w:color w:val="auto"/>
              </w:rPr>
            </w:pPr>
          </w:p>
        </w:tc>
      </w:tr>
      <w:tr>
        <w:trPr>
          <w:trHeight w:val="89"/>
        </w:trPr>
        <w:tc>
          <w:tcPr>
            <w:tcW w:w="6120" w:type="dxa"/>
            <w:vAlign w:val="bottom"/>
            <w:tcBorders>
              <w:bottom w:val="single" w:sz="8" w:color="017B52"/>
            </w:tcBorders>
          </w:tcPr>
          <w:p>
            <w:pPr>
              <w:spacing w:after="0"/>
              <w:rPr>
                <w:sz w:val="7"/>
                <w:szCs w:val="7"/>
                <w:color w:val="auto"/>
              </w:rPr>
            </w:pPr>
          </w:p>
        </w:tc>
        <w:tc>
          <w:tcPr>
            <w:tcW w:w="3280" w:type="dxa"/>
            <w:vAlign w:val="bottom"/>
            <w:tcBorders>
              <w:bottom w:val="single" w:sz="8" w:color="017B52"/>
            </w:tcBorders>
          </w:tcPr>
          <w:p>
            <w:pPr>
              <w:spacing w:after="0"/>
              <w:rPr>
                <w:sz w:val="7"/>
                <w:szCs w:val="7"/>
                <w:color w:val="auto"/>
              </w:rPr>
            </w:pPr>
          </w:p>
        </w:tc>
      </w:tr>
      <w:tr>
        <w:trPr>
          <w:trHeight w:val="255"/>
        </w:trPr>
        <w:tc>
          <w:tcPr>
            <w:tcW w:w="6120" w:type="dxa"/>
            <w:vAlign w:val="bottom"/>
          </w:tcPr>
          <w:p>
            <w:pPr>
              <w:ind w:left="40"/>
              <w:spacing w:after="0"/>
              <w:rPr>
                <w:sz w:val="20"/>
                <w:szCs w:val="20"/>
                <w:color w:val="auto"/>
              </w:rPr>
            </w:pPr>
            <w:r>
              <w:rPr>
                <w:rFonts w:ascii="Arial" w:cs="Arial" w:eastAsia="Arial" w:hAnsi="Arial"/>
                <w:sz w:val="13"/>
                <w:szCs w:val="13"/>
                <w:b w:val="1"/>
                <w:bCs w:val="1"/>
                <w:color w:val="017B52"/>
              </w:rPr>
              <w:t>Independent Directors</w:t>
            </w:r>
          </w:p>
        </w:tc>
        <w:tc>
          <w:tcPr>
            <w:tcW w:w="3280" w:type="dxa"/>
            <w:vAlign w:val="bottom"/>
          </w:tcPr>
          <w:p>
            <w:pPr>
              <w:jc w:val="right"/>
              <w:spacing w:after="0"/>
              <w:rPr>
                <w:sz w:val="20"/>
                <w:szCs w:val="20"/>
                <w:color w:val="auto"/>
              </w:rPr>
            </w:pPr>
            <w:r>
              <w:rPr>
                <w:rFonts w:ascii="Arial" w:cs="Arial" w:eastAsia="Arial" w:hAnsi="Arial"/>
                <w:sz w:val="13"/>
                <w:szCs w:val="13"/>
                <w:color w:val="auto"/>
              </w:rPr>
              <w:t>7,500 shares</w:t>
            </w:r>
          </w:p>
        </w:tc>
      </w:tr>
      <w:tr>
        <w:trPr>
          <w:trHeight w:val="89"/>
        </w:trPr>
        <w:tc>
          <w:tcPr>
            <w:tcW w:w="6120" w:type="dxa"/>
            <w:vAlign w:val="bottom"/>
            <w:tcBorders>
              <w:bottom w:val="single" w:sz="8" w:color="017B52"/>
            </w:tcBorders>
          </w:tcPr>
          <w:p>
            <w:pPr>
              <w:spacing w:after="0"/>
              <w:rPr>
                <w:sz w:val="7"/>
                <w:szCs w:val="7"/>
                <w:color w:val="auto"/>
              </w:rPr>
            </w:pPr>
          </w:p>
        </w:tc>
        <w:tc>
          <w:tcPr>
            <w:tcW w:w="3280" w:type="dxa"/>
            <w:vAlign w:val="bottom"/>
            <w:tcBorders>
              <w:bottom w:val="single" w:sz="8" w:color="017B52"/>
            </w:tcBorders>
          </w:tcPr>
          <w:p>
            <w:pPr>
              <w:spacing w:after="0"/>
              <w:rPr>
                <w:sz w:val="7"/>
                <w:szCs w:val="7"/>
                <w:color w:val="auto"/>
              </w:rPr>
            </w:pPr>
          </w:p>
        </w:tc>
      </w:tr>
    </w:tbl>
    <w:p>
      <w:pPr>
        <w:spacing w:after="0" w:line="2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We maintain a Deferred Compensation Plan (“DCP”) which allows key employees to defer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their salary and/or cash incentive compensation. Our Named Executives may not defer more than $15,000 of salary or more than $100,000 of incentive compensation per year.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All amounts deferred to the DCP that are invested in our common stock are invested at a price per share representing a 15% discount to the prevailing market price of our stock. In general, each employee receives a payout of his or her DCP account one year from the date he or she terminates employment with our Company, unless termination of employment is due to retirement, death or change in control, in which case the employee or his or her beneficiary may receive the distribution earlier, subject to DCP provisions.</w:t>
      </w:r>
    </w:p>
    <w:p>
      <w:pPr>
        <w:spacing w:after="0" w:line="34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Executive Stock Grant Program. </w:t>
      </w:r>
      <w:r>
        <w:rPr>
          <w:rFonts w:ascii="Arial" w:cs="Arial" w:eastAsia="Arial" w:hAnsi="Arial"/>
          <w:sz w:val="16"/>
          <w:szCs w:val="16"/>
          <w:color w:val="auto"/>
        </w:rPr>
        <w:t>Our Company maintains an Executive Stock Grant Program (the “ESGP”) pursuant to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shares of restricted Company common stock to eligible employees who invest in shares of the Company’s common stock under the DCP. Under the ESGP, approximately $0.85 worth of Company stock is awarded for each $1.00 deferred and invested in Company stock under the DCP (the “Match Shares”). The Match Shares vest in full on the fifth anniversary of the grant date, subject to certain acceleration events.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i w:val="1"/>
          <w:iCs w:val="1"/>
          <w:color w:val="auto"/>
        </w:rPr>
        <w:t xml:space="preserve">Employee Stock Purchase Plan. </w:t>
      </w:r>
      <w:r>
        <w:rPr>
          <w:rFonts w:ascii="Arial" w:cs="Arial" w:eastAsia="Arial" w:hAnsi="Arial"/>
          <w:sz w:val="16"/>
          <w:szCs w:val="16"/>
          <w:color w:val="auto"/>
        </w:rPr>
        <w:t>We have a shareholder-approved Employee Stock Purchase Plan (the “ESPP”) which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employees to make payroll deductions or lump sum contributions,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31</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 xml:space="preserve">Employee Stock Gift Program. </w:t>
      </w:r>
      <w:r>
        <w:rPr>
          <w:rFonts w:ascii="Arial" w:cs="Arial" w:eastAsia="Arial" w:hAnsi="Arial"/>
          <w:sz w:val="16"/>
          <w:szCs w:val="16"/>
          <w:color w:val="auto"/>
        </w:rPr>
        <w:t>We have a Stock Gift Program under which eligible employees receive a modest amount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specified service anniversaries with us.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Executive Retirement Plan. </w:t>
      </w:r>
      <w:r>
        <w:rPr>
          <w:rFonts w:ascii="Arial" w:cs="Arial" w:eastAsia="Arial" w:hAnsi="Arial"/>
          <w:sz w:val="16"/>
          <w:szCs w:val="16"/>
          <w:color w:val="auto"/>
        </w:rPr>
        <w:t>Under our Executive Retirement Plan (the “ERP”), officers with twenty or more years of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and at least ten years of service as an officer are entitled to certain retirement benefits. The ERP provides for a retirement benefit at age 62 or later of 150% of base salary (based upon the executive’s highest annual base salary during the three-year period preceding retirement), and is payable over three years after retirement, death, or disability. Our CEO does not participate in the ERP.</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Our Board has adopted a Clawback Policy that requires the Company to recoup or otherwise recover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paid to the Company’s executive officers in the event of a restatement of the Company’s financial statements, as described in the policy. The Clawback Policy also permits our Board, in its discretion, to recoup certain incentive compensation paid to an executive officer who has engaged in certain improper misconduct, as described in the policy.</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 xml:space="preserve">Say on Pay Results and Shareholder Engagement. </w:t>
      </w:r>
      <w:r>
        <w:rPr>
          <w:rFonts w:ascii="Arial" w:cs="Arial" w:eastAsia="Arial" w:hAnsi="Arial"/>
          <w:sz w:val="16"/>
          <w:szCs w:val="16"/>
          <w:color w:val="auto"/>
        </w:rPr>
        <w:t>Historically, our shareholders have expressed meaningful support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executive compensation practices and programs. As noted above, we have favored a practice of providing modest base salaries, relative to our peers and the market, in return for a greater emphasis on performance-based compensation. Our financial performance over the past several years indicates that this practice has yielded significant benefits for our shareholders (from 2021 through 2023, the Company’s share price has increased 126% and its compound annual growth rate over that three-year period has been 31%). As noted above, at our Annual Meeting of Shareholders of 2023, based on the disclosure of our executive compensation in the proxy statement for that meeting, approximately 95% of the shares voted at that meeting approved of the compensation paid to our Named Executives.</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UFP Industries      32</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Personnel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39"/>
        <w:spacing w:after="0" w:line="266" w:lineRule="auto"/>
        <w:rPr>
          <w:sz w:val="20"/>
          <w:szCs w:val="20"/>
          <w:color w:val="auto"/>
        </w:rPr>
      </w:pPr>
      <w:r>
        <w:rPr>
          <w:rFonts w:ascii="Arial" w:cs="Arial" w:eastAsia="Arial" w:hAnsi="Arial"/>
          <w:sz w:val="16"/>
          <w:szCs w:val="16"/>
          <w:color w:val="auto"/>
        </w:rPr>
        <w:t>The primary purpose of the Personnel and Compensation Committee (the “Committee”) is to assist the Board in discharging its responsibilities related to the compensation of our Company’s executives. The Committee’s responsibilities are more fully described in its Charter, which is available on our website.</w:t>
      </w:r>
    </w:p>
    <w:p>
      <w:pPr>
        <w:spacing w:after="0" w:line="131" w:lineRule="exact"/>
        <w:rPr>
          <w:sz w:val="20"/>
          <w:szCs w:val="20"/>
          <w:color w:val="auto"/>
        </w:rPr>
      </w:pPr>
    </w:p>
    <w:p>
      <w:pPr>
        <w:jc w:val="both"/>
        <w:ind w:right="239"/>
        <w:spacing w:after="0" w:line="266" w:lineRule="auto"/>
        <w:rPr>
          <w:sz w:val="20"/>
          <w:szCs w:val="20"/>
          <w:color w:val="auto"/>
        </w:rPr>
      </w:pPr>
      <w:r>
        <w:rPr>
          <w:rFonts w:ascii="Arial" w:cs="Arial" w:eastAsia="Arial" w:hAnsi="Arial"/>
          <w:sz w:val="16"/>
          <w:szCs w:val="16"/>
          <w:color w:val="auto"/>
        </w:rPr>
        <w:t>The Committee reviewed and discussed with management the Compensation Discussion and Analysis included in this proxy statement. Effective as of March 8, 2024, based upon that review and those discussions, the Committee recommended to our Board of Directors that the Compensation Discussion and Analysis be included in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Thomas W. Rhodes,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Joan A. Budden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Bruce A. Merino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G. Wooldridge</w:t>
      </w:r>
    </w:p>
    <w:p>
      <w:pPr>
        <w:spacing w:after="0" w:line="165" w:lineRule="exact"/>
        <w:rPr>
          <w:sz w:val="20"/>
          <w:szCs w:val="20"/>
          <w:color w:val="auto"/>
        </w:rPr>
      </w:pPr>
    </w:p>
    <w:p>
      <w:pPr>
        <w:ind w:right="59"/>
        <w:spacing w:after="0" w:line="266" w:lineRule="auto"/>
        <w:rPr>
          <w:sz w:val="20"/>
          <w:szCs w:val="20"/>
          <w:color w:val="auto"/>
        </w:rPr>
      </w:pPr>
      <w:r>
        <w:rPr>
          <w:rFonts w:ascii="Arial" w:cs="Arial" w:eastAsia="Arial" w:hAnsi="Arial"/>
          <w:sz w:val="16"/>
          <w:szCs w:val="16"/>
          <w:color w:val="auto"/>
        </w:rPr>
        <w:t>The report of the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UFP Industries      33</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Summary Compensation Table</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includes information regarding the compensation for our Chief Executive Officer, Chief Financial Officer and our three other most highly compensated executive officers for each of our last three fiscal years (the “Named Executives”).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jc w:val="right"/>
              <w:ind w:right="219"/>
              <w:spacing w:after="0"/>
              <w:rPr>
                <w:sz w:val="20"/>
                <w:szCs w:val="20"/>
                <w:color w:val="auto"/>
              </w:rPr>
            </w:pPr>
            <w:r>
              <w:rPr>
                <w:rFonts w:ascii="Arial" w:cs="Arial" w:eastAsia="Arial" w:hAnsi="Arial"/>
                <w:sz w:val="11"/>
                <w:szCs w:val="11"/>
                <w:b w:val="1"/>
                <w:bCs w:val="1"/>
                <w:color w:val="auto"/>
              </w:rPr>
              <w:t>NON-EQUITY</w:t>
            </w:r>
          </w:p>
        </w:tc>
        <w:tc>
          <w:tcPr>
            <w:tcW w:w="1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6"/>
                <w:szCs w:val="16"/>
                <w:b w:val="1"/>
                <w:bCs w:val="1"/>
                <w:color w:val="auto"/>
                <w:vertAlign w:val="superscript"/>
              </w:rPr>
              <w:t>(1)</w:t>
            </w:r>
          </w:p>
        </w:tc>
        <w:tc>
          <w:tcPr>
            <w:tcW w:w="1140" w:type="dxa"/>
            <w:vAlign w:val="bottom"/>
          </w:tcPr>
          <w:p>
            <w:pPr>
              <w:jc w:val="right"/>
              <w:ind w:right="198"/>
              <w:spacing w:after="0" w:line="108" w:lineRule="exact"/>
              <w:rPr>
                <w:sz w:val="20"/>
                <w:szCs w:val="20"/>
                <w:color w:val="auto"/>
              </w:rPr>
            </w:pPr>
            <w:r>
              <w:rPr>
                <w:rFonts w:ascii="Arial" w:cs="Arial" w:eastAsia="Arial" w:hAnsi="Arial"/>
                <w:sz w:val="11"/>
                <w:szCs w:val="11"/>
                <w:b w:val="1"/>
                <w:bCs w:val="1"/>
                <w:color w:val="auto"/>
              </w:rPr>
              <w:t>STOCK</w:t>
            </w:r>
          </w:p>
        </w:tc>
        <w:tc>
          <w:tcPr>
            <w:tcW w:w="1600" w:type="dxa"/>
            <w:vAlign w:val="bottom"/>
          </w:tcPr>
          <w:p>
            <w:pPr>
              <w:jc w:val="right"/>
              <w:ind w:right="219"/>
              <w:spacing w:after="0" w:line="108" w:lineRule="exact"/>
              <w:rPr>
                <w:sz w:val="20"/>
                <w:szCs w:val="20"/>
                <w:color w:val="auto"/>
              </w:rPr>
            </w:pPr>
            <w:r>
              <w:rPr>
                <w:rFonts w:ascii="Arial" w:cs="Arial" w:eastAsia="Arial" w:hAnsi="Arial"/>
                <w:sz w:val="11"/>
                <w:szCs w:val="11"/>
                <w:b w:val="1"/>
                <w:bCs w:val="1"/>
                <w:color w:val="auto"/>
              </w:rPr>
              <w:t>INCENTIVE PLAN</w:t>
            </w:r>
          </w:p>
        </w:tc>
        <w:tc>
          <w:tcPr>
            <w:tcW w:w="1520" w:type="dxa"/>
            <w:vAlign w:val="bottom"/>
          </w:tcPr>
          <w:p>
            <w:pPr>
              <w:jc w:val="right"/>
              <w:ind w:right="218"/>
              <w:spacing w:after="0" w:line="108" w:lineRule="exact"/>
              <w:rPr>
                <w:sz w:val="20"/>
                <w:szCs w:val="20"/>
                <w:color w:val="auto"/>
              </w:rPr>
            </w:pPr>
            <w:r>
              <w:rPr>
                <w:rFonts w:ascii="Arial" w:cs="Arial" w:eastAsia="Arial" w:hAnsi="Arial"/>
                <w:sz w:val="11"/>
                <w:szCs w:val="11"/>
                <w:b w:val="1"/>
                <w:bCs w:val="1"/>
                <w:color w:val="auto"/>
              </w:rPr>
              <w:t>ALL OTHER</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180" w:type="dxa"/>
            <w:vAlign w:val="bottom"/>
          </w:tcPr>
          <w:p>
            <w:pPr>
              <w:ind w:left="40"/>
              <w:spacing w:after="0"/>
              <w:rPr>
                <w:sz w:val="20"/>
                <w:szCs w:val="20"/>
                <w:color w:val="auto"/>
              </w:rPr>
            </w:pPr>
            <w:r>
              <w:rPr>
                <w:rFonts w:ascii="Arial" w:cs="Arial" w:eastAsia="Arial" w:hAnsi="Arial"/>
                <w:sz w:val="11"/>
                <w:szCs w:val="11"/>
                <w:b w:val="1"/>
                <w:bCs w:val="1"/>
                <w:color w:val="auto"/>
              </w:rPr>
              <w:t>NAME AND PRINCIPAL POSITION</w:t>
            </w:r>
          </w:p>
        </w:tc>
        <w:tc>
          <w:tcPr>
            <w:tcW w:w="960" w:type="dxa"/>
            <w:vAlign w:val="bottom"/>
          </w:tcPr>
          <w:p>
            <w:pPr>
              <w:jc w:val="right"/>
              <w:ind w:right="178"/>
              <w:spacing w:after="0"/>
              <w:rPr>
                <w:sz w:val="20"/>
                <w:szCs w:val="20"/>
                <w:color w:val="auto"/>
              </w:rPr>
            </w:pPr>
            <w:r>
              <w:rPr>
                <w:rFonts w:ascii="Arial" w:cs="Arial" w:eastAsia="Arial" w:hAnsi="Arial"/>
                <w:sz w:val="11"/>
                <w:szCs w:val="11"/>
                <w:b w:val="1"/>
                <w:bCs w:val="1"/>
                <w:color w:val="auto"/>
              </w:rPr>
              <w:t>YEAR</w:t>
            </w:r>
          </w:p>
        </w:tc>
        <w:tc>
          <w:tcPr>
            <w:tcW w:w="1040" w:type="dxa"/>
            <w:vAlign w:val="bottom"/>
            <w:vMerge w:val="continue"/>
          </w:tcPr>
          <w:p>
            <w:pPr>
              <w:spacing w:after="0"/>
              <w:rPr>
                <w:sz w:val="19"/>
                <w:szCs w:val="19"/>
                <w:color w:val="auto"/>
              </w:rPr>
            </w:pPr>
          </w:p>
        </w:tc>
        <w:tc>
          <w:tcPr>
            <w:tcW w:w="1140" w:type="dxa"/>
            <w:vAlign w:val="bottom"/>
          </w:tcPr>
          <w:p>
            <w:pPr>
              <w:jc w:val="right"/>
              <w:ind w:right="19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(2)</w:t>
            </w:r>
          </w:p>
        </w:tc>
        <w:tc>
          <w:tcPr>
            <w:tcW w:w="1600" w:type="dxa"/>
            <w:vAlign w:val="bottom"/>
          </w:tcPr>
          <w:p>
            <w:pPr>
              <w:jc w:val="right"/>
              <w:ind w:right="219"/>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6"/>
                <w:szCs w:val="16"/>
                <w:b w:val="1"/>
                <w:bCs w:val="1"/>
                <w:color w:val="auto"/>
                <w:vertAlign w:val="superscript"/>
              </w:rPr>
              <w:t>(1)(3)</w:t>
            </w:r>
          </w:p>
        </w:tc>
        <w:tc>
          <w:tcPr>
            <w:tcW w:w="1520" w:type="dxa"/>
            <w:vAlign w:val="bottom"/>
          </w:tcPr>
          <w:p>
            <w:pPr>
              <w:jc w:val="right"/>
              <w:ind w:right="218"/>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6"/>
                <w:szCs w:val="16"/>
                <w:b w:val="1"/>
                <w:bCs w:val="1"/>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5"/>
        </w:trPr>
        <w:tc>
          <w:tcPr>
            <w:tcW w:w="2180" w:type="dxa"/>
            <w:vAlign w:val="bottom"/>
            <w:tcBorders>
              <w:bottom w:val="single" w:sz="8" w:color="017B52"/>
            </w:tcBorders>
          </w:tcPr>
          <w:p>
            <w:pPr>
              <w:spacing w:after="0"/>
              <w:rPr>
                <w:sz w:val="3"/>
                <w:szCs w:val="3"/>
                <w:color w:val="auto"/>
              </w:rPr>
            </w:pPr>
          </w:p>
        </w:tc>
        <w:tc>
          <w:tcPr>
            <w:tcW w:w="960" w:type="dxa"/>
            <w:vAlign w:val="bottom"/>
            <w:tcBorders>
              <w:bottom w:val="single" w:sz="8" w:color="017B52"/>
            </w:tcBorders>
          </w:tcPr>
          <w:p>
            <w:pPr>
              <w:spacing w:after="0"/>
              <w:rPr>
                <w:sz w:val="3"/>
                <w:szCs w:val="3"/>
                <w:color w:val="auto"/>
              </w:rPr>
            </w:pPr>
          </w:p>
        </w:tc>
        <w:tc>
          <w:tcPr>
            <w:tcW w:w="1040" w:type="dxa"/>
            <w:vAlign w:val="bottom"/>
            <w:tcBorders>
              <w:bottom w:val="single" w:sz="8" w:color="017B52"/>
            </w:tcBorders>
          </w:tcPr>
          <w:p>
            <w:pPr>
              <w:spacing w:after="0"/>
              <w:rPr>
                <w:sz w:val="3"/>
                <w:szCs w:val="3"/>
                <w:color w:val="auto"/>
              </w:rPr>
            </w:pPr>
          </w:p>
        </w:tc>
        <w:tc>
          <w:tcPr>
            <w:tcW w:w="1140" w:type="dxa"/>
            <w:vAlign w:val="bottom"/>
            <w:tcBorders>
              <w:bottom w:val="single" w:sz="8" w:color="017B52"/>
            </w:tcBorders>
          </w:tcPr>
          <w:p>
            <w:pPr>
              <w:spacing w:after="0"/>
              <w:rPr>
                <w:sz w:val="3"/>
                <w:szCs w:val="3"/>
                <w:color w:val="auto"/>
              </w:rPr>
            </w:pPr>
          </w:p>
        </w:tc>
        <w:tc>
          <w:tcPr>
            <w:tcW w:w="1600" w:type="dxa"/>
            <w:vAlign w:val="bottom"/>
            <w:tcBorders>
              <w:bottom w:val="single" w:sz="8" w:color="017B52"/>
            </w:tcBorders>
          </w:tcPr>
          <w:p>
            <w:pPr>
              <w:spacing w:after="0"/>
              <w:rPr>
                <w:sz w:val="3"/>
                <w:szCs w:val="3"/>
                <w:color w:val="auto"/>
              </w:rPr>
            </w:pPr>
          </w:p>
        </w:tc>
        <w:tc>
          <w:tcPr>
            <w:tcW w:w="1520" w:type="dxa"/>
            <w:vAlign w:val="bottom"/>
            <w:tcBorders>
              <w:bottom w:val="single" w:sz="8" w:color="017B52"/>
            </w:tcBorders>
          </w:tcPr>
          <w:p>
            <w:pPr>
              <w:spacing w:after="0"/>
              <w:rPr>
                <w:sz w:val="3"/>
                <w:szCs w:val="3"/>
                <w:color w:val="auto"/>
              </w:rPr>
            </w:pPr>
          </w:p>
        </w:tc>
        <w:tc>
          <w:tcPr>
            <w:tcW w:w="960" w:type="dxa"/>
            <w:vAlign w:val="bottom"/>
            <w:tcBorders>
              <w:bottom w:val="single" w:sz="8" w:color="017B52"/>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859,992</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5,795,703</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$1,743,746</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$55,094</w:t>
            </w:r>
          </w:p>
        </w:tc>
        <w:tc>
          <w:tcPr>
            <w:tcW w:w="960" w:type="dxa"/>
            <w:vAlign w:val="bottom"/>
          </w:tcPr>
          <w:p>
            <w:pPr>
              <w:jc w:val="right"/>
              <w:spacing w:after="0"/>
              <w:rPr>
                <w:sz w:val="20"/>
                <w:szCs w:val="20"/>
                <w:color w:val="auto"/>
              </w:rPr>
            </w:pPr>
            <w:r>
              <w:rPr>
                <w:rFonts w:ascii="Arial" w:cs="Arial" w:eastAsia="Arial" w:hAnsi="Arial"/>
                <w:sz w:val="13"/>
                <w:szCs w:val="13"/>
                <w:color w:val="auto"/>
              </w:rPr>
              <w:t>$8,454,535</w:t>
            </w:r>
          </w:p>
        </w:tc>
        <w:tc>
          <w:tcPr>
            <w:tcW w:w="0" w:type="dxa"/>
            <w:vAlign w:val="bottom"/>
          </w:tcPr>
          <w:p>
            <w:pPr>
              <w:spacing w:after="0"/>
              <w:rPr>
                <w:sz w:val="1"/>
                <w:szCs w:val="1"/>
                <w:color w:val="auto"/>
              </w:rPr>
            </w:pPr>
          </w:p>
        </w:tc>
      </w:tr>
      <w:tr>
        <w:trPr>
          <w:trHeight w:val="166"/>
        </w:trPr>
        <w:tc>
          <w:tcPr>
            <w:tcW w:w="2180" w:type="dxa"/>
            <w:vAlign w:val="bottom"/>
          </w:tcPr>
          <w:p>
            <w:pPr>
              <w:ind w:left="40"/>
              <w:spacing w:after="0"/>
              <w:rPr>
                <w:sz w:val="20"/>
                <w:szCs w:val="20"/>
                <w:color w:val="auto"/>
              </w:rPr>
            </w:pPr>
            <w:r>
              <w:rPr>
                <w:rFonts w:ascii="Arial" w:cs="Arial" w:eastAsia="Arial" w:hAnsi="Arial"/>
                <w:sz w:val="13"/>
                <w:szCs w:val="13"/>
                <w:color w:val="auto"/>
              </w:rPr>
              <w:t>Chief Executive Officer</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$823,574</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$7,697,562</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$1,726,482</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$51,656</w:t>
            </w:r>
          </w:p>
        </w:tc>
        <w:tc>
          <w:tcPr>
            <w:tcW w:w="960" w:type="dxa"/>
            <w:vAlign w:val="bottom"/>
          </w:tcPr>
          <w:p>
            <w:pPr>
              <w:jc w:val="right"/>
              <w:spacing w:after="0"/>
              <w:rPr>
                <w:sz w:val="20"/>
                <w:szCs w:val="20"/>
                <w:color w:val="auto"/>
              </w:rPr>
            </w:pPr>
            <w:r>
              <w:rPr>
                <w:rFonts w:ascii="Arial" w:cs="Arial" w:eastAsia="Arial" w:hAnsi="Arial"/>
                <w:sz w:val="13"/>
                <w:szCs w:val="13"/>
                <w:color w:val="auto"/>
              </w:rPr>
              <w:t>$10,299,274</w:t>
            </w:r>
          </w:p>
        </w:tc>
        <w:tc>
          <w:tcPr>
            <w:tcW w:w="0" w:type="dxa"/>
            <w:vAlign w:val="bottom"/>
          </w:tcPr>
          <w:p>
            <w:pPr>
              <w:spacing w:after="0"/>
              <w:rPr>
                <w:sz w:val="1"/>
                <w:szCs w:val="1"/>
                <w:color w:val="auto"/>
              </w:rPr>
            </w:pPr>
          </w:p>
        </w:tc>
      </w:tr>
      <w:tr>
        <w:trPr>
          <w:trHeight w:val="351"/>
        </w:trPr>
        <w:tc>
          <w:tcPr>
            <w:tcW w:w="2180" w:type="dxa"/>
            <w:vAlign w:val="bottom"/>
          </w:tcPr>
          <w:p>
            <w:pPr>
              <w:spacing w:after="0"/>
              <w:rPr>
                <w:sz w:val="24"/>
                <w:szCs w:val="24"/>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$815,419</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$7,244,629</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$1,648,508</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$49,252</w:t>
            </w:r>
          </w:p>
        </w:tc>
        <w:tc>
          <w:tcPr>
            <w:tcW w:w="960" w:type="dxa"/>
            <w:vAlign w:val="bottom"/>
          </w:tcPr>
          <w:p>
            <w:pPr>
              <w:jc w:val="right"/>
              <w:spacing w:after="0"/>
              <w:rPr>
                <w:sz w:val="20"/>
                <w:szCs w:val="20"/>
                <w:color w:val="auto"/>
              </w:rPr>
            </w:pPr>
            <w:r>
              <w:rPr>
                <w:rFonts w:ascii="Arial" w:cs="Arial" w:eastAsia="Arial" w:hAnsi="Arial"/>
                <w:sz w:val="13"/>
                <w:szCs w:val="13"/>
                <w:color w:val="auto"/>
              </w:rPr>
              <w:t>$9,757,808</w:t>
            </w:r>
          </w:p>
        </w:tc>
        <w:tc>
          <w:tcPr>
            <w:tcW w:w="0" w:type="dxa"/>
            <w:vAlign w:val="bottom"/>
          </w:tcPr>
          <w:p>
            <w:pPr>
              <w:spacing w:after="0"/>
              <w:rPr>
                <w:sz w:val="1"/>
                <w:szCs w:val="1"/>
                <w:color w:val="auto"/>
              </w:rPr>
            </w:pPr>
          </w:p>
        </w:tc>
      </w:tr>
      <w:tr>
        <w:trPr>
          <w:trHeight w:val="95"/>
        </w:trPr>
        <w:tc>
          <w:tcPr>
            <w:tcW w:w="218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1040" w:type="dxa"/>
            <w:vAlign w:val="bottom"/>
            <w:tcBorders>
              <w:bottom w:val="single" w:sz="8" w:color="017B52"/>
            </w:tcBorders>
          </w:tcPr>
          <w:p>
            <w:pPr>
              <w:spacing w:after="0"/>
              <w:rPr>
                <w:sz w:val="8"/>
                <w:szCs w:val="8"/>
                <w:color w:val="auto"/>
              </w:rPr>
            </w:pPr>
          </w:p>
        </w:tc>
        <w:tc>
          <w:tcPr>
            <w:tcW w:w="1140" w:type="dxa"/>
            <w:vAlign w:val="bottom"/>
            <w:tcBorders>
              <w:bottom w:val="single" w:sz="8" w:color="017B52"/>
            </w:tcBorders>
          </w:tcPr>
          <w:p>
            <w:pPr>
              <w:spacing w:after="0"/>
              <w:rPr>
                <w:sz w:val="8"/>
                <w:szCs w:val="8"/>
                <w:color w:val="auto"/>
              </w:rPr>
            </w:pPr>
          </w:p>
        </w:tc>
        <w:tc>
          <w:tcPr>
            <w:tcW w:w="160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$463,376</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$2,838,099</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$960,000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$24,853</w:t>
            </w:r>
          </w:p>
        </w:tc>
        <w:tc>
          <w:tcPr>
            <w:tcW w:w="960" w:type="dxa"/>
            <w:vAlign w:val="bottom"/>
          </w:tcPr>
          <w:p>
            <w:pPr>
              <w:jc w:val="right"/>
              <w:spacing w:after="0"/>
              <w:rPr>
                <w:sz w:val="20"/>
                <w:szCs w:val="20"/>
                <w:color w:val="auto"/>
              </w:rPr>
            </w:pPr>
            <w:r>
              <w:rPr>
                <w:rFonts w:ascii="Arial" w:cs="Arial" w:eastAsia="Arial" w:hAnsi="Arial"/>
                <w:sz w:val="13"/>
                <w:szCs w:val="13"/>
                <w:color w:val="auto"/>
              </w:rPr>
              <w:t>$4,286,328</w:t>
            </w:r>
          </w:p>
        </w:tc>
        <w:tc>
          <w:tcPr>
            <w:tcW w:w="0" w:type="dxa"/>
            <w:vAlign w:val="bottom"/>
          </w:tcPr>
          <w:p>
            <w:pPr>
              <w:spacing w:after="0"/>
              <w:rPr>
                <w:sz w:val="1"/>
                <w:szCs w:val="1"/>
                <w:color w:val="auto"/>
              </w:rPr>
            </w:pPr>
          </w:p>
        </w:tc>
      </w:tr>
      <w:tr>
        <w:trPr>
          <w:trHeight w:val="166"/>
        </w:trPr>
        <w:tc>
          <w:tcPr>
            <w:tcW w:w="2180" w:type="dxa"/>
            <w:vAlign w:val="bottom"/>
          </w:tcPr>
          <w:p>
            <w:pPr>
              <w:ind w:left="40"/>
              <w:spacing w:after="0"/>
              <w:rPr>
                <w:sz w:val="20"/>
                <w:szCs w:val="20"/>
                <w:color w:val="auto"/>
              </w:rPr>
            </w:pPr>
            <w:r>
              <w:rPr>
                <w:rFonts w:ascii="Arial" w:cs="Arial" w:eastAsia="Arial" w:hAnsi="Arial"/>
                <w:sz w:val="13"/>
                <w:szCs w:val="13"/>
                <w:color w:val="auto"/>
              </w:rPr>
              <w:t>Chief Financial Officer</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$444,684</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$2,951,424</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$930,000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$29,920</w:t>
            </w:r>
          </w:p>
        </w:tc>
        <w:tc>
          <w:tcPr>
            <w:tcW w:w="960" w:type="dxa"/>
            <w:vAlign w:val="bottom"/>
          </w:tcPr>
          <w:p>
            <w:pPr>
              <w:jc w:val="right"/>
              <w:spacing w:after="0"/>
              <w:rPr>
                <w:sz w:val="20"/>
                <w:szCs w:val="20"/>
                <w:color w:val="auto"/>
              </w:rPr>
            </w:pPr>
            <w:r>
              <w:rPr>
                <w:rFonts w:ascii="Arial" w:cs="Arial" w:eastAsia="Arial" w:hAnsi="Arial"/>
                <w:sz w:val="13"/>
                <w:szCs w:val="13"/>
                <w:color w:val="auto"/>
              </w:rPr>
              <w:t>$4,356,028</w:t>
            </w:r>
          </w:p>
        </w:tc>
        <w:tc>
          <w:tcPr>
            <w:tcW w:w="0" w:type="dxa"/>
            <w:vAlign w:val="bottom"/>
          </w:tcPr>
          <w:p>
            <w:pPr>
              <w:spacing w:after="0"/>
              <w:rPr>
                <w:sz w:val="1"/>
                <w:szCs w:val="1"/>
                <w:color w:val="auto"/>
              </w:rPr>
            </w:pPr>
          </w:p>
        </w:tc>
      </w:tr>
      <w:tr>
        <w:trPr>
          <w:trHeight w:val="351"/>
        </w:trPr>
        <w:tc>
          <w:tcPr>
            <w:tcW w:w="2180" w:type="dxa"/>
            <w:vAlign w:val="bottom"/>
          </w:tcPr>
          <w:p>
            <w:pPr>
              <w:spacing w:after="0"/>
              <w:rPr>
                <w:sz w:val="24"/>
                <w:szCs w:val="24"/>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$434,683</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$3,275,877</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$891,034</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$31,652</w:t>
            </w:r>
          </w:p>
        </w:tc>
        <w:tc>
          <w:tcPr>
            <w:tcW w:w="960" w:type="dxa"/>
            <w:vAlign w:val="bottom"/>
          </w:tcPr>
          <w:p>
            <w:pPr>
              <w:jc w:val="right"/>
              <w:spacing w:after="0"/>
              <w:rPr>
                <w:sz w:val="20"/>
                <w:szCs w:val="20"/>
                <w:color w:val="auto"/>
              </w:rPr>
            </w:pPr>
            <w:r>
              <w:rPr>
                <w:rFonts w:ascii="Arial" w:cs="Arial" w:eastAsia="Arial" w:hAnsi="Arial"/>
                <w:sz w:val="13"/>
                <w:szCs w:val="13"/>
                <w:color w:val="auto"/>
              </w:rPr>
              <w:t>$4,633,246</w:t>
            </w:r>
          </w:p>
        </w:tc>
        <w:tc>
          <w:tcPr>
            <w:tcW w:w="0" w:type="dxa"/>
            <w:vAlign w:val="bottom"/>
          </w:tcPr>
          <w:p>
            <w:pPr>
              <w:spacing w:after="0"/>
              <w:rPr>
                <w:sz w:val="1"/>
                <w:szCs w:val="1"/>
                <w:color w:val="auto"/>
              </w:rPr>
            </w:pPr>
          </w:p>
        </w:tc>
      </w:tr>
      <w:tr>
        <w:trPr>
          <w:trHeight w:val="95"/>
        </w:trPr>
        <w:tc>
          <w:tcPr>
            <w:tcW w:w="218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1040" w:type="dxa"/>
            <w:vAlign w:val="bottom"/>
            <w:tcBorders>
              <w:bottom w:val="single" w:sz="8" w:color="017B52"/>
            </w:tcBorders>
          </w:tcPr>
          <w:p>
            <w:pPr>
              <w:spacing w:after="0"/>
              <w:rPr>
                <w:sz w:val="8"/>
                <w:szCs w:val="8"/>
                <w:color w:val="auto"/>
              </w:rPr>
            </w:pPr>
          </w:p>
        </w:tc>
        <w:tc>
          <w:tcPr>
            <w:tcW w:w="1140" w:type="dxa"/>
            <w:vAlign w:val="bottom"/>
            <w:tcBorders>
              <w:bottom w:val="single" w:sz="8" w:color="017B52"/>
            </w:tcBorders>
          </w:tcPr>
          <w:p>
            <w:pPr>
              <w:spacing w:after="0"/>
              <w:rPr>
                <w:sz w:val="8"/>
                <w:szCs w:val="8"/>
                <w:color w:val="auto"/>
              </w:rPr>
            </w:pPr>
          </w:p>
        </w:tc>
        <w:tc>
          <w:tcPr>
            <w:tcW w:w="160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$391,962</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$1,530,808</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$816,000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$26,166</w:t>
            </w:r>
          </w:p>
        </w:tc>
        <w:tc>
          <w:tcPr>
            <w:tcW w:w="960" w:type="dxa"/>
            <w:vAlign w:val="bottom"/>
          </w:tcPr>
          <w:p>
            <w:pPr>
              <w:jc w:val="right"/>
              <w:spacing w:after="0"/>
              <w:rPr>
                <w:sz w:val="20"/>
                <w:szCs w:val="20"/>
                <w:color w:val="auto"/>
              </w:rPr>
            </w:pPr>
            <w:r>
              <w:rPr>
                <w:rFonts w:ascii="Arial" w:cs="Arial" w:eastAsia="Arial" w:hAnsi="Arial"/>
                <w:sz w:val="13"/>
                <w:szCs w:val="13"/>
                <w:color w:val="auto"/>
              </w:rPr>
              <w:t>$2,764,936</w:t>
            </w:r>
          </w:p>
        </w:tc>
        <w:tc>
          <w:tcPr>
            <w:tcW w:w="0" w:type="dxa"/>
            <w:vAlign w:val="bottom"/>
          </w:tcPr>
          <w:p>
            <w:pPr>
              <w:spacing w:after="0"/>
              <w:rPr>
                <w:sz w:val="1"/>
                <w:szCs w:val="1"/>
                <w:color w:val="auto"/>
              </w:rPr>
            </w:pPr>
          </w:p>
        </w:tc>
      </w:tr>
      <w:tr>
        <w:trPr>
          <w:trHeight w:val="135"/>
        </w:trPr>
        <w:tc>
          <w:tcPr>
            <w:tcW w:w="2180" w:type="dxa"/>
            <w:vAlign w:val="bottom"/>
          </w:tcPr>
          <w:p>
            <w:pPr>
              <w:ind w:left="40"/>
              <w:spacing w:after="0" w:line="135" w:lineRule="exact"/>
              <w:rPr>
                <w:sz w:val="20"/>
                <w:szCs w:val="20"/>
                <w:color w:val="auto"/>
              </w:rPr>
            </w:pPr>
            <w:r>
              <w:rPr>
                <w:rFonts w:ascii="Arial" w:cs="Arial" w:eastAsia="Arial" w:hAnsi="Arial"/>
                <w:sz w:val="13"/>
                <w:szCs w:val="13"/>
                <w:color w:val="auto"/>
              </w:rPr>
              <w:t>President, UFP</w:t>
            </w: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80" w:type="dxa"/>
            <w:vAlign w:val="bottom"/>
          </w:tcPr>
          <w:p>
            <w:pPr>
              <w:ind w:left="40"/>
              <w:spacing w:after="0"/>
              <w:rPr>
                <w:sz w:val="20"/>
                <w:szCs w:val="20"/>
                <w:color w:val="auto"/>
              </w:rPr>
            </w:pPr>
            <w:r>
              <w:rPr>
                <w:rFonts w:ascii="Arial" w:cs="Arial" w:eastAsia="Arial" w:hAnsi="Arial"/>
                <w:sz w:val="13"/>
                <w:szCs w:val="13"/>
                <w:color w:val="auto"/>
              </w:rPr>
              <w:t>Construction, LLC</w:t>
            </w:r>
          </w:p>
        </w:tc>
        <w:tc>
          <w:tcPr>
            <w:tcW w:w="960" w:type="dxa"/>
            <w:vAlign w:val="bottom"/>
            <w:vMerge w:val="restart"/>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vMerge w:val="restart"/>
          </w:tcPr>
          <w:p>
            <w:pPr>
              <w:jc w:val="right"/>
              <w:ind w:right="198"/>
              <w:spacing w:after="0"/>
              <w:rPr>
                <w:sz w:val="20"/>
                <w:szCs w:val="20"/>
                <w:color w:val="auto"/>
              </w:rPr>
            </w:pPr>
            <w:r>
              <w:rPr>
                <w:rFonts w:ascii="Arial" w:cs="Arial" w:eastAsia="Arial" w:hAnsi="Arial"/>
                <w:sz w:val="13"/>
                <w:szCs w:val="13"/>
                <w:color w:val="auto"/>
              </w:rPr>
              <w:t>$303,166</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auto"/>
              </w:rPr>
              <w:t>$2,515,788</w:t>
            </w:r>
          </w:p>
        </w:tc>
        <w:tc>
          <w:tcPr>
            <w:tcW w:w="1600" w:type="dxa"/>
            <w:vAlign w:val="bottom"/>
            <w:vMerge w:val="restart"/>
          </w:tcPr>
          <w:p>
            <w:pPr>
              <w:jc w:val="right"/>
              <w:ind w:right="219"/>
              <w:spacing w:after="0"/>
              <w:rPr>
                <w:sz w:val="20"/>
                <w:szCs w:val="20"/>
                <w:color w:val="auto"/>
              </w:rPr>
            </w:pPr>
            <w:r>
              <w:rPr>
                <w:rFonts w:ascii="Arial" w:cs="Arial" w:eastAsia="Arial" w:hAnsi="Arial"/>
                <w:sz w:val="13"/>
                <w:szCs w:val="13"/>
                <w:color w:val="auto"/>
              </w:rPr>
              <w:t>$800,000</w:t>
            </w:r>
          </w:p>
        </w:tc>
        <w:tc>
          <w:tcPr>
            <w:tcW w:w="1520" w:type="dxa"/>
            <w:vAlign w:val="bottom"/>
            <w:vMerge w:val="restart"/>
          </w:tcPr>
          <w:p>
            <w:pPr>
              <w:jc w:val="right"/>
              <w:ind w:right="218"/>
              <w:spacing w:after="0"/>
              <w:rPr>
                <w:sz w:val="20"/>
                <w:szCs w:val="20"/>
                <w:color w:val="auto"/>
              </w:rPr>
            </w:pPr>
            <w:r>
              <w:rPr>
                <w:rFonts w:ascii="Arial" w:cs="Arial" w:eastAsia="Arial" w:hAnsi="Arial"/>
                <w:sz w:val="13"/>
                <w:szCs w:val="13"/>
                <w:color w:val="auto"/>
              </w:rPr>
              <w:t>$20,424</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$3,639,378</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180" w:type="dxa"/>
            <w:vAlign w:val="bottom"/>
          </w:tcPr>
          <w:p>
            <w:pPr>
              <w:spacing w:after="0"/>
              <w:rPr>
                <w:sz w:val="24"/>
                <w:szCs w:val="24"/>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$298,565</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$2,928,835</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$607,080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$20,668</w:t>
            </w:r>
          </w:p>
        </w:tc>
        <w:tc>
          <w:tcPr>
            <w:tcW w:w="960" w:type="dxa"/>
            <w:vAlign w:val="bottom"/>
          </w:tcPr>
          <w:p>
            <w:pPr>
              <w:jc w:val="right"/>
              <w:spacing w:after="0"/>
              <w:rPr>
                <w:sz w:val="20"/>
                <w:szCs w:val="20"/>
                <w:color w:val="auto"/>
              </w:rPr>
            </w:pPr>
            <w:r>
              <w:rPr>
                <w:rFonts w:ascii="Arial" w:cs="Arial" w:eastAsia="Arial" w:hAnsi="Arial"/>
                <w:sz w:val="13"/>
                <w:szCs w:val="13"/>
                <w:color w:val="auto"/>
              </w:rPr>
              <w:t>$3,855,148</w:t>
            </w:r>
          </w:p>
        </w:tc>
        <w:tc>
          <w:tcPr>
            <w:tcW w:w="0" w:type="dxa"/>
            <w:vAlign w:val="bottom"/>
          </w:tcPr>
          <w:p>
            <w:pPr>
              <w:spacing w:after="0"/>
              <w:rPr>
                <w:sz w:val="1"/>
                <w:szCs w:val="1"/>
                <w:color w:val="auto"/>
              </w:rPr>
            </w:pPr>
          </w:p>
        </w:tc>
      </w:tr>
      <w:tr>
        <w:trPr>
          <w:trHeight w:val="95"/>
        </w:trPr>
        <w:tc>
          <w:tcPr>
            <w:tcW w:w="218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1040" w:type="dxa"/>
            <w:vAlign w:val="bottom"/>
            <w:tcBorders>
              <w:bottom w:val="single" w:sz="8" w:color="017B52"/>
            </w:tcBorders>
          </w:tcPr>
          <w:p>
            <w:pPr>
              <w:spacing w:after="0"/>
              <w:rPr>
                <w:sz w:val="8"/>
                <w:szCs w:val="8"/>
                <w:color w:val="auto"/>
              </w:rPr>
            </w:pPr>
          </w:p>
        </w:tc>
        <w:tc>
          <w:tcPr>
            <w:tcW w:w="1140" w:type="dxa"/>
            <w:vAlign w:val="bottom"/>
            <w:tcBorders>
              <w:bottom w:val="single" w:sz="8" w:color="017B52"/>
            </w:tcBorders>
          </w:tcPr>
          <w:p>
            <w:pPr>
              <w:spacing w:after="0"/>
              <w:rPr>
                <w:sz w:val="8"/>
                <w:szCs w:val="8"/>
                <w:color w:val="auto"/>
              </w:rPr>
            </w:pPr>
          </w:p>
        </w:tc>
        <w:tc>
          <w:tcPr>
            <w:tcW w:w="160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$390,833</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$1,331,973</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$816,000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$26,430</w:t>
            </w:r>
          </w:p>
        </w:tc>
        <w:tc>
          <w:tcPr>
            <w:tcW w:w="960" w:type="dxa"/>
            <w:vAlign w:val="bottom"/>
          </w:tcPr>
          <w:p>
            <w:pPr>
              <w:jc w:val="right"/>
              <w:spacing w:after="0"/>
              <w:rPr>
                <w:sz w:val="20"/>
                <w:szCs w:val="20"/>
                <w:color w:val="auto"/>
              </w:rPr>
            </w:pPr>
            <w:r>
              <w:rPr>
                <w:rFonts w:ascii="Arial" w:cs="Arial" w:eastAsia="Arial" w:hAnsi="Arial"/>
                <w:sz w:val="13"/>
                <w:szCs w:val="13"/>
                <w:color w:val="auto"/>
              </w:rPr>
              <w:t>$2,565,237</w:t>
            </w:r>
          </w:p>
        </w:tc>
        <w:tc>
          <w:tcPr>
            <w:tcW w:w="0" w:type="dxa"/>
            <w:vAlign w:val="bottom"/>
          </w:tcPr>
          <w:p>
            <w:pPr>
              <w:spacing w:after="0"/>
              <w:rPr>
                <w:sz w:val="1"/>
                <w:szCs w:val="1"/>
                <w:color w:val="auto"/>
              </w:rPr>
            </w:pPr>
          </w:p>
        </w:tc>
      </w:tr>
      <w:tr>
        <w:trPr>
          <w:trHeight w:val="135"/>
        </w:trPr>
        <w:tc>
          <w:tcPr>
            <w:tcW w:w="2180" w:type="dxa"/>
            <w:vAlign w:val="bottom"/>
          </w:tcPr>
          <w:p>
            <w:pPr>
              <w:ind w:left="40"/>
              <w:spacing w:after="0" w:line="135" w:lineRule="exact"/>
              <w:rPr>
                <w:sz w:val="20"/>
                <w:szCs w:val="20"/>
                <w:color w:val="auto"/>
              </w:rPr>
            </w:pPr>
            <w:r>
              <w:rPr>
                <w:rFonts w:ascii="Arial" w:cs="Arial" w:eastAsia="Arial" w:hAnsi="Arial"/>
                <w:sz w:val="13"/>
                <w:szCs w:val="13"/>
                <w:color w:val="auto"/>
              </w:rPr>
              <w:t>President, UFP</w:t>
            </w: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180" w:type="dxa"/>
            <w:vAlign w:val="bottom"/>
          </w:tcPr>
          <w:p>
            <w:pPr>
              <w:ind w:left="40"/>
              <w:spacing w:after="0"/>
              <w:rPr>
                <w:sz w:val="20"/>
                <w:szCs w:val="20"/>
                <w:color w:val="auto"/>
              </w:rPr>
            </w:pPr>
            <w:r>
              <w:rPr>
                <w:rFonts w:ascii="Arial" w:cs="Arial" w:eastAsia="Arial" w:hAnsi="Arial"/>
                <w:sz w:val="13"/>
                <w:szCs w:val="13"/>
                <w:color w:val="auto"/>
              </w:rPr>
              <w:t>Packaging, LLC</w:t>
            </w:r>
          </w:p>
        </w:tc>
        <w:tc>
          <w:tcPr>
            <w:tcW w:w="960" w:type="dxa"/>
            <w:vAlign w:val="bottom"/>
            <w:vMerge w:val="restart"/>
          </w:tcPr>
          <w:p>
            <w:pPr>
              <w:jc w:val="right"/>
              <w:ind w:right="178"/>
              <w:spacing w:after="0"/>
              <w:rPr>
                <w:sz w:val="20"/>
                <w:szCs w:val="20"/>
                <w:color w:val="auto"/>
              </w:rPr>
            </w:pPr>
            <w:r>
              <w:rPr>
                <w:rFonts w:ascii="Arial" w:cs="Arial" w:eastAsia="Arial" w:hAnsi="Arial"/>
                <w:sz w:val="13"/>
                <w:szCs w:val="13"/>
                <w:color w:val="auto"/>
              </w:rPr>
              <w:t>2022</w:t>
            </w:r>
          </w:p>
        </w:tc>
        <w:tc>
          <w:tcPr>
            <w:tcW w:w="1040" w:type="dxa"/>
            <w:vAlign w:val="bottom"/>
            <w:vMerge w:val="restart"/>
          </w:tcPr>
          <w:p>
            <w:pPr>
              <w:jc w:val="right"/>
              <w:ind w:right="198"/>
              <w:spacing w:after="0"/>
              <w:rPr>
                <w:sz w:val="20"/>
                <w:szCs w:val="20"/>
                <w:color w:val="auto"/>
              </w:rPr>
            </w:pPr>
            <w:r>
              <w:rPr>
                <w:rFonts w:ascii="Arial" w:cs="Arial" w:eastAsia="Arial" w:hAnsi="Arial"/>
                <w:sz w:val="13"/>
                <w:szCs w:val="13"/>
                <w:color w:val="auto"/>
              </w:rPr>
              <w:t>$274,583</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auto"/>
              </w:rPr>
              <w:t>$2,336,542</w:t>
            </w:r>
          </w:p>
        </w:tc>
        <w:tc>
          <w:tcPr>
            <w:tcW w:w="1600" w:type="dxa"/>
            <w:vAlign w:val="bottom"/>
            <w:vMerge w:val="restart"/>
          </w:tcPr>
          <w:p>
            <w:pPr>
              <w:jc w:val="right"/>
              <w:ind w:right="219"/>
              <w:spacing w:after="0"/>
              <w:rPr>
                <w:sz w:val="20"/>
                <w:szCs w:val="20"/>
                <w:color w:val="auto"/>
              </w:rPr>
            </w:pPr>
            <w:r>
              <w:rPr>
                <w:rFonts w:ascii="Arial" w:cs="Arial" w:eastAsia="Arial" w:hAnsi="Arial"/>
                <w:sz w:val="13"/>
                <w:szCs w:val="13"/>
                <w:color w:val="auto"/>
              </w:rPr>
              <w:t>$800,000</w:t>
            </w:r>
          </w:p>
        </w:tc>
        <w:tc>
          <w:tcPr>
            <w:tcW w:w="1520" w:type="dxa"/>
            <w:vAlign w:val="bottom"/>
            <w:vMerge w:val="restart"/>
          </w:tcPr>
          <w:p>
            <w:pPr>
              <w:jc w:val="right"/>
              <w:ind w:right="218"/>
              <w:spacing w:after="0"/>
              <w:rPr>
                <w:sz w:val="20"/>
                <w:szCs w:val="20"/>
                <w:color w:val="auto"/>
              </w:rPr>
            </w:pPr>
            <w:r>
              <w:rPr>
                <w:rFonts w:ascii="Arial" w:cs="Arial" w:eastAsia="Arial" w:hAnsi="Arial"/>
                <w:sz w:val="13"/>
                <w:szCs w:val="13"/>
                <w:color w:val="auto"/>
              </w:rPr>
              <w:t>$21,439</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$3,432,564</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180" w:type="dxa"/>
            <w:vAlign w:val="bottom"/>
          </w:tcPr>
          <w:p>
            <w:pPr>
              <w:spacing w:after="0"/>
              <w:rPr>
                <w:sz w:val="24"/>
                <w:szCs w:val="24"/>
                <w:color w:val="auto"/>
              </w:rPr>
            </w:pP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2021</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$254,583</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$2,967,245</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$530,000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$21,496</w:t>
            </w:r>
          </w:p>
        </w:tc>
        <w:tc>
          <w:tcPr>
            <w:tcW w:w="960" w:type="dxa"/>
            <w:vAlign w:val="bottom"/>
          </w:tcPr>
          <w:p>
            <w:pPr>
              <w:jc w:val="right"/>
              <w:spacing w:after="0"/>
              <w:rPr>
                <w:sz w:val="20"/>
                <w:szCs w:val="20"/>
                <w:color w:val="auto"/>
              </w:rPr>
            </w:pPr>
            <w:r>
              <w:rPr>
                <w:rFonts w:ascii="Arial" w:cs="Arial" w:eastAsia="Arial" w:hAnsi="Arial"/>
                <w:sz w:val="13"/>
                <w:szCs w:val="13"/>
                <w:color w:val="auto"/>
              </w:rPr>
              <w:t>$3,773,324</w:t>
            </w:r>
          </w:p>
        </w:tc>
        <w:tc>
          <w:tcPr>
            <w:tcW w:w="0" w:type="dxa"/>
            <w:vAlign w:val="bottom"/>
          </w:tcPr>
          <w:p>
            <w:pPr>
              <w:spacing w:after="0"/>
              <w:rPr>
                <w:sz w:val="1"/>
                <w:szCs w:val="1"/>
                <w:color w:val="auto"/>
              </w:rPr>
            </w:pPr>
          </w:p>
        </w:tc>
      </w:tr>
      <w:tr>
        <w:trPr>
          <w:trHeight w:val="95"/>
        </w:trPr>
        <w:tc>
          <w:tcPr>
            <w:tcW w:w="218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1040" w:type="dxa"/>
            <w:vAlign w:val="bottom"/>
            <w:tcBorders>
              <w:bottom w:val="single" w:sz="8" w:color="017B52"/>
            </w:tcBorders>
          </w:tcPr>
          <w:p>
            <w:pPr>
              <w:spacing w:after="0"/>
              <w:rPr>
                <w:sz w:val="8"/>
                <w:szCs w:val="8"/>
                <w:color w:val="auto"/>
              </w:rPr>
            </w:pPr>
          </w:p>
        </w:tc>
        <w:tc>
          <w:tcPr>
            <w:tcW w:w="1140" w:type="dxa"/>
            <w:vAlign w:val="bottom"/>
            <w:tcBorders>
              <w:bottom w:val="single" w:sz="8" w:color="017B52"/>
            </w:tcBorders>
          </w:tcPr>
          <w:p>
            <w:pPr>
              <w:spacing w:after="0"/>
              <w:rPr>
                <w:sz w:val="8"/>
                <w:szCs w:val="8"/>
                <w:color w:val="auto"/>
              </w:rPr>
            </w:pPr>
          </w:p>
        </w:tc>
        <w:tc>
          <w:tcPr>
            <w:tcW w:w="1600" w:type="dxa"/>
            <w:vAlign w:val="bottom"/>
            <w:tcBorders>
              <w:bottom w:val="single" w:sz="8" w:color="017B52"/>
            </w:tcBorders>
          </w:tcPr>
          <w:p>
            <w:pPr>
              <w:spacing w:after="0"/>
              <w:rPr>
                <w:sz w:val="8"/>
                <w:szCs w:val="8"/>
                <w:color w:val="auto"/>
              </w:rPr>
            </w:pPr>
          </w:p>
        </w:tc>
        <w:tc>
          <w:tcPr>
            <w:tcW w:w="1520" w:type="dxa"/>
            <w:vAlign w:val="bottom"/>
            <w:tcBorders>
              <w:bottom w:val="single" w:sz="8" w:color="017B52"/>
            </w:tcBorders>
          </w:tcPr>
          <w:p>
            <w:pPr>
              <w:spacing w:after="0"/>
              <w:rPr>
                <w:sz w:val="8"/>
                <w:szCs w:val="8"/>
                <w:color w:val="auto"/>
              </w:rPr>
            </w:pPr>
          </w:p>
        </w:tc>
        <w:tc>
          <w:tcPr>
            <w:tcW w:w="960" w:type="dxa"/>
            <w:vAlign w:val="bottom"/>
            <w:tcBorders>
              <w:bottom w:val="single" w:sz="8" w:color="017B52"/>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2023</w:t>
            </w: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$318,814</w:t>
            </w:r>
          </w:p>
        </w:tc>
        <w:tc>
          <w:tcPr>
            <w:tcW w:w="1140" w:type="dxa"/>
            <w:vAlign w:val="bottom"/>
          </w:tcPr>
          <w:p>
            <w:pPr>
              <w:jc w:val="right"/>
              <w:ind w:right="198"/>
              <w:spacing w:after="0"/>
              <w:rPr>
                <w:sz w:val="20"/>
                <w:szCs w:val="20"/>
                <w:color w:val="auto"/>
              </w:rPr>
            </w:pPr>
            <w:r>
              <w:rPr>
                <w:rFonts w:ascii="Arial" w:cs="Arial" w:eastAsia="Arial" w:hAnsi="Arial"/>
                <w:sz w:val="13"/>
                <w:szCs w:val="13"/>
                <w:color w:val="auto"/>
              </w:rPr>
              <w:t>$1,153,731</w:t>
            </w:r>
          </w:p>
        </w:tc>
        <w:tc>
          <w:tcPr>
            <w:tcW w:w="1600" w:type="dxa"/>
            <w:vAlign w:val="bottom"/>
          </w:tcPr>
          <w:p>
            <w:pPr>
              <w:jc w:val="right"/>
              <w:ind w:right="219"/>
              <w:spacing w:after="0"/>
              <w:rPr>
                <w:sz w:val="20"/>
                <w:szCs w:val="20"/>
                <w:color w:val="auto"/>
              </w:rPr>
            </w:pPr>
            <w:r>
              <w:rPr>
                <w:rFonts w:ascii="Arial" w:cs="Arial" w:eastAsia="Arial" w:hAnsi="Arial"/>
                <w:sz w:val="13"/>
                <w:szCs w:val="13"/>
                <w:color w:val="auto"/>
              </w:rPr>
              <w:t>$780,000</w:t>
            </w:r>
          </w:p>
        </w:tc>
        <w:tc>
          <w:tcPr>
            <w:tcW w:w="1520" w:type="dxa"/>
            <w:vAlign w:val="bottom"/>
          </w:tcPr>
          <w:p>
            <w:pPr>
              <w:jc w:val="right"/>
              <w:ind w:right="218"/>
              <w:spacing w:after="0"/>
              <w:rPr>
                <w:sz w:val="20"/>
                <w:szCs w:val="20"/>
                <w:color w:val="auto"/>
              </w:rPr>
            </w:pPr>
            <w:r>
              <w:rPr>
                <w:rFonts w:ascii="Arial" w:cs="Arial" w:eastAsia="Arial" w:hAnsi="Arial"/>
                <w:sz w:val="13"/>
                <w:szCs w:val="13"/>
                <w:color w:val="auto"/>
              </w:rPr>
              <w:t>$22,056</w:t>
            </w:r>
          </w:p>
        </w:tc>
        <w:tc>
          <w:tcPr>
            <w:tcW w:w="960" w:type="dxa"/>
            <w:vAlign w:val="bottom"/>
          </w:tcPr>
          <w:p>
            <w:pPr>
              <w:jc w:val="right"/>
              <w:spacing w:after="0"/>
              <w:rPr>
                <w:sz w:val="20"/>
                <w:szCs w:val="20"/>
                <w:color w:val="auto"/>
              </w:rPr>
            </w:pPr>
            <w:r>
              <w:rPr>
                <w:rFonts w:ascii="Arial" w:cs="Arial" w:eastAsia="Arial" w:hAnsi="Arial"/>
                <w:sz w:val="13"/>
                <w:szCs w:val="13"/>
                <w:color w:val="auto"/>
              </w:rPr>
              <w:t>$2,274,601</w:t>
            </w:r>
          </w:p>
        </w:tc>
        <w:tc>
          <w:tcPr>
            <w:tcW w:w="0" w:type="dxa"/>
            <w:vAlign w:val="bottom"/>
          </w:tcPr>
          <w:p>
            <w:pPr>
              <w:spacing w:after="0"/>
              <w:rPr>
                <w:sz w:val="1"/>
                <w:szCs w:val="1"/>
                <w:color w:val="auto"/>
              </w:rPr>
            </w:pPr>
          </w:p>
        </w:tc>
      </w:tr>
      <w:tr>
        <w:trPr>
          <w:trHeight w:val="143"/>
        </w:trPr>
        <w:tc>
          <w:tcPr>
            <w:tcW w:w="2180" w:type="dxa"/>
            <w:vAlign w:val="bottom"/>
          </w:tcPr>
          <w:p>
            <w:pPr>
              <w:ind w:left="40"/>
              <w:spacing w:after="0" w:line="143" w:lineRule="exact"/>
              <w:rPr>
                <w:sz w:val="20"/>
                <w:szCs w:val="20"/>
                <w:color w:val="auto"/>
              </w:rPr>
            </w:pPr>
            <w:r>
              <w:rPr>
                <w:rFonts w:ascii="Arial" w:cs="Arial" w:eastAsia="Arial" w:hAnsi="Arial"/>
                <w:sz w:val="13"/>
                <w:szCs w:val="13"/>
                <w:color w:val="auto"/>
              </w:rPr>
              <w:t>President, UFP</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2180" w:type="dxa"/>
            <w:vAlign w:val="bottom"/>
          </w:tcPr>
          <w:p>
            <w:pPr>
              <w:ind w:left="40"/>
              <w:spacing w:after="0"/>
              <w:rPr>
                <w:sz w:val="20"/>
                <w:szCs w:val="20"/>
                <w:color w:val="auto"/>
              </w:rPr>
            </w:pPr>
            <w:r>
              <w:rPr>
                <w:rFonts w:ascii="Arial" w:cs="Arial" w:eastAsia="Arial" w:hAnsi="Arial"/>
                <w:sz w:val="13"/>
                <w:szCs w:val="13"/>
                <w:color w:val="auto"/>
              </w:rPr>
              <w:t>Retail, LLC</w:t>
            </w:r>
            <w:r>
              <w:rPr>
                <w:rFonts w:ascii="Arial" w:cs="Arial" w:eastAsia="Arial" w:hAnsi="Arial"/>
                <w:sz w:val="20"/>
                <w:szCs w:val="20"/>
                <w:color w:val="auto"/>
                <w:vertAlign w:val="superscript"/>
              </w:rPr>
              <w:t>(5)</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180" w:type="dxa"/>
            <w:vAlign w:val="bottom"/>
            <w:tcBorders>
              <w:bottom w:val="single" w:sz="8" w:color="017B52"/>
            </w:tcBorders>
          </w:tcPr>
          <w:p>
            <w:pPr>
              <w:spacing w:after="0"/>
              <w:rPr>
                <w:sz w:val="4"/>
                <w:szCs w:val="4"/>
                <w:color w:val="auto"/>
              </w:rPr>
            </w:pPr>
          </w:p>
        </w:tc>
        <w:tc>
          <w:tcPr>
            <w:tcW w:w="960" w:type="dxa"/>
            <w:vAlign w:val="bottom"/>
            <w:tcBorders>
              <w:bottom w:val="single" w:sz="8" w:color="017B52"/>
            </w:tcBorders>
          </w:tcPr>
          <w:p>
            <w:pPr>
              <w:spacing w:after="0"/>
              <w:rPr>
                <w:sz w:val="4"/>
                <w:szCs w:val="4"/>
                <w:color w:val="auto"/>
              </w:rPr>
            </w:pPr>
          </w:p>
        </w:tc>
        <w:tc>
          <w:tcPr>
            <w:tcW w:w="1040" w:type="dxa"/>
            <w:vAlign w:val="bottom"/>
            <w:tcBorders>
              <w:bottom w:val="single" w:sz="8" w:color="017B52"/>
            </w:tcBorders>
          </w:tcPr>
          <w:p>
            <w:pPr>
              <w:spacing w:after="0"/>
              <w:rPr>
                <w:sz w:val="4"/>
                <w:szCs w:val="4"/>
                <w:color w:val="auto"/>
              </w:rPr>
            </w:pPr>
          </w:p>
        </w:tc>
        <w:tc>
          <w:tcPr>
            <w:tcW w:w="114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520" w:type="dxa"/>
            <w:vAlign w:val="bottom"/>
            <w:tcBorders>
              <w:bottom w:val="single" w:sz="8" w:color="017B52"/>
            </w:tcBorders>
          </w:tcPr>
          <w:p>
            <w:pPr>
              <w:spacing w:after="0"/>
              <w:rPr>
                <w:sz w:val="4"/>
                <w:szCs w:val="4"/>
                <w:color w:val="auto"/>
              </w:rPr>
            </w:pPr>
          </w:p>
        </w:tc>
        <w:tc>
          <w:tcPr>
            <w:tcW w:w="960" w:type="dxa"/>
            <w:vAlign w:val="bottom"/>
            <w:tcBorders>
              <w:bottom w:val="single" w:sz="8" w:color="017B5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60" w:right="20" w:hanging="354"/>
        <w:spacing w:after="0" w:line="229"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Includes amounts deferred by the Named Executives under our Profit Sharing and 401(k) Plan and DCP. The 2023 amounts include deferrals under the DCP in the amount of $115,000 for Mr. Missad, $55,000 for Messrs. Cole, Schwartz, and Worthington, and $70,000 for Benton. The 2022 amounts include deferrals under the DCP in the amount of $115,000 for Mr. Missad, and $55,000 for Messrs. Benton, Cole and Worthington. The 2021 amounts include deferrals under the DCP in the amount of $115,000 for Mr. Missad, and $55,000 for Messrs. Benton, Cole and Worthington.</w:t>
      </w:r>
    </w:p>
    <w:p>
      <w:pPr>
        <w:spacing w:after="0" w:line="61" w:lineRule="exact"/>
        <w:rPr>
          <w:rFonts w:ascii="Arial" w:cs="Arial" w:eastAsia="Arial" w:hAnsi="Arial"/>
          <w:sz w:val="13"/>
          <w:szCs w:val="13"/>
          <w:color w:val="333333"/>
        </w:rPr>
      </w:pPr>
    </w:p>
    <w:p>
      <w:pPr>
        <w:ind w:left="360" w:hanging="354"/>
        <w:spacing w:after="0"/>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The amount set forth in this column represents the aggregate fair value of the awards as of the grant date, computed in accordance with FASB ASC</w:t>
      </w:r>
    </w:p>
    <w:p>
      <w:pPr>
        <w:ind w:left="360" w:right="460"/>
        <w:spacing w:after="0" w:line="231" w:lineRule="auto"/>
        <w:rPr>
          <w:rFonts w:ascii="Arial" w:cs="Arial" w:eastAsia="Arial" w:hAnsi="Arial"/>
          <w:sz w:val="13"/>
          <w:szCs w:val="13"/>
          <w:color w:val="333333"/>
        </w:rPr>
      </w:pPr>
      <w:r>
        <w:rPr>
          <w:rFonts w:ascii="Arial" w:cs="Arial" w:eastAsia="Arial" w:hAnsi="Arial"/>
          <w:sz w:val="13"/>
          <w:szCs w:val="13"/>
          <w:color w:val="333333"/>
        </w:rPr>
        <w:t>Topic 718, “Compensation-Stock Compensation.” The assumptions used in calculating these amounts are based on a vesting period of either three, five or eight years.</w:t>
      </w:r>
    </w:p>
    <w:p>
      <w:pPr>
        <w:spacing w:after="0" w:line="51" w:lineRule="exact"/>
        <w:rPr>
          <w:rFonts w:ascii="Arial" w:cs="Arial" w:eastAsia="Arial" w:hAnsi="Arial"/>
          <w:sz w:val="13"/>
          <w:szCs w:val="13"/>
          <w:color w:val="333333"/>
        </w:rPr>
      </w:pPr>
    </w:p>
    <w:p>
      <w:pPr>
        <w:ind w:left="360" w:right="600" w:hanging="354"/>
        <w:spacing w:after="0" w:line="243"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Represents annual cash bonus payments under incentive compensation plans tied to our operating profit and ROI, which cover substantially all salaried employees.</w:t>
      </w:r>
    </w:p>
    <w:p>
      <w:pPr>
        <w:spacing w:after="0" w:line="61" w:lineRule="exact"/>
        <w:rPr>
          <w:rFonts w:ascii="Arial" w:cs="Arial" w:eastAsia="Arial" w:hAnsi="Arial"/>
          <w:sz w:val="13"/>
          <w:szCs w:val="13"/>
          <w:color w:val="333333"/>
        </w:rPr>
      </w:pPr>
    </w:p>
    <w:p>
      <w:pPr>
        <w:ind w:left="360" w:right="300" w:hanging="354"/>
        <w:spacing w:after="0" w:line="233" w:lineRule="auto"/>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The amounts in this column include Company contributions to our Profit Sharing and 401(k) Plan for 2023 in the amount of $4,950 for Messrs. Missad, Cole, Schwartz, and Worthington; and $3,249 for Mr. Benton. Subject to certain requirements, including age and service requirements, all employees are eligible to participate in our Profit Sharing and 401(k) Plan.</w:t>
      </w:r>
    </w:p>
    <w:p>
      <w:pPr>
        <w:spacing w:after="0" w:line="64" w:lineRule="exact"/>
        <w:rPr>
          <w:rFonts w:ascii="Arial" w:cs="Arial" w:eastAsia="Arial" w:hAnsi="Arial"/>
          <w:sz w:val="13"/>
          <w:szCs w:val="13"/>
          <w:color w:val="333333"/>
        </w:rPr>
      </w:pPr>
    </w:p>
    <w:p>
      <w:pPr>
        <w:ind w:left="360" w:right="20"/>
        <w:spacing w:after="0" w:line="246" w:lineRule="auto"/>
        <w:rPr>
          <w:rFonts w:ascii="Arial" w:cs="Arial" w:eastAsia="Arial" w:hAnsi="Arial"/>
          <w:sz w:val="13"/>
          <w:szCs w:val="13"/>
          <w:color w:val="333333"/>
        </w:rPr>
      </w:pPr>
      <w:r>
        <w:rPr>
          <w:rFonts w:ascii="Arial" w:cs="Arial" w:eastAsia="Arial" w:hAnsi="Arial"/>
          <w:sz w:val="12"/>
          <w:szCs w:val="12"/>
          <w:color w:val="333333"/>
        </w:rPr>
        <w:t>Also included in this column is personal use of corporate aircraft for 2023 in the amount of $32,562.76 for Mr. Missad.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48" w:lineRule="exact"/>
        <w:rPr>
          <w:rFonts w:ascii="Arial" w:cs="Arial" w:eastAsia="Arial" w:hAnsi="Arial"/>
          <w:sz w:val="13"/>
          <w:szCs w:val="13"/>
          <w:color w:val="333333"/>
        </w:rPr>
      </w:pPr>
    </w:p>
    <w:p>
      <w:pPr>
        <w:ind w:left="360" w:right="40"/>
        <w:spacing w:after="0" w:line="243" w:lineRule="auto"/>
        <w:rPr>
          <w:rFonts w:ascii="Arial" w:cs="Arial" w:eastAsia="Arial" w:hAnsi="Arial"/>
          <w:sz w:val="13"/>
          <w:szCs w:val="13"/>
          <w:color w:val="333333"/>
        </w:rPr>
      </w:pPr>
      <w:r>
        <w:rPr>
          <w:rFonts w:ascii="Arial" w:cs="Arial" w:eastAsia="Arial" w:hAnsi="Arial"/>
          <w:sz w:val="13"/>
          <w:szCs w:val="13"/>
          <w:color w:val="333333"/>
        </w:rPr>
        <w:t>The amount in this column also includes the following fringe benefits, none of which exceeded the greater of $25,000 or 10% of the Named Executive’s aggregate fringe benefits: use of Company-owned property; a convenience allowance; and taxes paid on behalf of the Named Executive.</w:t>
      </w:r>
    </w:p>
    <w:p>
      <w:pPr>
        <w:spacing w:after="0" w:line="61" w:lineRule="exact"/>
        <w:rPr>
          <w:rFonts w:ascii="Arial" w:cs="Arial" w:eastAsia="Arial" w:hAnsi="Arial"/>
          <w:sz w:val="13"/>
          <w:szCs w:val="13"/>
          <w:color w:val="333333"/>
        </w:rPr>
      </w:pPr>
    </w:p>
    <w:p>
      <w:pPr>
        <w:ind w:left="360" w:hanging="354"/>
        <w:spacing w:after="0"/>
        <w:tabs>
          <w:tab w:leader="none" w:pos="360" w:val="left"/>
        </w:tabs>
        <w:numPr>
          <w:ilvl w:val="0"/>
          <w:numId w:val="31"/>
        </w:numPr>
        <w:rPr>
          <w:rFonts w:ascii="Arial" w:cs="Arial" w:eastAsia="Arial" w:hAnsi="Arial"/>
          <w:sz w:val="13"/>
          <w:szCs w:val="13"/>
          <w:color w:val="333333"/>
        </w:rPr>
      </w:pPr>
      <w:r>
        <w:rPr>
          <w:rFonts w:ascii="Arial" w:cs="Arial" w:eastAsia="Arial" w:hAnsi="Arial"/>
          <w:sz w:val="13"/>
          <w:szCs w:val="13"/>
          <w:color w:val="333333"/>
        </w:rPr>
        <w:t>Mr. Schwartz first became a Named Executive in 2023.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34</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Disclosure of Perquisites and Benefits</w:t>
      </w:r>
    </w:p>
    <w:p>
      <w:pPr>
        <w:spacing w:after="0" w:line="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provide benefit programs to executive officers and other employees. The following table generally identifies such benefit plans and those employees who may be eligible to participate: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9"/>
              </w:rPr>
              <w:t>FULL-TIME EXEMPT</w:t>
            </w:r>
          </w:p>
        </w:tc>
        <w:tc>
          <w:tcPr>
            <w:tcW w:w="1660" w:type="dxa"/>
            <w:vAlign w:val="bottom"/>
          </w:tcPr>
          <w:p>
            <w:pPr>
              <w:jc w:val="center"/>
              <w:ind w:left="238"/>
              <w:spacing w:after="0"/>
              <w:rPr>
                <w:sz w:val="20"/>
                <w:szCs w:val="20"/>
                <w:color w:val="auto"/>
              </w:rPr>
            </w:pPr>
            <w:r>
              <w:rPr>
                <w:rFonts w:ascii="Arial" w:cs="Arial" w:eastAsia="Arial" w:hAnsi="Arial"/>
                <w:sz w:val="11"/>
                <w:szCs w:val="11"/>
                <w:b w:val="1"/>
                <w:bCs w:val="1"/>
                <w:color w:val="auto"/>
                <w:w w:val="98"/>
              </w:rPr>
              <w:t>FULL-TIME NON-EXEMPT</w:t>
            </w:r>
          </w:p>
        </w:tc>
      </w:tr>
      <w:tr>
        <w:trPr>
          <w:trHeight w:val="148"/>
        </w:trPr>
        <w:tc>
          <w:tcPr>
            <w:tcW w:w="2920" w:type="dxa"/>
            <w:vAlign w:val="bottom"/>
          </w:tcPr>
          <w:p>
            <w:pPr>
              <w:ind w:left="40"/>
              <w:spacing w:after="0"/>
              <w:rPr>
                <w:sz w:val="20"/>
                <w:szCs w:val="20"/>
                <w:color w:val="auto"/>
              </w:rPr>
            </w:pPr>
            <w:r>
              <w:rPr>
                <w:rFonts w:ascii="Arial" w:cs="Arial" w:eastAsia="Arial" w:hAnsi="Arial"/>
                <w:sz w:val="11"/>
                <w:szCs w:val="11"/>
                <w:b w:val="1"/>
                <w:bCs w:val="1"/>
                <w:color w:val="auto"/>
              </w:rPr>
              <w:t>BENEFIT PLAN</w:t>
            </w:r>
          </w:p>
        </w:tc>
        <w:tc>
          <w:tcPr>
            <w:tcW w:w="1420" w:type="dxa"/>
            <w:vAlign w:val="bottom"/>
          </w:tcPr>
          <w:p>
            <w:pPr>
              <w:jc w:val="center"/>
              <w:ind w:left="198"/>
              <w:spacing w:after="0"/>
              <w:rPr>
                <w:sz w:val="20"/>
                <w:szCs w:val="20"/>
                <w:color w:val="auto"/>
              </w:rPr>
            </w:pPr>
            <w:r>
              <w:rPr>
                <w:rFonts w:ascii="Arial" w:cs="Arial" w:eastAsia="Arial" w:hAnsi="Arial"/>
                <w:sz w:val="11"/>
                <w:szCs w:val="11"/>
                <w:b w:val="1"/>
                <w:bCs w:val="1"/>
                <w:color w:val="auto"/>
              </w:rPr>
              <w:t>OFFICERS</w:t>
            </w: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w w:val="98"/>
              </w:rPr>
              <w:t>CERTAIN MANAGERS</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6"/>
              </w:rPr>
              <w:t>EMPLOYEES</w:t>
            </w:r>
          </w:p>
        </w:tc>
        <w:tc>
          <w:tcPr>
            <w:tcW w:w="1660" w:type="dxa"/>
            <w:vAlign w:val="bottom"/>
          </w:tcPr>
          <w:p>
            <w:pPr>
              <w:jc w:val="center"/>
              <w:ind w:left="218"/>
              <w:spacing w:after="0"/>
              <w:rPr>
                <w:sz w:val="20"/>
                <w:szCs w:val="20"/>
                <w:color w:val="auto"/>
              </w:rPr>
            </w:pPr>
            <w:r>
              <w:rPr>
                <w:rFonts w:ascii="Arial" w:cs="Arial" w:eastAsia="Arial" w:hAnsi="Arial"/>
                <w:sz w:val="11"/>
                <w:szCs w:val="11"/>
                <w:b w:val="1"/>
                <w:bCs w:val="1"/>
                <w:color w:val="auto"/>
                <w:w w:val="96"/>
              </w:rPr>
              <w:t>EMPLOYEES</w:t>
            </w:r>
          </w:p>
        </w:tc>
      </w:tr>
      <w:tr>
        <w:trPr>
          <w:trHeight w:val="68"/>
        </w:trPr>
        <w:tc>
          <w:tcPr>
            <w:tcW w:w="2920" w:type="dxa"/>
            <w:vAlign w:val="bottom"/>
            <w:tcBorders>
              <w:bottom w:val="single" w:sz="8" w:color="017B52"/>
            </w:tcBorders>
          </w:tcPr>
          <w:p>
            <w:pPr>
              <w:spacing w:after="0"/>
              <w:rPr>
                <w:sz w:val="5"/>
                <w:szCs w:val="5"/>
                <w:color w:val="auto"/>
              </w:rPr>
            </w:pPr>
          </w:p>
        </w:tc>
        <w:tc>
          <w:tcPr>
            <w:tcW w:w="1420" w:type="dxa"/>
            <w:vAlign w:val="bottom"/>
            <w:tcBorders>
              <w:bottom w:val="single" w:sz="8" w:color="017B52"/>
            </w:tcBorders>
          </w:tcPr>
          <w:p>
            <w:pPr>
              <w:spacing w:after="0"/>
              <w:rPr>
                <w:sz w:val="5"/>
                <w:szCs w:val="5"/>
                <w:color w:val="auto"/>
              </w:rPr>
            </w:pPr>
          </w:p>
        </w:tc>
        <w:tc>
          <w:tcPr>
            <w:tcW w:w="1760" w:type="dxa"/>
            <w:vAlign w:val="bottom"/>
            <w:tcBorders>
              <w:bottom w:val="single" w:sz="8" w:color="017B52"/>
            </w:tcBorders>
          </w:tcPr>
          <w:p>
            <w:pPr>
              <w:spacing w:after="0"/>
              <w:rPr>
                <w:sz w:val="5"/>
                <w:szCs w:val="5"/>
                <w:color w:val="auto"/>
              </w:rPr>
            </w:pPr>
          </w:p>
        </w:tc>
        <w:tc>
          <w:tcPr>
            <w:tcW w:w="1640" w:type="dxa"/>
            <w:vAlign w:val="bottom"/>
            <w:tcBorders>
              <w:bottom w:val="single" w:sz="8" w:color="017B52"/>
            </w:tcBorders>
          </w:tcPr>
          <w:p>
            <w:pPr>
              <w:spacing w:after="0"/>
              <w:rPr>
                <w:sz w:val="5"/>
                <w:szCs w:val="5"/>
                <w:color w:val="auto"/>
              </w:rPr>
            </w:pPr>
          </w:p>
        </w:tc>
        <w:tc>
          <w:tcPr>
            <w:tcW w:w="1660" w:type="dxa"/>
            <w:vAlign w:val="bottom"/>
            <w:tcBorders>
              <w:bottom w:val="single" w:sz="8" w:color="017B52"/>
            </w:tcBorders>
          </w:tcPr>
          <w:p>
            <w:pPr>
              <w:spacing w:after="0"/>
              <w:rPr>
                <w:sz w:val="5"/>
                <w:szCs w:val="5"/>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401(k)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2"/>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Medical/Dental/Vision Plans</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Life and Disability Insurance</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Employee Stock Purchase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ROI Bonus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98"/>
              </w:rPr>
              <w:t>Not Offered</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46"/>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Hourly ROI Bonus</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w w:val="98"/>
              </w:rPr>
              <w:t>Not</w:t>
            </w:r>
          </w:p>
        </w:tc>
        <w:tc>
          <w:tcPr>
            <w:tcW w:w="17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166"/>
        </w:trPr>
        <w:tc>
          <w:tcPr>
            <w:tcW w:w="2920" w:type="dxa"/>
            <w:vAlign w:val="bottom"/>
          </w:tcPr>
          <w:p>
            <w:pPr>
              <w:spacing w:after="0"/>
              <w:rPr>
                <w:sz w:val="14"/>
                <w:szCs w:val="14"/>
                <w:color w:val="auto"/>
              </w:rPr>
            </w:pPr>
          </w:p>
        </w:tc>
        <w:tc>
          <w:tcPr>
            <w:tcW w:w="1420" w:type="dxa"/>
            <w:vAlign w:val="bottom"/>
          </w:tcPr>
          <w:p>
            <w:pPr>
              <w:jc w:val="center"/>
              <w:ind w:left="198"/>
              <w:spacing w:after="0"/>
              <w:rPr>
                <w:sz w:val="20"/>
                <w:szCs w:val="20"/>
                <w:color w:val="auto"/>
              </w:rPr>
            </w:pPr>
            <w:r>
              <w:rPr>
                <w:rFonts w:ascii="Arial" w:cs="Arial" w:eastAsia="Arial" w:hAnsi="Arial"/>
                <w:sz w:val="13"/>
                <w:szCs w:val="13"/>
                <w:color w:val="auto"/>
                <w:w w:val="92"/>
              </w:rPr>
              <w:t>Offered</w:t>
            </w:r>
          </w:p>
        </w:tc>
        <w:tc>
          <w:tcPr>
            <w:tcW w:w="176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22"/>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Equity Incentive Plans</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98"/>
              </w:rPr>
              <w:t>Not Offered</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2"/>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Change in Control and Severance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98"/>
              </w:rPr>
              <w:t>Not Offered</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2"/>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Deferred Compensation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98"/>
              </w:rPr>
              <w:t>Not Offered</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Executive Retirement Plan</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Not Offered</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98"/>
              </w:rPr>
              <w:t>Not Offered</w:t>
            </w:r>
          </w:p>
        </w:tc>
      </w:tr>
      <w:tr>
        <w:trPr>
          <w:trHeight w:val="116"/>
        </w:trPr>
        <w:tc>
          <w:tcPr>
            <w:tcW w:w="2920" w:type="dxa"/>
            <w:vAlign w:val="bottom"/>
            <w:tcBorders>
              <w:bottom w:val="single" w:sz="8" w:color="017B52"/>
            </w:tcBorders>
          </w:tcPr>
          <w:p>
            <w:pPr>
              <w:spacing w:after="0"/>
              <w:rPr>
                <w:sz w:val="10"/>
                <w:szCs w:val="10"/>
                <w:color w:val="auto"/>
              </w:rPr>
            </w:pPr>
          </w:p>
        </w:tc>
        <w:tc>
          <w:tcPr>
            <w:tcW w:w="1420" w:type="dxa"/>
            <w:vAlign w:val="bottom"/>
            <w:tcBorders>
              <w:bottom w:val="single" w:sz="8" w:color="017B52"/>
            </w:tcBorders>
          </w:tcPr>
          <w:p>
            <w:pPr>
              <w:spacing w:after="0"/>
              <w:rPr>
                <w:sz w:val="10"/>
                <w:szCs w:val="10"/>
                <w:color w:val="auto"/>
              </w:rPr>
            </w:pPr>
          </w:p>
        </w:tc>
        <w:tc>
          <w:tcPr>
            <w:tcW w:w="1760" w:type="dxa"/>
            <w:vAlign w:val="bottom"/>
            <w:tcBorders>
              <w:bottom w:val="single" w:sz="8" w:color="017B52"/>
            </w:tcBorders>
          </w:tcPr>
          <w:p>
            <w:pPr>
              <w:spacing w:after="0"/>
              <w:rPr>
                <w:sz w:val="10"/>
                <w:szCs w:val="10"/>
                <w:color w:val="auto"/>
              </w:rPr>
            </w:pPr>
          </w:p>
        </w:tc>
        <w:tc>
          <w:tcPr>
            <w:tcW w:w="1640" w:type="dxa"/>
            <w:vAlign w:val="bottom"/>
            <w:tcBorders>
              <w:bottom w:val="single" w:sz="8" w:color="017B52"/>
            </w:tcBorders>
          </w:tcPr>
          <w:p>
            <w:pPr>
              <w:spacing w:after="0"/>
              <w:rPr>
                <w:sz w:val="10"/>
                <w:szCs w:val="10"/>
                <w:color w:val="auto"/>
              </w:rPr>
            </w:pPr>
          </w:p>
        </w:tc>
        <w:tc>
          <w:tcPr>
            <w:tcW w:w="1660" w:type="dxa"/>
            <w:vAlign w:val="bottom"/>
            <w:tcBorders>
              <w:bottom w:val="single" w:sz="8" w:color="017B52"/>
            </w:tcBorders>
          </w:tcPr>
          <w:p>
            <w:pPr>
              <w:spacing w:after="0"/>
              <w:rPr>
                <w:sz w:val="10"/>
                <w:szCs w:val="10"/>
                <w:color w:val="auto"/>
              </w:rPr>
            </w:pPr>
          </w:p>
        </w:tc>
      </w:tr>
      <w:tr>
        <w:trPr>
          <w:trHeight w:val="283"/>
        </w:trPr>
        <w:tc>
          <w:tcPr>
            <w:tcW w:w="2920" w:type="dxa"/>
            <w:vAlign w:val="bottom"/>
          </w:tcPr>
          <w:p>
            <w:pPr>
              <w:ind w:left="40"/>
              <w:spacing w:after="0"/>
              <w:rPr>
                <w:sz w:val="20"/>
                <w:szCs w:val="20"/>
                <w:color w:val="auto"/>
              </w:rPr>
            </w:pPr>
            <w:r>
              <w:rPr>
                <w:rFonts w:ascii="Arial" w:cs="Arial" w:eastAsia="Arial" w:hAnsi="Arial"/>
                <w:sz w:val="13"/>
                <w:szCs w:val="13"/>
                <w:b w:val="1"/>
                <w:bCs w:val="1"/>
                <w:color w:val="017B52"/>
              </w:rPr>
              <w:t>Holiday Gifts Not Exceeding $1,500</w:t>
            </w:r>
          </w:p>
        </w:tc>
        <w:tc>
          <w:tcPr>
            <w:tcW w:w="1420" w:type="dxa"/>
            <w:vAlign w:val="bottom"/>
          </w:tcPr>
          <w:p>
            <w:pPr>
              <w:jc w:val="center"/>
              <w:ind w:left="198"/>
              <w:spacing w:after="0"/>
              <w:rPr>
                <w:sz w:val="20"/>
                <w:szCs w:val="20"/>
                <w:color w:val="auto"/>
              </w:rPr>
            </w:pPr>
            <w:r>
              <w:rPr>
                <w:rFonts w:ascii="Arial" w:cs="Arial" w:eastAsia="Arial" w:hAnsi="Arial"/>
                <w:sz w:val="13"/>
                <w:szCs w:val="13"/>
                <w:color w:val="auto"/>
              </w:rPr>
              <w:t>√</w:t>
            </w:r>
          </w:p>
        </w:tc>
        <w:tc>
          <w:tcPr>
            <w:tcW w:w="17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60" w:type="dxa"/>
            <w:vAlign w:val="bottom"/>
          </w:tcPr>
          <w:p>
            <w:pPr>
              <w:jc w:val="center"/>
              <w:ind w:left="218"/>
              <w:spacing w:after="0"/>
              <w:rPr>
                <w:sz w:val="20"/>
                <w:szCs w:val="20"/>
                <w:color w:val="auto"/>
              </w:rPr>
            </w:pPr>
            <w:r>
              <w:rPr>
                <w:rFonts w:ascii="Arial" w:cs="Arial" w:eastAsia="Arial" w:hAnsi="Arial"/>
                <w:sz w:val="13"/>
                <w:szCs w:val="13"/>
                <w:color w:val="auto"/>
                <w:w w:val="83"/>
              </w:rPr>
              <w:t>√</w:t>
            </w:r>
          </w:p>
        </w:tc>
      </w:tr>
      <w:tr>
        <w:trPr>
          <w:trHeight w:val="103"/>
        </w:trPr>
        <w:tc>
          <w:tcPr>
            <w:tcW w:w="2920" w:type="dxa"/>
            <w:vAlign w:val="bottom"/>
            <w:tcBorders>
              <w:bottom w:val="single" w:sz="8" w:color="017B52"/>
            </w:tcBorders>
          </w:tcPr>
          <w:p>
            <w:pPr>
              <w:spacing w:after="0"/>
              <w:rPr>
                <w:sz w:val="8"/>
                <w:szCs w:val="8"/>
                <w:color w:val="auto"/>
              </w:rPr>
            </w:pPr>
          </w:p>
        </w:tc>
        <w:tc>
          <w:tcPr>
            <w:tcW w:w="1420" w:type="dxa"/>
            <w:vAlign w:val="bottom"/>
            <w:tcBorders>
              <w:bottom w:val="single" w:sz="8" w:color="017B52"/>
            </w:tcBorders>
          </w:tcPr>
          <w:p>
            <w:pPr>
              <w:spacing w:after="0"/>
              <w:rPr>
                <w:sz w:val="8"/>
                <w:szCs w:val="8"/>
                <w:color w:val="auto"/>
              </w:rPr>
            </w:pPr>
          </w:p>
        </w:tc>
        <w:tc>
          <w:tcPr>
            <w:tcW w:w="1760" w:type="dxa"/>
            <w:vAlign w:val="bottom"/>
            <w:tcBorders>
              <w:bottom w:val="single" w:sz="8" w:color="017B52"/>
            </w:tcBorders>
          </w:tcPr>
          <w:p>
            <w:pPr>
              <w:spacing w:after="0"/>
              <w:rPr>
                <w:sz w:val="8"/>
                <w:szCs w:val="8"/>
                <w:color w:val="auto"/>
              </w:rPr>
            </w:pPr>
          </w:p>
        </w:tc>
        <w:tc>
          <w:tcPr>
            <w:tcW w:w="1640" w:type="dxa"/>
            <w:vAlign w:val="bottom"/>
            <w:tcBorders>
              <w:bottom w:val="single" w:sz="8" w:color="017B52"/>
            </w:tcBorders>
          </w:tcPr>
          <w:p>
            <w:pPr>
              <w:spacing w:after="0"/>
              <w:rPr>
                <w:sz w:val="8"/>
                <w:szCs w:val="8"/>
                <w:color w:val="auto"/>
              </w:rPr>
            </w:pPr>
          </w:p>
        </w:tc>
        <w:tc>
          <w:tcPr>
            <w:tcW w:w="1660" w:type="dxa"/>
            <w:vAlign w:val="bottom"/>
            <w:tcBorders>
              <w:bottom w:val="single" w:sz="8" w:color="017B52"/>
            </w:tcBorders>
          </w:tcPr>
          <w:p>
            <w:pPr>
              <w:spacing w:after="0"/>
              <w:rPr>
                <w:sz w:val="8"/>
                <w:szCs w:val="8"/>
                <w:color w:val="auto"/>
              </w:rPr>
            </w:pPr>
          </w:p>
        </w:tc>
      </w:tr>
    </w:tbl>
    <w:p>
      <w:pPr>
        <w:spacing w:after="0" w:line="283"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40" w:type="dxa"/>
            <w:vAlign w:val="bottom"/>
          </w:tcPr>
          <w:p>
            <w:pPr>
              <w:ind w:left="40"/>
              <w:spacing w:after="0"/>
              <w:rPr>
                <w:sz w:val="20"/>
                <w:szCs w:val="20"/>
                <w:color w:val="auto"/>
              </w:rPr>
            </w:pPr>
            <w:r>
              <w:rPr>
                <w:rFonts w:ascii="Arial" w:cs="Arial" w:eastAsia="Arial" w:hAnsi="Arial"/>
                <w:sz w:val="11"/>
                <w:szCs w:val="11"/>
                <w:b w:val="1"/>
                <w:bCs w:val="1"/>
                <w:color w:val="auto"/>
              </w:rPr>
              <w:t>TYPE OF PERQUISITES</w:t>
            </w:r>
          </w:p>
        </w:tc>
        <w:tc>
          <w:tcPr>
            <w:tcW w:w="2620" w:type="dxa"/>
            <w:vAlign w:val="bottom"/>
          </w:tcPr>
          <w:p>
            <w:pPr>
              <w:jc w:val="center"/>
              <w:ind w:left="439"/>
              <w:spacing w:after="0"/>
              <w:rPr>
                <w:sz w:val="20"/>
                <w:szCs w:val="20"/>
                <w:color w:val="auto"/>
              </w:rPr>
            </w:pPr>
            <w:r>
              <w:rPr>
                <w:rFonts w:ascii="Arial" w:cs="Arial" w:eastAsia="Arial" w:hAnsi="Arial"/>
                <w:sz w:val="11"/>
                <w:szCs w:val="11"/>
                <w:b w:val="1"/>
                <w:bCs w:val="1"/>
                <w:color w:val="auto"/>
              </w:rPr>
              <w:t>OFFICERS</w:t>
            </w:r>
          </w:p>
        </w:tc>
        <w:tc>
          <w:tcPr>
            <w:tcW w:w="2160" w:type="dxa"/>
            <w:vAlign w:val="bottom"/>
          </w:tcPr>
          <w:p>
            <w:pPr>
              <w:jc w:val="center"/>
              <w:spacing w:after="0"/>
              <w:rPr>
                <w:sz w:val="20"/>
                <w:szCs w:val="20"/>
                <w:color w:val="auto"/>
              </w:rPr>
            </w:pPr>
            <w:r>
              <w:rPr>
                <w:rFonts w:ascii="Arial" w:cs="Arial" w:eastAsia="Arial" w:hAnsi="Arial"/>
                <w:sz w:val="11"/>
                <w:szCs w:val="11"/>
                <w:b w:val="1"/>
                <w:bCs w:val="1"/>
                <w:color w:val="auto"/>
                <w:w w:val="98"/>
              </w:rPr>
              <w:t>CERTAIN MANAGERS</w:t>
            </w:r>
          </w:p>
        </w:tc>
        <w:tc>
          <w:tcPr>
            <w:tcW w:w="1680" w:type="dxa"/>
            <w:vAlign w:val="bottom"/>
          </w:tcPr>
          <w:p>
            <w:pPr>
              <w:jc w:val="center"/>
              <w:ind w:left="319"/>
              <w:spacing w:after="0"/>
              <w:rPr>
                <w:sz w:val="20"/>
                <w:szCs w:val="20"/>
                <w:color w:val="auto"/>
              </w:rPr>
            </w:pPr>
            <w:r>
              <w:rPr>
                <w:rFonts w:ascii="Arial" w:cs="Arial" w:eastAsia="Arial" w:hAnsi="Arial"/>
                <w:sz w:val="11"/>
                <w:szCs w:val="11"/>
                <w:b w:val="1"/>
                <w:bCs w:val="1"/>
                <w:color w:val="auto"/>
                <w:w w:val="97"/>
              </w:rPr>
              <w:t>FULL-TIME EMPLOYEES</w:t>
            </w:r>
          </w:p>
        </w:tc>
      </w:tr>
      <w:tr>
        <w:trPr>
          <w:trHeight w:val="68"/>
        </w:trPr>
        <w:tc>
          <w:tcPr>
            <w:tcW w:w="2940" w:type="dxa"/>
            <w:vAlign w:val="bottom"/>
            <w:tcBorders>
              <w:bottom w:val="single" w:sz="8" w:color="017B52"/>
            </w:tcBorders>
          </w:tcPr>
          <w:p>
            <w:pPr>
              <w:spacing w:after="0"/>
              <w:rPr>
                <w:sz w:val="5"/>
                <w:szCs w:val="5"/>
                <w:color w:val="auto"/>
              </w:rPr>
            </w:pPr>
          </w:p>
        </w:tc>
        <w:tc>
          <w:tcPr>
            <w:tcW w:w="2620" w:type="dxa"/>
            <w:vAlign w:val="bottom"/>
            <w:tcBorders>
              <w:bottom w:val="single" w:sz="8" w:color="017B52"/>
            </w:tcBorders>
          </w:tcPr>
          <w:p>
            <w:pPr>
              <w:spacing w:after="0"/>
              <w:rPr>
                <w:sz w:val="5"/>
                <w:szCs w:val="5"/>
                <w:color w:val="auto"/>
              </w:rPr>
            </w:pPr>
          </w:p>
        </w:tc>
        <w:tc>
          <w:tcPr>
            <w:tcW w:w="2160" w:type="dxa"/>
            <w:vAlign w:val="bottom"/>
            <w:tcBorders>
              <w:bottom w:val="single" w:sz="8" w:color="017B52"/>
            </w:tcBorders>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r>
      <w:tr>
        <w:trPr>
          <w:trHeight w:val="282"/>
        </w:trPr>
        <w:tc>
          <w:tcPr>
            <w:tcW w:w="2940" w:type="dxa"/>
            <w:vAlign w:val="bottom"/>
          </w:tcPr>
          <w:p>
            <w:pPr>
              <w:ind w:left="40"/>
              <w:spacing w:after="0"/>
              <w:rPr>
                <w:sz w:val="20"/>
                <w:szCs w:val="20"/>
                <w:color w:val="auto"/>
              </w:rPr>
            </w:pPr>
            <w:r>
              <w:rPr>
                <w:rFonts w:ascii="Arial" w:cs="Arial" w:eastAsia="Arial" w:hAnsi="Arial"/>
                <w:sz w:val="13"/>
                <w:szCs w:val="13"/>
                <w:b w:val="1"/>
                <w:bCs w:val="1"/>
                <w:color w:val="017B52"/>
              </w:rPr>
              <w:t>Employee Discount</w:t>
            </w:r>
          </w:p>
        </w:tc>
        <w:tc>
          <w:tcPr>
            <w:tcW w:w="2620" w:type="dxa"/>
            <w:vAlign w:val="bottom"/>
          </w:tcPr>
          <w:p>
            <w:pPr>
              <w:jc w:val="center"/>
              <w:ind w:left="439"/>
              <w:spacing w:after="0"/>
              <w:rPr>
                <w:sz w:val="20"/>
                <w:szCs w:val="20"/>
                <w:color w:val="auto"/>
              </w:rPr>
            </w:pPr>
            <w:r>
              <w:rPr>
                <w:rFonts w:ascii="Arial" w:cs="Arial" w:eastAsia="Arial" w:hAnsi="Arial"/>
                <w:sz w:val="13"/>
                <w:szCs w:val="13"/>
                <w:color w:val="auto"/>
              </w:rPr>
              <w:t>√</w:t>
            </w:r>
          </w:p>
        </w:tc>
        <w:tc>
          <w:tcPr>
            <w:tcW w:w="21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80" w:type="dxa"/>
            <w:vAlign w:val="bottom"/>
          </w:tcPr>
          <w:p>
            <w:pPr>
              <w:jc w:val="center"/>
              <w:ind w:left="319"/>
              <w:spacing w:after="0"/>
              <w:rPr>
                <w:sz w:val="20"/>
                <w:szCs w:val="20"/>
                <w:color w:val="auto"/>
              </w:rPr>
            </w:pPr>
            <w:r>
              <w:rPr>
                <w:rFonts w:ascii="Arial" w:cs="Arial" w:eastAsia="Arial" w:hAnsi="Arial"/>
                <w:sz w:val="13"/>
                <w:szCs w:val="13"/>
                <w:color w:val="auto"/>
                <w:w w:val="83"/>
              </w:rPr>
              <w:t>√</w:t>
            </w:r>
          </w:p>
        </w:tc>
      </w:tr>
      <w:tr>
        <w:trPr>
          <w:trHeight w:val="116"/>
        </w:trPr>
        <w:tc>
          <w:tcPr>
            <w:tcW w:w="2940" w:type="dxa"/>
            <w:vAlign w:val="bottom"/>
            <w:tcBorders>
              <w:bottom w:val="single" w:sz="8" w:color="017B52"/>
            </w:tcBorders>
          </w:tcPr>
          <w:p>
            <w:pPr>
              <w:spacing w:after="0"/>
              <w:rPr>
                <w:sz w:val="10"/>
                <w:szCs w:val="10"/>
                <w:color w:val="auto"/>
              </w:rPr>
            </w:pPr>
          </w:p>
        </w:tc>
        <w:tc>
          <w:tcPr>
            <w:tcW w:w="2620" w:type="dxa"/>
            <w:vAlign w:val="bottom"/>
            <w:tcBorders>
              <w:bottom w:val="single" w:sz="8" w:color="017B52"/>
            </w:tcBorders>
          </w:tcPr>
          <w:p>
            <w:pPr>
              <w:spacing w:after="0"/>
              <w:rPr>
                <w:sz w:val="10"/>
                <w:szCs w:val="10"/>
                <w:color w:val="auto"/>
              </w:rPr>
            </w:pPr>
          </w:p>
        </w:tc>
        <w:tc>
          <w:tcPr>
            <w:tcW w:w="2160" w:type="dxa"/>
            <w:vAlign w:val="bottom"/>
            <w:tcBorders>
              <w:bottom w:val="single" w:sz="8" w:color="017B52"/>
            </w:tcBorders>
          </w:tcPr>
          <w:p>
            <w:pPr>
              <w:spacing w:after="0"/>
              <w:rPr>
                <w:sz w:val="10"/>
                <w:szCs w:val="10"/>
                <w:color w:val="auto"/>
              </w:rPr>
            </w:pPr>
          </w:p>
        </w:tc>
        <w:tc>
          <w:tcPr>
            <w:tcW w:w="1680" w:type="dxa"/>
            <w:vAlign w:val="bottom"/>
            <w:tcBorders>
              <w:bottom w:val="single" w:sz="8" w:color="017B52"/>
            </w:tcBorders>
          </w:tcPr>
          <w:p>
            <w:pPr>
              <w:spacing w:after="0"/>
              <w:rPr>
                <w:sz w:val="10"/>
                <w:szCs w:val="10"/>
                <w:color w:val="auto"/>
              </w:rPr>
            </w:pPr>
          </w:p>
        </w:tc>
      </w:tr>
      <w:tr>
        <w:trPr>
          <w:trHeight w:val="397"/>
        </w:trPr>
        <w:tc>
          <w:tcPr>
            <w:tcW w:w="2940" w:type="dxa"/>
            <w:vAlign w:val="bottom"/>
          </w:tcPr>
          <w:p>
            <w:pPr>
              <w:ind w:left="40"/>
              <w:spacing w:after="0"/>
              <w:rPr>
                <w:sz w:val="20"/>
                <w:szCs w:val="20"/>
                <w:color w:val="auto"/>
              </w:rPr>
            </w:pPr>
            <w:r>
              <w:rPr>
                <w:rFonts w:ascii="Arial" w:cs="Arial" w:eastAsia="Arial" w:hAnsi="Arial"/>
                <w:sz w:val="13"/>
                <w:szCs w:val="13"/>
                <w:b w:val="1"/>
                <w:bCs w:val="1"/>
                <w:color w:val="017B52"/>
              </w:rPr>
              <w:t>Convenience Allowance</w:t>
            </w:r>
            <w:r>
              <w:rPr>
                <w:rFonts w:ascii="Arial" w:cs="Arial" w:eastAsia="Arial" w:hAnsi="Arial"/>
                <w:sz w:val="20"/>
                <w:szCs w:val="20"/>
                <w:color w:val="017B52"/>
                <w:vertAlign w:val="superscript"/>
              </w:rPr>
              <w:t>(1)</w:t>
            </w:r>
          </w:p>
        </w:tc>
        <w:tc>
          <w:tcPr>
            <w:tcW w:w="2620" w:type="dxa"/>
            <w:vAlign w:val="bottom"/>
          </w:tcPr>
          <w:p>
            <w:pPr>
              <w:jc w:val="center"/>
              <w:ind w:left="439"/>
              <w:spacing w:after="0"/>
              <w:rPr>
                <w:sz w:val="20"/>
                <w:szCs w:val="20"/>
                <w:color w:val="auto"/>
              </w:rPr>
            </w:pPr>
            <w:r>
              <w:rPr>
                <w:rFonts w:ascii="Arial" w:cs="Arial" w:eastAsia="Arial" w:hAnsi="Arial"/>
                <w:sz w:val="13"/>
                <w:szCs w:val="13"/>
                <w:color w:val="auto"/>
              </w:rPr>
              <w:t>√</w:t>
            </w:r>
          </w:p>
        </w:tc>
        <w:tc>
          <w:tcPr>
            <w:tcW w:w="2160" w:type="dxa"/>
            <w:vAlign w:val="bottom"/>
          </w:tcPr>
          <w:p>
            <w:pPr>
              <w:jc w:val="center"/>
              <w:spacing w:after="0"/>
              <w:rPr>
                <w:sz w:val="20"/>
                <w:szCs w:val="20"/>
                <w:color w:val="auto"/>
              </w:rPr>
            </w:pPr>
            <w:r>
              <w:rPr>
                <w:rFonts w:ascii="Arial" w:cs="Arial" w:eastAsia="Arial" w:hAnsi="Arial"/>
                <w:sz w:val="13"/>
                <w:szCs w:val="13"/>
                <w:color w:val="auto"/>
                <w:w w:val="95"/>
              </w:rPr>
              <w:t>Not Offered</w:t>
            </w:r>
          </w:p>
        </w:tc>
        <w:tc>
          <w:tcPr>
            <w:tcW w:w="1680" w:type="dxa"/>
            <w:vAlign w:val="bottom"/>
          </w:tcPr>
          <w:p>
            <w:pPr>
              <w:jc w:val="center"/>
              <w:ind w:left="319"/>
              <w:spacing w:after="0"/>
              <w:rPr>
                <w:sz w:val="20"/>
                <w:szCs w:val="20"/>
                <w:color w:val="auto"/>
              </w:rPr>
            </w:pPr>
            <w:r>
              <w:rPr>
                <w:rFonts w:ascii="Arial" w:cs="Arial" w:eastAsia="Arial" w:hAnsi="Arial"/>
                <w:sz w:val="13"/>
                <w:szCs w:val="13"/>
                <w:color w:val="auto"/>
                <w:w w:val="98"/>
              </w:rPr>
              <w:t>Not Offered</w:t>
            </w:r>
          </w:p>
        </w:tc>
      </w:tr>
      <w:tr>
        <w:trPr>
          <w:trHeight w:val="42"/>
        </w:trPr>
        <w:tc>
          <w:tcPr>
            <w:tcW w:w="2940" w:type="dxa"/>
            <w:vAlign w:val="bottom"/>
            <w:tcBorders>
              <w:bottom w:val="single" w:sz="8" w:color="017B52"/>
            </w:tcBorders>
          </w:tcPr>
          <w:p>
            <w:pPr>
              <w:spacing w:after="0"/>
              <w:rPr>
                <w:sz w:val="3"/>
                <w:szCs w:val="3"/>
                <w:color w:val="auto"/>
              </w:rPr>
            </w:pPr>
          </w:p>
        </w:tc>
        <w:tc>
          <w:tcPr>
            <w:tcW w:w="2620" w:type="dxa"/>
            <w:vAlign w:val="bottom"/>
            <w:tcBorders>
              <w:bottom w:val="single" w:sz="8" w:color="017B52"/>
            </w:tcBorders>
          </w:tcPr>
          <w:p>
            <w:pPr>
              <w:spacing w:after="0"/>
              <w:rPr>
                <w:sz w:val="3"/>
                <w:szCs w:val="3"/>
                <w:color w:val="auto"/>
              </w:rPr>
            </w:pPr>
          </w:p>
        </w:tc>
        <w:tc>
          <w:tcPr>
            <w:tcW w:w="2160" w:type="dxa"/>
            <w:vAlign w:val="bottom"/>
            <w:tcBorders>
              <w:bottom w:val="single" w:sz="8" w:color="017B52"/>
            </w:tcBorders>
          </w:tcPr>
          <w:p>
            <w:pPr>
              <w:spacing w:after="0"/>
              <w:rPr>
                <w:sz w:val="3"/>
                <w:szCs w:val="3"/>
                <w:color w:val="auto"/>
              </w:rPr>
            </w:pPr>
          </w:p>
        </w:tc>
        <w:tc>
          <w:tcPr>
            <w:tcW w:w="1680" w:type="dxa"/>
            <w:vAlign w:val="bottom"/>
            <w:tcBorders>
              <w:bottom w:val="single" w:sz="8" w:color="017B52"/>
            </w:tcBorders>
          </w:tcPr>
          <w:p>
            <w:pPr>
              <w:spacing w:after="0"/>
              <w:rPr>
                <w:sz w:val="3"/>
                <w:szCs w:val="3"/>
                <w:color w:val="auto"/>
              </w:rPr>
            </w:pPr>
          </w:p>
        </w:tc>
      </w:tr>
      <w:tr>
        <w:trPr>
          <w:trHeight w:val="397"/>
        </w:trPr>
        <w:tc>
          <w:tcPr>
            <w:tcW w:w="2940" w:type="dxa"/>
            <w:vAlign w:val="bottom"/>
          </w:tcPr>
          <w:p>
            <w:pPr>
              <w:ind w:left="40"/>
              <w:spacing w:after="0"/>
              <w:rPr>
                <w:sz w:val="20"/>
                <w:szCs w:val="20"/>
                <w:color w:val="auto"/>
              </w:rPr>
            </w:pPr>
            <w:r>
              <w:rPr>
                <w:rFonts w:ascii="Arial" w:cs="Arial" w:eastAsia="Arial" w:hAnsi="Arial"/>
                <w:sz w:val="13"/>
                <w:szCs w:val="13"/>
                <w:b w:val="1"/>
                <w:bCs w:val="1"/>
                <w:color w:val="017B52"/>
              </w:rPr>
              <w:t>Automobile Allowance</w:t>
            </w:r>
            <w:r>
              <w:rPr>
                <w:rFonts w:ascii="Arial" w:cs="Arial" w:eastAsia="Arial" w:hAnsi="Arial"/>
                <w:sz w:val="20"/>
                <w:szCs w:val="20"/>
                <w:color w:val="017B52"/>
                <w:vertAlign w:val="superscript"/>
              </w:rPr>
              <w:t>(2)</w:t>
            </w:r>
          </w:p>
        </w:tc>
        <w:tc>
          <w:tcPr>
            <w:tcW w:w="2620" w:type="dxa"/>
            <w:vAlign w:val="bottom"/>
          </w:tcPr>
          <w:p>
            <w:pPr>
              <w:jc w:val="center"/>
              <w:ind w:left="439"/>
              <w:spacing w:after="0"/>
              <w:rPr>
                <w:sz w:val="20"/>
                <w:szCs w:val="20"/>
                <w:color w:val="auto"/>
              </w:rPr>
            </w:pPr>
            <w:r>
              <w:rPr>
                <w:rFonts w:ascii="Arial" w:cs="Arial" w:eastAsia="Arial" w:hAnsi="Arial"/>
                <w:sz w:val="13"/>
                <w:szCs w:val="13"/>
                <w:color w:val="auto"/>
              </w:rPr>
              <w:t>√</w:t>
            </w:r>
          </w:p>
        </w:tc>
        <w:tc>
          <w:tcPr>
            <w:tcW w:w="2160" w:type="dxa"/>
            <w:vAlign w:val="bottom"/>
          </w:tcPr>
          <w:p>
            <w:pPr>
              <w:jc w:val="center"/>
              <w:spacing w:after="0"/>
              <w:rPr>
                <w:sz w:val="20"/>
                <w:szCs w:val="20"/>
                <w:color w:val="auto"/>
              </w:rPr>
            </w:pPr>
            <w:r>
              <w:rPr>
                <w:rFonts w:ascii="Arial" w:cs="Arial" w:eastAsia="Arial" w:hAnsi="Arial"/>
                <w:sz w:val="13"/>
                <w:szCs w:val="13"/>
                <w:color w:val="auto"/>
                <w:w w:val="83"/>
              </w:rPr>
              <w:t>√</w:t>
            </w:r>
          </w:p>
        </w:tc>
        <w:tc>
          <w:tcPr>
            <w:tcW w:w="1680" w:type="dxa"/>
            <w:vAlign w:val="bottom"/>
          </w:tcPr>
          <w:p>
            <w:pPr>
              <w:jc w:val="center"/>
              <w:ind w:left="319"/>
              <w:spacing w:after="0"/>
              <w:rPr>
                <w:sz w:val="20"/>
                <w:szCs w:val="20"/>
                <w:color w:val="auto"/>
              </w:rPr>
            </w:pPr>
            <w:r>
              <w:rPr>
                <w:rFonts w:ascii="Arial" w:cs="Arial" w:eastAsia="Arial" w:hAnsi="Arial"/>
                <w:sz w:val="13"/>
                <w:szCs w:val="13"/>
                <w:color w:val="auto"/>
                <w:w w:val="93"/>
              </w:rPr>
              <w:t>Not Offered</w:t>
            </w:r>
            <w:r>
              <w:rPr>
                <w:rFonts w:ascii="Arial" w:cs="Arial" w:eastAsia="Arial" w:hAnsi="Arial"/>
                <w:sz w:val="20"/>
                <w:szCs w:val="20"/>
                <w:color w:val="auto"/>
                <w:w w:val="93"/>
                <w:vertAlign w:val="superscript"/>
              </w:rPr>
              <w:t>(2)</w:t>
            </w:r>
          </w:p>
        </w:tc>
      </w:tr>
      <w:tr>
        <w:trPr>
          <w:trHeight w:val="42"/>
        </w:trPr>
        <w:tc>
          <w:tcPr>
            <w:tcW w:w="2940" w:type="dxa"/>
            <w:vAlign w:val="bottom"/>
            <w:tcBorders>
              <w:bottom w:val="single" w:sz="8" w:color="017B52"/>
            </w:tcBorders>
          </w:tcPr>
          <w:p>
            <w:pPr>
              <w:spacing w:after="0"/>
              <w:rPr>
                <w:sz w:val="3"/>
                <w:szCs w:val="3"/>
                <w:color w:val="auto"/>
              </w:rPr>
            </w:pPr>
          </w:p>
        </w:tc>
        <w:tc>
          <w:tcPr>
            <w:tcW w:w="2620" w:type="dxa"/>
            <w:vAlign w:val="bottom"/>
            <w:tcBorders>
              <w:bottom w:val="single" w:sz="8" w:color="017B52"/>
            </w:tcBorders>
          </w:tcPr>
          <w:p>
            <w:pPr>
              <w:spacing w:after="0"/>
              <w:rPr>
                <w:sz w:val="3"/>
                <w:szCs w:val="3"/>
                <w:color w:val="auto"/>
              </w:rPr>
            </w:pPr>
          </w:p>
        </w:tc>
        <w:tc>
          <w:tcPr>
            <w:tcW w:w="2160" w:type="dxa"/>
            <w:vAlign w:val="bottom"/>
            <w:tcBorders>
              <w:bottom w:val="single" w:sz="8" w:color="017B52"/>
            </w:tcBorders>
          </w:tcPr>
          <w:p>
            <w:pPr>
              <w:spacing w:after="0"/>
              <w:rPr>
                <w:sz w:val="3"/>
                <w:szCs w:val="3"/>
                <w:color w:val="auto"/>
              </w:rPr>
            </w:pPr>
          </w:p>
        </w:tc>
        <w:tc>
          <w:tcPr>
            <w:tcW w:w="1680" w:type="dxa"/>
            <w:vAlign w:val="bottom"/>
            <w:tcBorders>
              <w:bottom w:val="single" w:sz="8" w:color="017B52"/>
            </w:tcBorders>
          </w:tcPr>
          <w:p>
            <w:pPr>
              <w:spacing w:after="0"/>
              <w:rPr>
                <w:sz w:val="3"/>
                <w:szCs w:val="3"/>
                <w:color w:val="auto"/>
              </w:rPr>
            </w:pPr>
          </w:p>
        </w:tc>
      </w:tr>
      <w:tr>
        <w:trPr>
          <w:trHeight w:val="283"/>
        </w:trPr>
        <w:tc>
          <w:tcPr>
            <w:tcW w:w="2940" w:type="dxa"/>
            <w:vAlign w:val="bottom"/>
          </w:tcPr>
          <w:p>
            <w:pPr>
              <w:ind w:left="40"/>
              <w:spacing w:after="0"/>
              <w:rPr>
                <w:sz w:val="20"/>
                <w:szCs w:val="20"/>
                <w:color w:val="auto"/>
              </w:rPr>
            </w:pPr>
            <w:r>
              <w:rPr>
                <w:rFonts w:ascii="Arial" w:cs="Arial" w:eastAsia="Arial" w:hAnsi="Arial"/>
                <w:sz w:val="13"/>
                <w:szCs w:val="13"/>
                <w:b w:val="1"/>
                <w:bCs w:val="1"/>
                <w:color w:val="017B52"/>
              </w:rPr>
              <w:t>Personal Use of Company Aircraft</w:t>
            </w:r>
          </w:p>
        </w:tc>
        <w:tc>
          <w:tcPr>
            <w:tcW w:w="2620" w:type="dxa"/>
            <w:vAlign w:val="bottom"/>
          </w:tcPr>
          <w:p>
            <w:pPr>
              <w:jc w:val="center"/>
              <w:ind w:left="439"/>
              <w:spacing w:after="0"/>
              <w:rPr>
                <w:sz w:val="20"/>
                <w:szCs w:val="20"/>
                <w:color w:val="auto"/>
              </w:rPr>
            </w:pPr>
            <w:r>
              <w:rPr>
                <w:rFonts w:ascii="Arial" w:cs="Arial" w:eastAsia="Arial" w:hAnsi="Arial"/>
                <w:sz w:val="13"/>
                <w:szCs w:val="13"/>
                <w:color w:val="auto"/>
                <w:w w:val="97"/>
              </w:rPr>
              <w:t>Only with CEO Approval</w:t>
            </w:r>
          </w:p>
        </w:tc>
        <w:tc>
          <w:tcPr>
            <w:tcW w:w="2160" w:type="dxa"/>
            <w:vAlign w:val="bottom"/>
          </w:tcPr>
          <w:p>
            <w:pPr>
              <w:jc w:val="center"/>
              <w:spacing w:after="0"/>
              <w:rPr>
                <w:sz w:val="20"/>
                <w:szCs w:val="20"/>
                <w:color w:val="auto"/>
              </w:rPr>
            </w:pPr>
            <w:r>
              <w:rPr>
                <w:rFonts w:ascii="Arial" w:cs="Arial" w:eastAsia="Arial" w:hAnsi="Arial"/>
                <w:sz w:val="13"/>
                <w:szCs w:val="13"/>
                <w:color w:val="auto"/>
                <w:w w:val="97"/>
              </w:rPr>
              <w:t>Only with CEO Approval</w:t>
            </w:r>
          </w:p>
        </w:tc>
        <w:tc>
          <w:tcPr>
            <w:tcW w:w="1680" w:type="dxa"/>
            <w:vAlign w:val="bottom"/>
          </w:tcPr>
          <w:p>
            <w:pPr>
              <w:jc w:val="center"/>
              <w:ind w:left="319"/>
              <w:spacing w:after="0"/>
              <w:rPr>
                <w:sz w:val="20"/>
                <w:szCs w:val="20"/>
                <w:color w:val="auto"/>
              </w:rPr>
            </w:pPr>
            <w:r>
              <w:rPr>
                <w:rFonts w:ascii="Arial" w:cs="Arial" w:eastAsia="Arial" w:hAnsi="Arial"/>
                <w:sz w:val="13"/>
                <w:szCs w:val="13"/>
                <w:color w:val="auto"/>
                <w:w w:val="98"/>
              </w:rPr>
              <w:t>Not Offered</w:t>
            </w:r>
          </w:p>
        </w:tc>
      </w:tr>
      <w:tr>
        <w:trPr>
          <w:trHeight w:val="103"/>
        </w:trPr>
        <w:tc>
          <w:tcPr>
            <w:tcW w:w="2940" w:type="dxa"/>
            <w:vAlign w:val="bottom"/>
            <w:tcBorders>
              <w:bottom w:val="single" w:sz="8" w:color="017B52"/>
            </w:tcBorders>
          </w:tcPr>
          <w:p>
            <w:pPr>
              <w:spacing w:after="0"/>
              <w:rPr>
                <w:sz w:val="8"/>
                <w:szCs w:val="8"/>
                <w:color w:val="auto"/>
              </w:rPr>
            </w:pPr>
          </w:p>
        </w:tc>
        <w:tc>
          <w:tcPr>
            <w:tcW w:w="2620" w:type="dxa"/>
            <w:vAlign w:val="bottom"/>
            <w:tcBorders>
              <w:bottom w:val="single" w:sz="8" w:color="017B52"/>
            </w:tcBorders>
          </w:tcPr>
          <w:p>
            <w:pPr>
              <w:spacing w:after="0"/>
              <w:rPr>
                <w:sz w:val="8"/>
                <w:szCs w:val="8"/>
                <w:color w:val="auto"/>
              </w:rPr>
            </w:pPr>
          </w:p>
        </w:tc>
        <w:tc>
          <w:tcPr>
            <w:tcW w:w="2160" w:type="dxa"/>
            <w:vAlign w:val="bottom"/>
            <w:tcBorders>
              <w:bottom w:val="single" w:sz="8" w:color="017B52"/>
            </w:tcBorders>
          </w:tcPr>
          <w:p>
            <w:pPr>
              <w:spacing w:after="0"/>
              <w:rPr>
                <w:sz w:val="8"/>
                <w:szCs w:val="8"/>
                <w:color w:val="auto"/>
              </w:rPr>
            </w:pPr>
          </w:p>
        </w:tc>
        <w:tc>
          <w:tcPr>
            <w:tcW w:w="1680" w:type="dxa"/>
            <w:vAlign w:val="bottom"/>
            <w:tcBorders>
              <w:bottom w:val="single" w:sz="8" w:color="017B52"/>
            </w:tcBorders>
          </w:tcPr>
          <w:p>
            <w:pPr>
              <w:spacing w:after="0"/>
              <w:rPr>
                <w:sz w:val="8"/>
                <w:szCs w:val="8"/>
                <w:color w:val="auto"/>
              </w:rPr>
            </w:pPr>
          </w:p>
        </w:tc>
      </w:tr>
    </w:tbl>
    <w:p>
      <w:pPr>
        <w:spacing w:after="0" w:line="185" w:lineRule="exact"/>
        <w:rPr>
          <w:sz w:val="20"/>
          <w:szCs w:val="20"/>
          <w:color w:val="auto"/>
        </w:rPr>
      </w:pPr>
    </w:p>
    <w:p>
      <w:pPr>
        <w:ind w:left="360" w:right="600" w:hanging="354"/>
        <w:spacing w:after="0" w:line="243" w:lineRule="auto"/>
        <w:tabs>
          <w:tab w:leader="none" w:pos="36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We provide our officers with a limited taxable convenience allowance which they may use for household management, health and wellbeing, and similar expenses.</w:t>
      </w:r>
    </w:p>
    <w:p>
      <w:pPr>
        <w:spacing w:after="0" w:line="48" w:lineRule="exact"/>
        <w:rPr>
          <w:rFonts w:ascii="Arial" w:cs="Arial" w:eastAsia="Arial" w:hAnsi="Arial"/>
          <w:sz w:val="13"/>
          <w:szCs w:val="13"/>
          <w:color w:val="333333"/>
        </w:rPr>
      </w:pPr>
    </w:p>
    <w:p>
      <w:pPr>
        <w:ind w:left="360" w:right="400" w:hanging="354"/>
        <w:spacing w:after="0" w:line="233" w:lineRule="auto"/>
        <w:tabs>
          <w:tab w:leader="none" w:pos="36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The Company’s automobile expense reimbursement program limits participation to certain employees whose personal automobiles are used more than fifty percent for Company business travel. Other employees receive reimbursement, in accordance with the Internal Revenue Code, for expenses incurred in connection with the utilization of their personal vehicles for business travel.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35</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grant of plan-based awards earned in fiscal 2023 by the Named Executives: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1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ESTIMATED FUTURE PAYOUTS</w:t>
            </w:r>
          </w:p>
        </w:tc>
        <w:tc>
          <w:tcPr>
            <w:tcW w:w="22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ESTIMATED FUTURE PAYOUTS UNDER</w:t>
            </w:r>
          </w:p>
        </w:tc>
        <w:tc>
          <w:tcPr>
            <w:tcW w:w="1380" w:type="dxa"/>
            <w:vAlign w:val="bottom"/>
            <w:vMerge w:val="restart"/>
          </w:tcPr>
          <w:p>
            <w:pPr>
              <w:jc w:val="center"/>
              <w:ind w:left="68"/>
              <w:spacing w:after="0"/>
              <w:rPr>
                <w:sz w:val="20"/>
                <w:szCs w:val="20"/>
                <w:color w:val="auto"/>
              </w:rPr>
            </w:pPr>
            <w:r>
              <w:rPr>
                <w:rFonts w:ascii="Arial" w:cs="Arial" w:eastAsia="Arial" w:hAnsi="Arial"/>
                <w:sz w:val="11"/>
                <w:szCs w:val="11"/>
                <w:b w:val="1"/>
                <w:bCs w:val="1"/>
                <w:color w:val="auto"/>
                <w:w w:val="98"/>
              </w:rPr>
              <w:t>ALL OTHER</w:t>
            </w:r>
          </w:p>
        </w:tc>
        <w:tc>
          <w:tcPr>
            <w:tcW w:w="880" w:type="dxa"/>
            <w:vAlign w:val="bottom"/>
            <w:vMerge w:val="restart"/>
          </w:tcPr>
          <w:p>
            <w:pPr>
              <w:jc w:val="center"/>
              <w:ind w:left="128"/>
              <w:spacing w:after="0"/>
              <w:rPr>
                <w:sz w:val="20"/>
                <w:szCs w:val="20"/>
                <w:color w:val="auto"/>
              </w:rPr>
            </w:pPr>
            <w:r>
              <w:rPr>
                <w:rFonts w:ascii="Arial" w:cs="Arial" w:eastAsia="Arial" w:hAnsi="Arial"/>
                <w:sz w:val="11"/>
                <w:szCs w:val="11"/>
                <w:b w:val="1"/>
                <w:bCs w:val="1"/>
                <w:color w:val="auto"/>
                <w:w w:val="97"/>
              </w:rPr>
              <w:t>GRANT DATE</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100" w:type="dxa"/>
            <w:vAlign w:val="bottom"/>
            <w:gridSpan w:val="3"/>
          </w:tcPr>
          <w:p>
            <w:pPr>
              <w:jc w:val="center"/>
              <w:ind w:right="320"/>
              <w:spacing w:after="0" w:line="108" w:lineRule="exact"/>
              <w:rPr>
                <w:sz w:val="20"/>
                <w:szCs w:val="20"/>
                <w:color w:val="auto"/>
              </w:rPr>
            </w:pPr>
            <w:r>
              <w:rPr>
                <w:rFonts w:ascii="Arial" w:cs="Arial" w:eastAsia="Arial" w:hAnsi="Arial"/>
                <w:sz w:val="11"/>
                <w:szCs w:val="11"/>
                <w:b w:val="1"/>
                <w:bCs w:val="1"/>
                <w:color w:val="auto"/>
                <w:w w:val="98"/>
              </w:rPr>
              <w:t>UNDER NON-EQUITY INCENTIVE</w:t>
            </w:r>
          </w:p>
        </w:tc>
        <w:tc>
          <w:tcPr>
            <w:tcW w:w="220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98"/>
              </w:rPr>
              <w:t>EQUITY INCENTIVE PLAN</w:t>
            </w:r>
          </w:p>
        </w:tc>
        <w:tc>
          <w:tcPr>
            <w:tcW w:w="13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100" w:type="dxa"/>
            <w:vAlign w:val="bottom"/>
            <w:gridSpan w:val="3"/>
          </w:tcPr>
          <w:p>
            <w:pPr>
              <w:jc w:val="center"/>
              <w:ind w:right="320"/>
              <w:spacing w:after="0" w:line="122"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4"/>
                <w:szCs w:val="14"/>
                <w:b w:val="1"/>
                <w:bCs w:val="1"/>
                <w:color w:val="auto"/>
                <w:vertAlign w:val="superscript"/>
              </w:rPr>
              <w:t>(1)</w:t>
            </w:r>
          </w:p>
        </w:tc>
        <w:tc>
          <w:tcPr>
            <w:tcW w:w="740" w:type="dxa"/>
            <w:vAlign w:val="bottom"/>
          </w:tcPr>
          <w:p>
            <w:pPr>
              <w:spacing w:after="0"/>
              <w:rPr>
                <w:sz w:val="10"/>
                <w:szCs w:val="10"/>
                <w:color w:val="auto"/>
              </w:rPr>
            </w:pPr>
          </w:p>
        </w:tc>
        <w:tc>
          <w:tcPr>
            <w:tcW w:w="780" w:type="dxa"/>
            <w:vAlign w:val="bottom"/>
          </w:tcPr>
          <w:p>
            <w:pPr>
              <w:jc w:val="center"/>
              <w:ind w:right="28"/>
              <w:spacing w:after="0" w:line="12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680" w:type="dxa"/>
            <w:vAlign w:val="bottom"/>
          </w:tcPr>
          <w:p>
            <w:pPr>
              <w:spacing w:after="0"/>
              <w:rPr>
                <w:sz w:val="10"/>
                <w:szCs w:val="10"/>
                <w:color w:val="auto"/>
              </w:rPr>
            </w:pPr>
          </w:p>
        </w:tc>
        <w:tc>
          <w:tcPr>
            <w:tcW w:w="1380" w:type="dxa"/>
            <w:vAlign w:val="bottom"/>
          </w:tcPr>
          <w:p>
            <w:pPr>
              <w:jc w:val="center"/>
              <w:ind w:left="88"/>
              <w:spacing w:after="0" w:line="122" w:lineRule="exact"/>
              <w:rPr>
                <w:sz w:val="20"/>
                <w:szCs w:val="20"/>
                <w:color w:val="auto"/>
              </w:rPr>
            </w:pPr>
            <w:r>
              <w:rPr>
                <w:rFonts w:ascii="Arial" w:cs="Arial" w:eastAsia="Arial" w:hAnsi="Arial"/>
                <w:sz w:val="11"/>
                <w:szCs w:val="11"/>
                <w:b w:val="1"/>
                <w:bCs w:val="1"/>
                <w:color w:val="auto"/>
                <w:w w:val="97"/>
              </w:rPr>
              <w:t>STOCK AWARDS:</w:t>
            </w:r>
          </w:p>
        </w:tc>
        <w:tc>
          <w:tcPr>
            <w:tcW w:w="880" w:type="dxa"/>
            <w:vAlign w:val="bottom"/>
          </w:tcPr>
          <w:p>
            <w:pPr>
              <w:jc w:val="center"/>
              <w:ind w:left="108"/>
              <w:spacing w:after="0" w:line="122" w:lineRule="exact"/>
              <w:rPr>
                <w:sz w:val="20"/>
                <w:szCs w:val="20"/>
                <w:color w:val="auto"/>
              </w:rPr>
            </w:pPr>
            <w:r>
              <w:rPr>
                <w:rFonts w:ascii="Arial" w:cs="Arial" w:eastAsia="Arial" w:hAnsi="Arial"/>
                <w:sz w:val="11"/>
                <w:szCs w:val="11"/>
                <w:b w:val="1"/>
                <w:bCs w:val="1"/>
                <w:color w:val="auto"/>
                <w:w w:val="96"/>
              </w:rPr>
              <w:t>FAIR VALUE</w:t>
            </w: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0" w:type="dxa"/>
            <w:vAlign w:val="bottom"/>
            <w:tcBorders>
              <w:bottom w:val="single" w:sz="8" w:color="017B52"/>
            </w:tcBorders>
          </w:tcPr>
          <w:p>
            <w:pPr>
              <w:spacing w:after="0"/>
              <w:rPr>
                <w:sz w:val="11"/>
                <w:szCs w:val="11"/>
                <w:color w:val="auto"/>
              </w:rPr>
            </w:pPr>
          </w:p>
        </w:tc>
        <w:tc>
          <w:tcPr>
            <w:tcW w:w="860" w:type="dxa"/>
            <w:vAlign w:val="bottom"/>
            <w:tcBorders>
              <w:bottom w:val="single" w:sz="8" w:color="017B52"/>
            </w:tcBorders>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bottom w:val="single" w:sz="8" w:color="017B52"/>
            </w:tcBorders>
          </w:tcPr>
          <w:p>
            <w:pPr>
              <w:spacing w:after="0"/>
              <w:rPr>
                <w:sz w:val="11"/>
                <w:szCs w:val="11"/>
                <w:color w:val="auto"/>
              </w:rPr>
            </w:pPr>
          </w:p>
        </w:tc>
        <w:tc>
          <w:tcPr>
            <w:tcW w:w="780" w:type="dxa"/>
            <w:vAlign w:val="bottom"/>
            <w:tcBorders>
              <w:bottom w:val="single" w:sz="8" w:color="017B52"/>
            </w:tcBorders>
          </w:tcPr>
          <w:p>
            <w:pPr>
              <w:spacing w:after="0"/>
              <w:rPr>
                <w:sz w:val="11"/>
                <w:szCs w:val="11"/>
                <w:color w:val="auto"/>
              </w:rPr>
            </w:pPr>
          </w:p>
        </w:tc>
        <w:tc>
          <w:tcPr>
            <w:tcW w:w="680" w:type="dxa"/>
            <w:vAlign w:val="bottom"/>
            <w:tcBorders>
              <w:bottom w:val="single" w:sz="8" w:color="017B52"/>
            </w:tcBorders>
          </w:tcPr>
          <w:p>
            <w:pPr>
              <w:spacing w:after="0"/>
              <w:rPr>
                <w:sz w:val="11"/>
                <w:szCs w:val="11"/>
                <w:color w:val="auto"/>
              </w:rPr>
            </w:pPr>
          </w:p>
        </w:tc>
        <w:tc>
          <w:tcPr>
            <w:tcW w:w="1380" w:type="dxa"/>
            <w:vAlign w:val="bottom"/>
          </w:tcPr>
          <w:p>
            <w:pPr>
              <w:jc w:val="center"/>
              <w:ind w:left="48"/>
              <w:spacing w:after="0" w:line="122" w:lineRule="exact"/>
              <w:rPr>
                <w:sz w:val="20"/>
                <w:szCs w:val="20"/>
                <w:color w:val="auto"/>
              </w:rPr>
            </w:pPr>
            <w:r>
              <w:rPr>
                <w:rFonts w:ascii="Arial" w:cs="Arial" w:eastAsia="Arial" w:hAnsi="Arial"/>
                <w:sz w:val="11"/>
                <w:szCs w:val="11"/>
                <w:b w:val="1"/>
                <w:bCs w:val="1"/>
                <w:color w:val="auto"/>
                <w:w w:val="96"/>
              </w:rPr>
              <w:t>NUMBER OF</w:t>
            </w:r>
          </w:p>
        </w:tc>
        <w:tc>
          <w:tcPr>
            <w:tcW w:w="880" w:type="dxa"/>
            <w:vAlign w:val="bottom"/>
          </w:tcPr>
          <w:p>
            <w:pPr>
              <w:jc w:val="center"/>
              <w:ind w:left="108"/>
              <w:spacing w:after="0" w:line="122" w:lineRule="exact"/>
              <w:rPr>
                <w:sz w:val="20"/>
                <w:szCs w:val="20"/>
                <w:color w:val="auto"/>
              </w:rPr>
            </w:pPr>
            <w:r>
              <w:rPr>
                <w:rFonts w:ascii="Arial" w:cs="Arial" w:eastAsia="Arial" w:hAnsi="Arial"/>
                <w:sz w:val="11"/>
                <w:szCs w:val="11"/>
                <w:b w:val="1"/>
                <w:bCs w:val="1"/>
                <w:color w:val="auto"/>
                <w:w w:val="98"/>
              </w:rPr>
              <w:t>OF STOCK</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80" w:type="dxa"/>
            <w:vAlign w:val="bottom"/>
          </w:tcPr>
          <w:p>
            <w:pPr>
              <w:jc w:val="center"/>
              <w:ind w:left="88"/>
              <w:spacing w:after="0" w:line="81" w:lineRule="exact"/>
              <w:rPr>
                <w:sz w:val="20"/>
                <w:szCs w:val="20"/>
                <w:color w:val="auto"/>
              </w:rPr>
            </w:pPr>
            <w:r>
              <w:rPr>
                <w:rFonts w:ascii="Arial" w:cs="Arial" w:eastAsia="Arial" w:hAnsi="Arial"/>
                <w:sz w:val="9"/>
                <w:szCs w:val="9"/>
                <w:b w:val="1"/>
                <w:bCs w:val="1"/>
                <w:color w:val="auto"/>
              </w:rPr>
              <w:t>SHARES OF</w:t>
            </w:r>
          </w:p>
        </w:tc>
        <w:tc>
          <w:tcPr>
            <w:tcW w:w="880" w:type="dxa"/>
            <w:vAlign w:val="bottom"/>
          </w:tcPr>
          <w:p>
            <w:pPr>
              <w:jc w:val="center"/>
              <w:ind w:left="128"/>
              <w:spacing w:after="0" w:line="81" w:lineRule="exact"/>
              <w:rPr>
                <w:sz w:val="20"/>
                <w:szCs w:val="20"/>
                <w:color w:val="auto"/>
              </w:rPr>
            </w:pPr>
            <w:r>
              <w:rPr>
                <w:rFonts w:ascii="Arial" w:cs="Arial" w:eastAsia="Arial" w:hAnsi="Arial"/>
                <w:sz w:val="9"/>
                <w:szCs w:val="9"/>
                <w:b w:val="1"/>
                <w:bCs w:val="1"/>
                <w:color w:val="auto"/>
              </w:rPr>
              <w:t>AND OPTION</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560" w:type="dxa"/>
            <w:vAlign w:val="bottom"/>
          </w:tcPr>
          <w:p>
            <w:pPr>
              <w:jc w:val="right"/>
              <w:ind w:right="246"/>
              <w:spacing w:after="0"/>
              <w:rPr>
                <w:sz w:val="20"/>
                <w:szCs w:val="20"/>
                <w:color w:val="auto"/>
              </w:rPr>
            </w:pPr>
            <w:r>
              <w:rPr>
                <w:rFonts w:ascii="Arial" w:cs="Arial" w:eastAsia="Arial" w:hAnsi="Arial"/>
                <w:sz w:val="11"/>
                <w:szCs w:val="11"/>
                <w:b w:val="1"/>
                <w:bCs w:val="1"/>
                <w:color w:val="auto"/>
              </w:rPr>
              <w:t>GRANT</w:t>
            </w:r>
          </w:p>
        </w:tc>
        <w:tc>
          <w:tcPr>
            <w:tcW w:w="940" w:type="dxa"/>
            <w:vAlign w:val="bottom"/>
          </w:tcPr>
          <w:p>
            <w:pPr>
              <w:jc w:val="right"/>
              <w:ind w:right="167"/>
              <w:spacing w:after="0"/>
              <w:rPr>
                <w:sz w:val="20"/>
                <w:szCs w:val="20"/>
                <w:color w:val="auto"/>
              </w:rPr>
            </w:pPr>
            <w:r>
              <w:rPr>
                <w:rFonts w:ascii="Arial" w:cs="Arial" w:eastAsia="Arial" w:hAnsi="Arial"/>
                <w:sz w:val="11"/>
                <w:szCs w:val="11"/>
                <w:b w:val="1"/>
                <w:bCs w:val="1"/>
                <w:color w:val="auto"/>
              </w:rPr>
              <w:t>THRESHOLD</w:t>
            </w:r>
          </w:p>
        </w:tc>
        <w:tc>
          <w:tcPr>
            <w:tcW w:w="11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MAXIMUM</w:t>
            </w:r>
            <w:r>
              <w:rPr>
                <w:rFonts w:ascii="Arial" w:cs="Arial" w:eastAsia="Arial" w:hAnsi="Arial"/>
                <w:sz w:val="16"/>
                <w:szCs w:val="16"/>
                <w:b w:val="1"/>
                <w:bCs w:val="1"/>
                <w:color w:val="auto"/>
                <w:vertAlign w:val="superscript"/>
              </w:rPr>
              <w:t>(4)</w:t>
            </w:r>
          </w:p>
        </w:tc>
        <w:tc>
          <w:tcPr>
            <w:tcW w:w="740" w:type="dxa"/>
            <w:vAlign w:val="bottom"/>
          </w:tcPr>
          <w:p>
            <w:pPr>
              <w:jc w:val="center"/>
              <w:ind w:right="6"/>
              <w:spacing w:after="0"/>
              <w:rPr>
                <w:sz w:val="20"/>
                <w:szCs w:val="20"/>
                <w:color w:val="auto"/>
              </w:rPr>
            </w:pPr>
            <w:r>
              <w:rPr>
                <w:rFonts w:ascii="Arial" w:cs="Arial" w:eastAsia="Arial" w:hAnsi="Arial"/>
                <w:sz w:val="11"/>
                <w:szCs w:val="11"/>
                <w:b w:val="1"/>
                <w:bCs w:val="1"/>
                <w:color w:val="auto"/>
                <w:w w:val="99"/>
              </w:rPr>
              <w:t>THRESHOLD</w:t>
            </w:r>
          </w:p>
        </w:tc>
        <w:tc>
          <w:tcPr>
            <w:tcW w:w="780" w:type="dxa"/>
            <w:vAlign w:val="bottom"/>
          </w:tcPr>
          <w:p>
            <w:pPr>
              <w:jc w:val="center"/>
              <w:ind w:left="8"/>
              <w:spacing w:after="0"/>
              <w:rPr>
                <w:sz w:val="20"/>
                <w:szCs w:val="20"/>
                <w:color w:val="auto"/>
              </w:rPr>
            </w:pPr>
            <w:r>
              <w:rPr>
                <w:rFonts w:ascii="Arial" w:cs="Arial" w:eastAsia="Arial" w:hAnsi="Arial"/>
                <w:sz w:val="11"/>
                <w:szCs w:val="11"/>
                <w:b w:val="1"/>
                <w:bCs w:val="1"/>
                <w:color w:val="auto"/>
                <w:w w:val="95"/>
              </w:rPr>
              <w:t>Target</w:t>
            </w:r>
          </w:p>
        </w:tc>
        <w:tc>
          <w:tcPr>
            <w:tcW w:w="680" w:type="dxa"/>
            <w:vAlign w:val="bottom"/>
          </w:tcPr>
          <w:p>
            <w:pPr>
              <w:jc w:val="center"/>
              <w:ind w:left="66"/>
              <w:spacing w:after="0"/>
              <w:rPr>
                <w:sz w:val="20"/>
                <w:szCs w:val="20"/>
                <w:color w:val="auto"/>
              </w:rPr>
            </w:pPr>
            <w:r>
              <w:rPr>
                <w:rFonts w:ascii="Arial" w:cs="Arial" w:eastAsia="Arial" w:hAnsi="Arial"/>
                <w:sz w:val="11"/>
                <w:szCs w:val="11"/>
                <w:b w:val="1"/>
                <w:bCs w:val="1"/>
                <w:color w:val="auto"/>
                <w:w w:val="96"/>
              </w:rPr>
              <w:t>MAXIMUM</w:t>
            </w:r>
          </w:p>
        </w:tc>
        <w:tc>
          <w:tcPr>
            <w:tcW w:w="1380" w:type="dxa"/>
            <w:vAlign w:val="bottom"/>
          </w:tcPr>
          <w:p>
            <w:pPr>
              <w:jc w:val="center"/>
              <w:ind w:left="88"/>
              <w:spacing w:after="0" w:line="136" w:lineRule="exact"/>
              <w:rPr>
                <w:sz w:val="20"/>
                <w:szCs w:val="20"/>
                <w:color w:val="auto"/>
              </w:rPr>
            </w:pPr>
            <w:r>
              <w:rPr>
                <w:rFonts w:ascii="Arial" w:cs="Arial" w:eastAsia="Arial" w:hAnsi="Arial"/>
                <w:sz w:val="10"/>
                <w:szCs w:val="10"/>
                <w:b w:val="1"/>
                <w:bCs w:val="1"/>
                <w:color w:val="auto"/>
              </w:rPr>
              <w:t>STOCK</w:t>
            </w:r>
            <w:r>
              <w:rPr>
                <w:rFonts w:ascii="Arial" w:cs="Arial" w:eastAsia="Arial" w:hAnsi="Arial"/>
                <w:sz w:val="15"/>
                <w:szCs w:val="15"/>
                <w:b w:val="1"/>
                <w:bCs w:val="1"/>
                <w:color w:val="auto"/>
                <w:vertAlign w:val="superscript"/>
              </w:rPr>
              <w:t>(3)</w:t>
            </w:r>
          </w:p>
        </w:tc>
        <w:tc>
          <w:tcPr>
            <w:tcW w:w="880" w:type="dxa"/>
            <w:vAlign w:val="bottom"/>
          </w:tcPr>
          <w:p>
            <w:pPr>
              <w:jc w:val="center"/>
              <w:ind w:left="128"/>
              <w:spacing w:after="0"/>
              <w:rPr>
                <w:sz w:val="20"/>
                <w:szCs w:val="20"/>
                <w:color w:val="auto"/>
              </w:rPr>
            </w:pPr>
            <w:r>
              <w:rPr>
                <w:rFonts w:ascii="Arial" w:cs="Arial" w:eastAsia="Arial" w:hAnsi="Arial"/>
                <w:sz w:val="11"/>
                <w:szCs w:val="11"/>
                <w:b w:val="1"/>
                <w:bCs w:val="1"/>
                <w:color w:val="auto"/>
                <w:w w:val="92"/>
              </w:rPr>
              <w:t>AWARDS</w:t>
            </w:r>
          </w:p>
        </w:tc>
        <w:tc>
          <w:tcPr>
            <w:tcW w:w="0" w:type="dxa"/>
            <w:vAlign w:val="bottom"/>
          </w:tcPr>
          <w:p>
            <w:pPr>
              <w:spacing w:after="0"/>
              <w:rPr>
                <w:sz w:val="1"/>
                <w:szCs w:val="1"/>
                <w:color w:val="auto"/>
              </w:rPr>
            </w:pPr>
          </w:p>
        </w:tc>
      </w:tr>
      <w:tr>
        <w:trPr>
          <w:trHeight w:val="207"/>
        </w:trPr>
        <w:tc>
          <w:tcPr>
            <w:tcW w:w="120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560" w:type="dxa"/>
            <w:vAlign w:val="bottom"/>
          </w:tcPr>
          <w:p>
            <w:pPr>
              <w:jc w:val="right"/>
              <w:ind w:right="246"/>
              <w:spacing w:after="0"/>
              <w:rPr>
                <w:sz w:val="20"/>
                <w:szCs w:val="20"/>
                <w:color w:val="auto"/>
              </w:rPr>
            </w:pPr>
            <w:r>
              <w:rPr>
                <w:rFonts w:ascii="Arial" w:cs="Arial" w:eastAsia="Arial" w:hAnsi="Arial"/>
                <w:sz w:val="11"/>
                <w:szCs w:val="11"/>
                <w:b w:val="1"/>
                <w:bCs w:val="1"/>
                <w:color w:val="auto"/>
              </w:rPr>
              <w:t>DATE</w:t>
            </w:r>
          </w:p>
        </w:tc>
        <w:tc>
          <w:tcPr>
            <w:tcW w:w="940" w:type="dxa"/>
            <w:vAlign w:val="bottom"/>
          </w:tcPr>
          <w:p>
            <w:pPr>
              <w:jc w:val="right"/>
              <w:ind w:right="167"/>
              <w:spacing w:after="0"/>
              <w:rPr>
                <w:sz w:val="20"/>
                <w:szCs w:val="20"/>
                <w:color w:val="auto"/>
              </w:rPr>
            </w:pPr>
            <w:r>
              <w:rPr>
                <w:rFonts w:ascii="Arial" w:cs="Arial" w:eastAsia="Arial" w:hAnsi="Arial"/>
                <w:sz w:val="11"/>
                <w:szCs w:val="11"/>
                <w:b w:val="1"/>
                <w:bCs w:val="1"/>
                <w:color w:val="auto"/>
              </w:rPr>
              <w:t>($)</w:t>
            </w:r>
          </w:p>
        </w:tc>
        <w:tc>
          <w:tcPr>
            <w:tcW w:w="1160" w:type="dxa"/>
            <w:vAlign w:val="bottom"/>
            <w:gridSpan w:val="2"/>
            <w:vMerge w:val="continue"/>
          </w:tcPr>
          <w:p>
            <w:pPr>
              <w:spacing w:after="0"/>
              <w:rPr>
                <w:sz w:val="18"/>
                <w:szCs w:val="18"/>
                <w:color w:val="auto"/>
              </w:rPr>
            </w:pPr>
          </w:p>
        </w:tc>
        <w:tc>
          <w:tcPr>
            <w:tcW w:w="740" w:type="dxa"/>
            <w:vAlign w:val="bottom"/>
          </w:tcPr>
          <w:p>
            <w:pPr>
              <w:jc w:val="right"/>
              <w:ind w:right="286"/>
              <w:spacing w:after="0"/>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248"/>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1380" w:type="dxa"/>
            <w:vAlign w:val="bottom"/>
          </w:tcPr>
          <w:p>
            <w:pPr>
              <w:jc w:val="center"/>
              <w:ind w:left="88"/>
              <w:spacing w:after="0"/>
              <w:rPr>
                <w:sz w:val="20"/>
                <w:szCs w:val="20"/>
                <w:color w:val="auto"/>
              </w:rPr>
            </w:pPr>
            <w:r>
              <w:rPr>
                <w:rFonts w:ascii="Arial" w:cs="Arial" w:eastAsia="Arial" w:hAnsi="Arial"/>
                <w:sz w:val="11"/>
                <w:szCs w:val="11"/>
                <w:b w:val="1"/>
                <w:bCs w:val="1"/>
                <w:color w:val="auto"/>
                <w:w w:val="88"/>
              </w:rPr>
              <w:t>(#)</w:t>
            </w:r>
          </w:p>
        </w:tc>
        <w:tc>
          <w:tcPr>
            <w:tcW w:w="880" w:type="dxa"/>
            <w:vAlign w:val="bottom"/>
          </w:tcPr>
          <w:p>
            <w:pPr>
              <w:jc w:val="center"/>
              <w:ind w:left="12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59664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left="8"/>
              <w:spacing w:after="0"/>
              <w:rPr>
                <w:sz w:val="20"/>
                <w:szCs w:val="20"/>
                <w:color w:val="auto"/>
              </w:rPr>
            </w:pPr>
            <w:r>
              <w:rPr>
                <w:rFonts w:ascii="Arial" w:cs="Arial" w:eastAsia="Arial" w:hAnsi="Arial"/>
                <w:sz w:val="14"/>
                <w:szCs w:val="14"/>
                <w:color w:val="auto"/>
              </w:rPr>
              <w:t>$1,743,746</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r>
      <w:tr>
        <w:trPr>
          <w:trHeight w:val="378"/>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2,513</w:t>
            </w:r>
          </w:p>
        </w:tc>
        <w:tc>
          <w:tcPr>
            <w:tcW w:w="780" w:type="dxa"/>
            <w:vAlign w:val="bottom"/>
          </w:tcPr>
          <w:p>
            <w:pPr>
              <w:jc w:val="center"/>
              <w:spacing w:after="0"/>
              <w:rPr>
                <w:sz w:val="20"/>
                <w:szCs w:val="20"/>
                <w:color w:val="auto"/>
              </w:rPr>
            </w:pPr>
            <w:r>
              <w:rPr>
                <w:rFonts w:ascii="Arial" w:cs="Arial" w:eastAsia="Arial" w:hAnsi="Arial"/>
                <w:sz w:val="14"/>
                <w:szCs w:val="14"/>
                <w:color w:val="auto"/>
              </w:rPr>
              <w:t>5,026</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10,052</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$570,401</w:t>
            </w:r>
          </w:p>
        </w:tc>
      </w:tr>
      <w:tr>
        <w:trPr>
          <w:trHeight w:val="188"/>
        </w:trPr>
        <w:tc>
          <w:tcPr>
            <w:tcW w:w="276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45,235</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$5,133,720</w:t>
            </w:r>
          </w:p>
        </w:tc>
      </w:tr>
      <w:tr>
        <w:trPr>
          <w:trHeight w:val="405"/>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02/29/24</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8"/>
                <w:szCs w:val="28"/>
                <w:color w:val="auto"/>
                <w:w w:val="82"/>
                <w:vertAlign w:val="subscript"/>
              </w:rPr>
              <w:t>822</w:t>
            </w:r>
            <w:r>
              <w:rPr>
                <w:rFonts w:ascii="Arial" w:cs="Arial" w:eastAsia="Arial" w:hAnsi="Arial"/>
                <w:sz w:val="12"/>
                <w:szCs w:val="12"/>
                <w:color w:val="auto"/>
                <w:w w:val="82"/>
              </w:rPr>
              <w:t>(5)</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$91,582</w:t>
            </w:r>
          </w:p>
        </w:tc>
      </w:tr>
      <w:tr>
        <w:trPr>
          <w:trHeight w:val="89"/>
        </w:trPr>
        <w:tc>
          <w:tcPr>
            <w:tcW w:w="27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1280" w:type="dxa"/>
            <w:vAlign w:val="bottom"/>
            <w:tcBorders>
              <w:bottom w:val="single" w:sz="8" w:color="017B52"/>
            </w:tcBorders>
          </w:tcPr>
          <w:p>
            <w:pPr>
              <w:spacing w:after="0"/>
              <w:rPr>
                <w:sz w:val="7"/>
                <w:szCs w:val="7"/>
                <w:color w:val="auto"/>
              </w:rPr>
            </w:pPr>
          </w:p>
        </w:tc>
        <w:tc>
          <w:tcPr>
            <w:tcW w:w="82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020" w:type="dxa"/>
            <w:vAlign w:val="bottom"/>
            <w:tcBorders>
              <w:bottom w:val="single" w:sz="8" w:color="017B52"/>
            </w:tcBorders>
          </w:tcPr>
          <w:p>
            <w:pPr>
              <w:spacing w:after="0"/>
              <w:rPr>
                <w:sz w:val="7"/>
                <w:szCs w:val="7"/>
                <w:color w:val="auto"/>
              </w:rPr>
            </w:pPr>
          </w:p>
        </w:tc>
        <w:tc>
          <w:tcPr>
            <w:tcW w:w="1040" w:type="dxa"/>
            <w:vAlign w:val="bottom"/>
            <w:tcBorders>
              <w:bottom w:val="single" w:sz="8" w:color="017B52"/>
            </w:tcBorders>
          </w:tcPr>
          <w:p>
            <w:pPr>
              <w:spacing w:after="0"/>
              <w:rPr>
                <w:sz w:val="7"/>
                <w:szCs w:val="7"/>
                <w:color w:val="auto"/>
              </w:rPr>
            </w:pPr>
          </w:p>
        </w:tc>
      </w:tr>
      <w:tr>
        <w:trPr>
          <w:trHeight w:val="283"/>
        </w:trPr>
        <w:tc>
          <w:tcPr>
            <w:tcW w:w="276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left="8"/>
              <w:spacing w:after="0"/>
              <w:rPr>
                <w:sz w:val="20"/>
                <w:szCs w:val="20"/>
                <w:color w:val="auto"/>
              </w:rPr>
            </w:pPr>
            <w:r>
              <w:rPr>
                <w:rFonts w:ascii="Arial" w:cs="Arial" w:eastAsia="Arial" w:hAnsi="Arial"/>
                <w:sz w:val="14"/>
                <w:szCs w:val="14"/>
                <w:color w:val="auto"/>
              </w:rPr>
              <w:t>$960,000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r>
      <w:tr>
        <w:trPr>
          <w:trHeight w:val="378"/>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1,228</w:t>
            </w:r>
          </w:p>
        </w:tc>
        <w:tc>
          <w:tcPr>
            <w:tcW w:w="780" w:type="dxa"/>
            <w:vAlign w:val="bottom"/>
          </w:tcPr>
          <w:p>
            <w:pPr>
              <w:jc w:val="center"/>
              <w:spacing w:after="0"/>
              <w:rPr>
                <w:sz w:val="20"/>
                <w:szCs w:val="20"/>
                <w:color w:val="auto"/>
              </w:rPr>
            </w:pPr>
            <w:r>
              <w:rPr>
                <w:rFonts w:ascii="Arial" w:cs="Arial" w:eastAsia="Arial" w:hAnsi="Arial"/>
                <w:sz w:val="14"/>
                <w:szCs w:val="14"/>
                <w:color w:val="auto"/>
              </w:rPr>
              <w:t>2,457</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4,914</w:t>
            </w:r>
          </w:p>
        </w:tc>
        <w:tc>
          <w:tcPr>
            <w:tcW w:w="1020" w:type="dxa"/>
            <w:vAlign w:val="bottom"/>
          </w:tcPr>
          <w:p>
            <w:pPr>
              <w:spacing w:after="0"/>
              <w:rPr>
                <w:sz w:val="24"/>
                <w:szCs w:val="24"/>
                <w:color w:val="auto"/>
              </w:rPr>
            </w:pP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$278,845</w:t>
            </w:r>
          </w:p>
        </w:tc>
      </w:tr>
      <w:tr>
        <w:trPr>
          <w:trHeight w:val="188"/>
        </w:trPr>
        <w:tc>
          <w:tcPr>
            <w:tcW w:w="276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22,118</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$2,510,172</w:t>
            </w:r>
          </w:p>
        </w:tc>
      </w:tr>
      <w:tr>
        <w:trPr>
          <w:trHeight w:val="405"/>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02/29/24</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8"/>
                <w:szCs w:val="28"/>
                <w:color w:val="auto"/>
                <w:w w:val="82"/>
                <w:vertAlign w:val="subscript"/>
              </w:rPr>
              <w:t>441</w:t>
            </w:r>
            <w:r>
              <w:rPr>
                <w:rFonts w:ascii="Arial" w:cs="Arial" w:eastAsia="Arial" w:hAnsi="Arial"/>
                <w:sz w:val="12"/>
                <w:szCs w:val="12"/>
                <w:color w:val="auto"/>
                <w:w w:val="82"/>
              </w:rPr>
              <w:t>(5)</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$49,082</w:t>
            </w:r>
          </w:p>
        </w:tc>
      </w:tr>
      <w:tr>
        <w:trPr>
          <w:trHeight w:val="89"/>
        </w:trPr>
        <w:tc>
          <w:tcPr>
            <w:tcW w:w="27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1280" w:type="dxa"/>
            <w:vAlign w:val="bottom"/>
            <w:tcBorders>
              <w:bottom w:val="single" w:sz="8" w:color="017B52"/>
            </w:tcBorders>
          </w:tcPr>
          <w:p>
            <w:pPr>
              <w:spacing w:after="0"/>
              <w:rPr>
                <w:sz w:val="7"/>
                <w:szCs w:val="7"/>
                <w:color w:val="auto"/>
              </w:rPr>
            </w:pPr>
          </w:p>
        </w:tc>
        <w:tc>
          <w:tcPr>
            <w:tcW w:w="82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020" w:type="dxa"/>
            <w:vAlign w:val="bottom"/>
            <w:tcBorders>
              <w:bottom w:val="single" w:sz="8" w:color="017B52"/>
            </w:tcBorders>
          </w:tcPr>
          <w:p>
            <w:pPr>
              <w:spacing w:after="0"/>
              <w:rPr>
                <w:sz w:val="7"/>
                <w:szCs w:val="7"/>
                <w:color w:val="auto"/>
              </w:rPr>
            </w:pPr>
          </w:p>
        </w:tc>
        <w:tc>
          <w:tcPr>
            <w:tcW w:w="1040" w:type="dxa"/>
            <w:vAlign w:val="bottom"/>
            <w:tcBorders>
              <w:bottom w:val="single" w:sz="8" w:color="017B52"/>
            </w:tcBorders>
          </w:tcPr>
          <w:p>
            <w:pPr>
              <w:spacing w:after="0"/>
              <w:rPr>
                <w:sz w:val="7"/>
                <w:szCs w:val="7"/>
                <w:color w:val="auto"/>
              </w:rPr>
            </w:pPr>
          </w:p>
        </w:tc>
      </w:tr>
      <w:tr>
        <w:trPr>
          <w:trHeight w:val="283"/>
        </w:trPr>
        <w:tc>
          <w:tcPr>
            <w:tcW w:w="276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left="8"/>
              <w:spacing w:after="0"/>
              <w:rPr>
                <w:sz w:val="20"/>
                <w:szCs w:val="20"/>
                <w:color w:val="auto"/>
              </w:rPr>
            </w:pPr>
            <w:r>
              <w:rPr>
                <w:rFonts w:ascii="Arial" w:cs="Arial" w:eastAsia="Arial" w:hAnsi="Arial"/>
                <w:sz w:val="14"/>
                <w:szCs w:val="14"/>
                <w:color w:val="auto"/>
              </w:rPr>
              <w:t>$816,000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r>
      <w:tr>
        <w:trPr>
          <w:trHeight w:val="378"/>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652</w:t>
            </w:r>
          </w:p>
        </w:tc>
        <w:tc>
          <w:tcPr>
            <w:tcW w:w="780" w:type="dxa"/>
            <w:vAlign w:val="bottom"/>
          </w:tcPr>
          <w:p>
            <w:pPr>
              <w:jc w:val="center"/>
              <w:spacing w:after="0"/>
              <w:rPr>
                <w:sz w:val="20"/>
                <w:szCs w:val="20"/>
                <w:color w:val="auto"/>
              </w:rPr>
            </w:pPr>
            <w:r>
              <w:rPr>
                <w:rFonts w:ascii="Arial" w:cs="Arial" w:eastAsia="Arial" w:hAnsi="Arial"/>
                <w:sz w:val="14"/>
                <w:szCs w:val="14"/>
                <w:color w:val="auto"/>
              </w:rPr>
              <w:t>1,305</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2,610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$148,104</w:t>
            </w:r>
          </w:p>
        </w:tc>
      </w:tr>
      <w:tr>
        <w:trPr>
          <w:trHeight w:val="188"/>
        </w:trPr>
        <w:tc>
          <w:tcPr>
            <w:tcW w:w="276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11,751</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$1,333,621</w:t>
            </w:r>
          </w:p>
        </w:tc>
      </w:tr>
      <w:tr>
        <w:trPr>
          <w:trHeight w:val="494"/>
        </w:trPr>
        <w:tc>
          <w:tcPr>
            <w:tcW w:w="276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02/29/24</w:t>
            </w:r>
          </w:p>
        </w:tc>
        <w:tc>
          <w:tcPr>
            <w:tcW w:w="780" w:type="dxa"/>
            <w:vAlign w:val="bottom"/>
            <w:tcBorders>
              <w:bottom w:val="single" w:sz="8" w:color="017B52"/>
            </w:tcBorders>
          </w:tcPr>
          <w:p>
            <w:pPr>
              <w:spacing w:after="0"/>
              <w:rPr>
                <w:sz w:val="24"/>
                <w:szCs w:val="24"/>
                <w:color w:val="auto"/>
              </w:rPr>
            </w:pPr>
          </w:p>
        </w:tc>
        <w:tc>
          <w:tcPr>
            <w:tcW w:w="128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92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0"/>
              </w:rPr>
              <w:t>441</w:t>
            </w:r>
            <w:r>
              <w:rPr>
                <w:rFonts w:ascii="Arial" w:cs="Arial" w:eastAsia="Arial" w:hAnsi="Arial"/>
                <w:sz w:val="23"/>
                <w:szCs w:val="23"/>
                <w:color w:val="auto"/>
                <w:w w:val="90"/>
                <w:vertAlign w:val="superscript"/>
              </w:rPr>
              <w:t>(5)</w:t>
            </w:r>
          </w:p>
        </w:tc>
        <w:tc>
          <w:tcPr>
            <w:tcW w:w="1040" w:type="dxa"/>
            <w:vAlign w:val="bottom"/>
            <w:tcBorders>
              <w:bottom w:val="single" w:sz="8" w:color="017B52"/>
            </w:tcBorders>
          </w:tcPr>
          <w:p>
            <w:pPr>
              <w:jc w:val="center"/>
              <w:ind w:left="208"/>
              <w:spacing w:after="0"/>
              <w:rPr>
                <w:sz w:val="20"/>
                <w:szCs w:val="20"/>
                <w:color w:val="auto"/>
              </w:rPr>
            </w:pPr>
            <w:r>
              <w:rPr>
                <w:rFonts w:ascii="Arial" w:cs="Arial" w:eastAsia="Arial" w:hAnsi="Arial"/>
                <w:sz w:val="14"/>
                <w:szCs w:val="14"/>
                <w:color w:val="auto"/>
              </w:rPr>
              <w:t>$49,082</w:t>
            </w:r>
          </w:p>
        </w:tc>
      </w:tr>
      <w:tr>
        <w:trPr>
          <w:trHeight w:val="283"/>
        </w:trPr>
        <w:tc>
          <w:tcPr>
            <w:tcW w:w="276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left="8"/>
              <w:spacing w:after="0"/>
              <w:rPr>
                <w:sz w:val="20"/>
                <w:szCs w:val="20"/>
                <w:color w:val="auto"/>
              </w:rPr>
            </w:pPr>
            <w:r>
              <w:rPr>
                <w:rFonts w:ascii="Arial" w:cs="Arial" w:eastAsia="Arial" w:hAnsi="Arial"/>
                <w:sz w:val="14"/>
                <w:szCs w:val="14"/>
                <w:color w:val="auto"/>
              </w:rPr>
              <w:t>$816,000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r>
      <w:tr>
        <w:trPr>
          <w:trHeight w:val="378"/>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565</w:t>
            </w:r>
          </w:p>
        </w:tc>
        <w:tc>
          <w:tcPr>
            <w:tcW w:w="780" w:type="dxa"/>
            <w:vAlign w:val="bottom"/>
          </w:tcPr>
          <w:p>
            <w:pPr>
              <w:jc w:val="center"/>
              <w:spacing w:after="0"/>
              <w:rPr>
                <w:sz w:val="20"/>
                <w:szCs w:val="20"/>
                <w:color w:val="auto"/>
              </w:rPr>
            </w:pPr>
            <w:r>
              <w:rPr>
                <w:rFonts w:ascii="Arial" w:cs="Arial" w:eastAsia="Arial" w:hAnsi="Arial"/>
                <w:sz w:val="14"/>
                <w:szCs w:val="14"/>
                <w:color w:val="auto"/>
              </w:rPr>
              <w:t>1,130</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2,260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$128,244</w:t>
            </w:r>
          </w:p>
        </w:tc>
      </w:tr>
      <w:tr>
        <w:trPr>
          <w:trHeight w:val="188"/>
        </w:trPr>
        <w:tc>
          <w:tcPr>
            <w:tcW w:w="276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10,174</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$1,154,647</w:t>
            </w:r>
          </w:p>
        </w:tc>
      </w:tr>
      <w:tr>
        <w:trPr>
          <w:trHeight w:val="494"/>
        </w:trPr>
        <w:tc>
          <w:tcPr>
            <w:tcW w:w="276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02/29/24</w:t>
            </w:r>
          </w:p>
        </w:tc>
        <w:tc>
          <w:tcPr>
            <w:tcW w:w="780" w:type="dxa"/>
            <w:vAlign w:val="bottom"/>
            <w:tcBorders>
              <w:bottom w:val="single" w:sz="8" w:color="017B52"/>
            </w:tcBorders>
          </w:tcPr>
          <w:p>
            <w:pPr>
              <w:spacing w:after="0"/>
              <w:rPr>
                <w:sz w:val="24"/>
                <w:szCs w:val="24"/>
                <w:color w:val="auto"/>
              </w:rPr>
            </w:pPr>
          </w:p>
        </w:tc>
        <w:tc>
          <w:tcPr>
            <w:tcW w:w="128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92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0"/>
              </w:rPr>
              <w:t>441</w:t>
            </w:r>
            <w:r>
              <w:rPr>
                <w:rFonts w:ascii="Arial" w:cs="Arial" w:eastAsia="Arial" w:hAnsi="Arial"/>
                <w:sz w:val="23"/>
                <w:szCs w:val="23"/>
                <w:color w:val="auto"/>
                <w:w w:val="90"/>
                <w:vertAlign w:val="superscript"/>
              </w:rPr>
              <w:t>(5)</w:t>
            </w:r>
          </w:p>
        </w:tc>
        <w:tc>
          <w:tcPr>
            <w:tcW w:w="1040" w:type="dxa"/>
            <w:vAlign w:val="bottom"/>
            <w:tcBorders>
              <w:bottom w:val="single" w:sz="8" w:color="017B52"/>
            </w:tcBorders>
          </w:tcPr>
          <w:p>
            <w:pPr>
              <w:jc w:val="center"/>
              <w:ind w:left="208"/>
              <w:spacing w:after="0"/>
              <w:rPr>
                <w:sz w:val="20"/>
                <w:szCs w:val="20"/>
                <w:color w:val="auto"/>
              </w:rPr>
            </w:pPr>
            <w:r>
              <w:rPr>
                <w:rFonts w:ascii="Arial" w:cs="Arial" w:eastAsia="Arial" w:hAnsi="Arial"/>
                <w:sz w:val="14"/>
                <w:szCs w:val="14"/>
                <w:color w:val="auto"/>
              </w:rPr>
              <w:t>$49,082</w:t>
            </w:r>
          </w:p>
        </w:tc>
      </w:tr>
      <w:tr>
        <w:trPr>
          <w:trHeight w:val="282"/>
        </w:trPr>
        <w:tc>
          <w:tcPr>
            <w:tcW w:w="276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left="8"/>
              <w:spacing w:after="0"/>
              <w:rPr>
                <w:sz w:val="20"/>
                <w:szCs w:val="20"/>
                <w:color w:val="auto"/>
              </w:rPr>
            </w:pPr>
            <w:r>
              <w:rPr>
                <w:rFonts w:ascii="Arial" w:cs="Arial" w:eastAsia="Arial" w:hAnsi="Arial"/>
                <w:sz w:val="14"/>
                <w:szCs w:val="14"/>
                <w:color w:val="auto"/>
              </w:rPr>
              <w:t>$816,000</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r>
      <w:tr>
        <w:trPr>
          <w:trHeight w:val="378"/>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487</w:t>
            </w:r>
          </w:p>
        </w:tc>
        <w:tc>
          <w:tcPr>
            <w:tcW w:w="780" w:type="dxa"/>
            <w:vAlign w:val="bottom"/>
          </w:tcPr>
          <w:p>
            <w:pPr>
              <w:jc w:val="center"/>
              <w:spacing w:after="0"/>
              <w:rPr>
                <w:sz w:val="20"/>
                <w:szCs w:val="20"/>
                <w:color w:val="auto"/>
              </w:rPr>
            </w:pPr>
            <w:r>
              <w:rPr>
                <w:rFonts w:ascii="Arial" w:cs="Arial" w:eastAsia="Arial" w:hAnsi="Arial"/>
                <w:sz w:val="14"/>
                <w:szCs w:val="14"/>
                <w:color w:val="auto"/>
              </w:rPr>
              <w:t>975</w:t>
            </w: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1,950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188"/>
              <w:spacing w:after="0"/>
              <w:rPr>
                <w:sz w:val="20"/>
                <w:szCs w:val="20"/>
                <w:color w:val="auto"/>
              </w:rPr>
            </w:pPr>
            <w:r>
              <w:rPr>
                <w:rFonts w:ascii="Arial" w:cs="Arial" w:eastAsia="Arial" w:hAnsi="Arial"/>
                <w:sz w:val="14"/>
                <w:szCs w:val="14"/>
                <w:color w:val="auto"/>
                <w:w w:val="99"/>
              </w:rPr>
              <w:t>$110,653</w:t>
            </w:r>
          </w:p>
        </w:tc>
      </w:tr>
      <w:tr>
        <w:trPr>
          <w:trHeight w:val="188"/>
        </w:trPr>
        <w:tc>
          <w:tcPr>
            <w:tcW w:w="276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760" w:type="dxa"/>
            <w:vAlign w:val="bottom"/>
          </w:tcPr>
          <w:p>
            <w:pPr>
              <w:jc w:val="right"/>
              <w:ind w:right="250"/>
              <w:spacing w:after="0"/>
              <w:rPr>
                <w:sz w:val="20"/>
                <w:szCs w:val="20"/>
                <w:color w:val="auto"/>
              </w:rPr>
            </w:pPr>
            <w:r>
              <w:rPr>
                <w:rFonts w:ascii="Arial" w:cs="Arial" w:eastAsia="Arial" w:hAnsi="Arial"/>
                <w:sz w:val="14"/>
                <w:szCs w:val="14"/>
                <w:color w:val="auto"/>
              </w:rPr>
              <w:t>02/27/24</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8,779</w:t>
            </w:r>
          </w:p>
        </w:tc>
        <w:tc>
          <w:tcPr>
            <w:tcW w:w="1040" w:type="dxa"/>
            <w:vAlign w:val="bottom"/>
          </w:tcPr>
          <w:p>
            <w:pPr>
              <w:jc w:val="center"/>
              <w:ind w:left="208"/>
              <w:spacing w:after="0"/>
              <w:rPr>
                <w:sz w:val="20"/>
                <w:szCs w:val="20"/>
                <w:color w:val="auto"/>
              </w:rPr>
            </w:pPr>
            <w:r>
              <w:rPr>
                <w:rFonts w:ascii="Arial" w:cs="Arial" w:eastAsia="Arial" w:hAnsi="Arial"/>
                <w:sz w:val="14"/>
                <w:szCs w:val="14"/>
                <w:color w:val="auto"/>
              </w:rPr>
              <w:t>$996,329</w:t>
            </w:r>
          </w:p>
        </w:tc>
      </w:tr>
      <w:tr>
        <w:trPr>
          <w:trHeight w:val="494"/>
        </w:trPr>
        <w:tc>
          <w:tcPr>
            <w:tcW w:w="2760" w:type="dxa"/>
            <w:vAlign w:val="bottom"/>
            <w:tcBorders>
              <w:bottom w:val="single" w:sz="8" w:color="017B52"/>
            </w:tcBorders>
          </w:tcPr>
          <w:p>
            <w:pPr>
              <w:jc w:val="right"/>
              <w:ind w:right="250"/>
              <w:spacing w:after="0"/>
              <w:rPr>
                <w:sz w:val="20"/>
                <w:szCs w:val="20"/>
                <w:color w:val="auto"/>
              </w:rPr>
            </w:pPr>
            <w:r>
              <w:rPr>
                <w:rFonts w:ascii="Arial" w:cs="Arial" w:eastAsia="Arial" w:hAnsi="Arial"/>
                <w:sz w:val="14"/>
                <w:szCs w:val="14"/>
                <w:color w:val="auto"/>
              </w:rPr>
              <w:t>02/29/24</w:t>
            </w:r>
          </w:p>
        </w:tc>
        <w:tc>
          <w:tcPr>
            <w:tcW w:w="780" w:type="dxa"/>
            <w:vAlign w:val="bottom"/>
            <w:tcBorders>
              <w:bottom w:val="single" w:sz="8" w:color="017B52"/>
            </w:tcBorders>
          </w:tcPr>
          <w:p>
            <w:pPr>
              <w:spacing w:after="0"/>
              <w:rPr>
                <w:sz w:val="24"/>
                <w:szCs w:val="24"/>
                <w:color w:val="auto"/>
              </w:rPr>
            </w:pPr>
          </w:p>
        </w:tc>
        <w:tc>
          <w:tcPr>
            <w:tcW w:w="1280" w:type="dxa"/>
            <w:vAlign w:val="bottom"/>
            <w:tcBorders>
              <w:bottom w:val="single" w:sz="8" w:color="017B52"/>
            </w:tcBorders>
          </w:tcPr>
          <w:p>
            <w:pPr>
              <w:spacing w:after="0"/>
              <w:rPr>
                <w:sz w:val="24"/>
                <w:szCs w:val="24"/>
                <w:color w:val="auto"/>
              </w:rPr>
            </w:pPr>
          </w:p>
        </w:tc>
        <w:tc>
          <w:tcPr>
            <w:tcW w:w="820" w:type="dxa"/>
            <w:vAlign w:val="bottom"/>
            <w:tcBorders>
              <w:bottom w:val="single" w:sz="8" w:color="017B52"/>
            </w:tcBorders>
          </w:tcPr>
          <w:p>
            <w:pPr>
              <w:spacing w:after="0"/>
              <w:rPr>
                <w:sz w:val="24"/>
                <w:szCs w:val="24"/>
                <w:color w:val="auto"/>
              </w:rPr>
            </w:pPr>
          </w:p>
        </w:tc>
        <w:tc>
          <w:tcPr>
            <w:tcW w:w="780" w:type="dxa"/>
            <w:vAlign w:val="bottom"/>
            <w:tcBorders>
              <w:bottom w:val="single" w:sz="8" w:color="017B52"/>
            </w:tcBorders>
          </w:tcPr>
          <w:p>
            <w:pPr>
              <w:spacing w:after="0"/>
              <w:rPr>
                <w:sz w:val="24"/>
                <w:szCs w:val="24"/>
                <w:color w:val="auto"/>
              </w:rPr>
            </w:pPr>
          </w:p>
        </w:tc>
        <w:tc>
          <w:tcPr>
            <w:tcW w:w="920" w:type="dxa"/>
            <w:vAlign w:val="bottom"/>
            <w:tcBorders>
              <w:bottom w:val="single" w:sz="8" w:color="017B52"/>
            </w:tcBorders>
          </w:tcPr>
          <w:p>
            <w:pPr>
              <w:spacing w:after="0"/>
              <w:rPr>
                <w:sz w:val="24"/>
                <w:szCs w:val="24"/>
                <w:color w:val="auto"/>
              </w:rPr>
            </w:pPr>
          </w:p>
        </w:tc>
        <w:tc>
          <w:tcPr>
            <w:tcW w:w="1020" w:type="dxa"/>
            <w:vAlign w:val="bottom"/>
            <w:tcBorders>
              <w:bottom w:val="single" w:sz="8" w:color="017B52"/>
            </w:tcBorders>
          </w:tcPr>
          <w:p>
            <w:pPr>
              <w:jc w:val="center"/>
              <w:spacing w:after="0"/>
              <w:rPr>
                <w:sz w:val="20"/>
                <w:szCs w:val="20"/>
                <w:color w:val="auto"/>
              </w:rPr>
            </w:pPr>
            <w:r>
              <w:rPr>
                <w:rFonts w:ascii="Arial" w:cs="Arial" w:eastAsia="Arial" w:hAnsi="Arial"/>
                <w:sz w:val="14"/>
                <w:szCs w:val="14"/>
                <w:color w:val="auto"/>
                <w:w w:val="90"/>
              </w:rPr>
              <w:t>420</w:t>
            </w:r>
            <w:r>
              <w:rPr>
                <w:rFonts w:ascii="Arial" w:cs="Arial" w:eastAsia="Arial" w:hAnsi="Arial"/>
                <w:sz w:val="23"/>
                <w:szCs w:val="23"/>
                <w:color w:val="auto"/>
                <w:w w:val="90"/>
                <w:vertAlign w:val="superscript"/>
              </w:rPr>
              <w:t>(5)</w:t>
            </w:r>
          </w:p>
        </w:tc>
        <w:tc>
          <w:tcPr>
            <w:tcW w:w="1040" w:type="dxa"/>
            <w:vAlign w:val="bottom"/>
            <w:tcBorders>
              <w:bottom w:val="single" w:sz="8" w:color="017B52"/>
            </w:tcBorders>
          </w:tcPr>
          <w:p>
            <w:pPr>
              <w:jc w:val="center"/>
              <w:ind w:left="208"/>
              <w:spacing w:after="0"/>
              <w:rPr>
                <w:sz w:val="20"/>
                <w:szCs w:val="20"/>
                <w:color w:val="auto"/>
              </w:rPr>
            </w:pPr>
            <w:r>
              <w:rPr>
                <w:rFonts w:ascii="Arial" w:cs="Arial" w:eastAsia="Arial" w:hAnsi="Arial"/>
                <w:sz w:val="14"/>
                <w:szCs w:val="14"/>
                <w:color w:val="auto"/>
              </w:rPr>
              <w:t>$46,750</w:t>
            </w:r>
          </w:p>
        </w:tc>
      </w:tr>
    </w:tbl>
    <w:p>
      <w:pPr>
        <w:spacing w:after="0" w:line="185" w:lineRule="exact"/>
        <w:rPr>
          <w:sz w:val="20"/>
          <w:szCs w:val="20"/>
          <w:color w:val="auto"/>
        </w:rPr>
      </w:pPr>
    </w:p>
    <w:p>
      <w:pPr>
        <w:ind w:left="360" w:right="40" w:hanging="354"/>
        <w:spacing w:after="0" w:line="233" w:lineRule="auto"/>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Amounts earned under our annual incentive program are required to be paid within 75 days after our fiscal year-end and are subject to the maximum payment amount described in footnote (4). For details regarding how awards are determined under the Plan, see the Compensation Discussion and Analysis section of this proxy statement.</w:t>
      </w:r>
    </w:p>
    <w:p>
      <w:pPr>
        <w:spacing w:after="0" w:line="50" w:lineRule="exact"/>
        <w:rPr>
          <w:rFonts w:ascii="Arial" w:cs="Arial" w:eastAsia="Arial" w:hAnsi="Arial"/>
          <w:sz w:val="13"/>
          <w:szCs w:val="13"/>
          <w:color w:val="333333"/>
        </w:rPr>
      </w:pPr>
    </w:p>
    <w:p>
      <w:pPr>
        <w:ind w:left="360" w:right="160" w:hanging="354"/>
        <w:spacing w:after="0" w:line="246" w:lineRule="auto"/>
        <w:tabs>
          <w:tab w:leader="none" w:pos="360" w:val="left"/>
        </w:tabs>
        <w:numPr>
          <w:ilvl w:val="0"/>
          <w:numId w:val="33"/>
        </w:numPr>
        <w:rPr>
          <w:rFonts w:ascii="Arial" w:cs="Arial" w:eastAsia="Arial" w:hAnsi="Arial"/>
          <w:sz w:val="12"/>
          <w:szCs w:val="12"/>
          <w:color w:val="333333"/>
        </w:rPr>
      </w:pPr>
      <w:r>
        <w:rPr>
          <w:rFonts w:ascii="Arial" w:cs="Arial" w:eastAsia="Arial" w:hAnsi="Arial"/>
          <w:sz w:val="12"/>
          <w:szCs w:val="12"/>
          <w:color w:val="333333"/>
        </w:rPr>
        <w:t>The amounts in these three columns reflect the grant of performance units pursuant to our Long-Term Stock Incentive Plan. The performance units represent shares of the Company’s common stock and are issuable to participants at the end of the 3-year performance period beginning on the first day of the fiscal year that the performance units are granted. As explained in the Compensation Discussion and Analysis section above, performance is based upon the Company’s actual, cumulative pre-incentive compensation operating profit relative to the budgeted amount of pre-incentive compensation operating profit for that 3-year period. The total number of shares that may finally issue may vary from zero to 200% of the target amount, depending upon the Company’s performance.</w:t>
      </w:r>
    </w:p>
    <w:p>
      <w:pPr>
        <w:spacing w:after="0" w:line="62" w:lineRule="exact"/>
        <w:rPr>
          <w:rFonts w:ascii="Arial" w:cs="Arial" w:eastAsia="Arial" w:hAnsi="Arial"/>
          <w:sz w:val="12"/>
          <w:szCs w:val="12"/>
          <w:color w:val="333333"/>
        </w:rPr>
      </w:pPr>
    </w:p>
    <w:p>
      <w:pPr>
        <w:ind w:left="360" w:right="60" w:hanging="354"/>
        <w:spacing w:after="0" w:line="229" w:lineRule="auto"/>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Reflects the grant of shares of restricted Company common stock. As described in the Compensation Discussion and Analysis section above, the amount of incentive compensation earned in excess of the limit referenced in footnote (4) is payable in the form of performance units described in footnote (2) and in shares of restricted Company stock that cliff vest in five years, subject to accelerated vesting upon death, disability or a change in control. The grant date fair value of the awards is included in the Stock Awards column in the Summary Compensation Table.</w:t>
      </w:r>
    </w:p>
    <w:p>
      <w:pPr>
        <w:spacing w:after="0" w:line="63" w:lineRule="exact"/>
        <w:rPr>
          <w:rFonts w:ascii="Arial" w:cs="Arial" w:eastAsia="Arial" w:hAnsi="Arial"/>
          <w:sz w:val="13"/>
          <w:szCs w:val="13"/>
          <w:color w:val="333333"/>
        </w:rPr>
      </w:pPr>
    </w:p>
    <w:p>
      <w:pPr>
        <w:ind w:left="360" w:right="520" w:hanging="354"/>
        <w:spacing w:after="0" w:line="243" w:lineRule="auto"/>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Represents 2.0 times each Named Executive’s base salary as of the date of the grant, which is the maximum amount payable under our annual incentive program.</w:t>
      </w:r>
    </w:p>
    <w:p>
      <w:pPr>
        <w:spacing w:after="0" w:line="48" w:lineRule="exact"/>
        <w:rPr>
          <w:rFonts w:ascii="Arial" w:cs="Arial" w:eastAsia="Arial" w:hAnsi="Arial"/>
          <w:sz w:val="13"/>
          <w:szCs w:val="13"/>
          <w:color w:val="333333"/>
        </w:rPr>
      </w:pPr>
    </w:p>
    <w:p>
      <w:pPr>
        <w:ind w:left="360" w:hanging="354"/>
        <w:spacing w:after="0"/>
        <w:tabs>
          <w:tab w:leader="none" w:pos="360" w:val="left"/>
        </w:tabs>
        <w:numPr>
          <w:ilvl w:val="0"/>
          <w:numId w:val="33"/>
        </w:numPr>
        <w:rPr>
          <w:rFonts w:ascii="Arial" w:cs="Arial" w:eastAsia="Arial" w:hAnsi="Arial"/>
          <w:sz w:val="13"/>
          <w:szCs w:val="13"/>
          <w:color w:val="333333"/>
        </w:rPr>
      </w:pPr>
      <w:r>
        <w:rPr>
          <w:rFonts w:ascii="Arial" w:cs="Arial" w:eastAsia="Arial" w:hAnsi="Arial"/>
          <w:sz w:val="13"/>
          <w:szCs w:val="13"/>
          <w:color w:val="333333"/>
        </w:rPr>
        <w:t>Represents the grant of shares under our Executive Stock Grant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36</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information concerning equity awards held by the Named Executives as of December 30,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80" w:type="dxa"/>
            <w:vAlign w:val="bottom"/>
            <w:gridSpan w:val="2"/>
          </w:tcPr>
          <w:p>
            <w:pPr>
              <w:ind w:left="1260"/>
              <w:spacing w:after="0"/>
              <w:rPr>
                <w:sz w:val="20"/>
                <w:szCs w:val="20"/>
                <w:color w:val="auto"/>
              </w:rPr>
            </w:pPr>
            <w:r>
              <w:rPr>
                <w:rFonts w:ascii="Arial" w:cs="Arial" w:eastAsia="Arial" w:hAnsi="Arial"/>
                <w:sz w:val="11"/>
                <w:szCs w:val="11"/>
                <w:b w:val="1"/>
                <w:bCs w:val="1"/>
                <w:color w:val="auto"/>
              </w:rPr>
              <w:t>STOCK AWARDS</w:t>
            </w:r>
          </w:p>
        </w:tc>
        <w:tc>
          <w:tcPr>
            <w:tcW w:w="16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54"/>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169"/>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SHARES</w:t>
            </w:r>
          </w:p>
        </w:tc>
        <w:tc>
          <w:tcPr>
            <w:tcW w:w="1480" w:type="dxa"/>
            <w:vAlign w:val="bottom"/>
          </w:tcPr>
          <w:p>
            <w:pPr>
              <w:jc w:val="center"/>
              <w:ind w:right="51"/>
              <w:spacing w:after="0"/>
              <w:rPr>
                <w:sz w:val="20"/>
                <w:szCs w:val="20"/>
                <w:color w:val="auto"/>
              </w:rPr>
            </w:pPr>
            <w:r>
              <w:rPr>
                <w:rFonts w:ascii="Arial" w:cs="Arial" w:eastAsia="Arial" w:hAnsi="Arial"/>
                <w:sz w:val="11"/>
                <w:szCs w:val="11"/>
                <w:b w:val="1"/>
                <w:bCs w:val="1"/>
                <w:color w:val="auto"/>
                <w:w w:val="98"/>
              </w:rPr>
              <w:t>MARKET VALUE OF</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UNEARNED</w:t>
            </w:r>
          </w:p>
        </w:tc>
        <w:tc>
          <w:tcPr>
            <w:tcW w:w="1640" w:type="dxa"/>
            <w:vAlign w:val="bottom"/>
          </w:tcPr>
          <w:p>
            <w:pPr>
              <w:jc w:val="center"/>
              <w:ind w:left="34"/>
              <w:spacing w:after="0"/>
              <w:rPr>
                <w:sz w:val="20"/>
                <w:szCs w:val="20"/>
                <w:color w:val="auto"/>
              </w:rPr>
            </w:pPr>
            <w:r>
              <w:rPr>
                <w:rFonts w:ascii="Arial" w:cs="Arial" w:eastAsia="Arial" w:hAnsi="Arial"/>
                <w:sz w:val="11"/>
                <w:szCs w:val="11"/>
                <w:b w:val="1"/>
                <w:bCs w:val="1"/>
                <w:color w:val="auto"/>
                <w:w w:val="96"/>
              </w:rPr>
              <w:t>MARKET OR PAYOUT VALUE</w:t>
            </w:r>
          </w:p>
        </w:tc>
        <w:tc>
          <w:tcPr>
            <w:tcW w:w="820" w:type="dxa"/>
            <w:vAlign w:val="bottom"/>
          </w:tcPr>
          <w:p>
            <w:pPr>
              <w:spacing w:after="0"/>
              <w:rPr>
                <w:sz w:val="14"/>
                <w:szCs w:val="14"/>
                <w:color w:val="auto"/>
              </w:rPr>
            </w:pPr>
          </w:p>
        </w:tc>
      </w:tr>
      <w:tr>
        <w:trPr>
          <w:trHeight w:val="122"/>
        </w:trPr>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OR UNITS OF STOCK</w:t>
            </w:r>
          </w:p>
        </w:tc>
        <w:tc>
          <w:tcPr>
            <w:tcW w:w="1480" w:type="dxa"/>
            <w:vAlign w:val="bottom"/>
          </w:tcPr>
          <w:p>
            <w:pPr>
              <w:jc w:val="center"/>
              <w:ind w:right="51"/>
              <w:spacing w:after="0" w:line="122" w:lineRule="exact"/>
              <w:rPr>
                <w:sz w:val="20"/>
                <w:szCs w:val="20"/>
                <w:color w:val="auto"/>
              </w:rPr>
            </w:pPr>
            <w:r>
              <w:rPr>
                <w:rFonts w:ascii="Arial" w:cs="Arial" w:eastAsia="Arial" w:hAnsi="Arial"/>
                <w:sz w:val="11"/>
                <w:szCs w:val="11"/>
                <w:b w:val="1"/>
                <w:bCs w:val="1"/>
                <w:color w:val="auto"/>
                <w:w w:val="96"/>
              </w:rPr>
              <w:t>SHARES OR UNITS OF</w:t>
            </w:r>
          </w:p>
        </w:tc>
        <w:tc>
          <w:tcPr>
            <w:tcW w:w="1600" w:type="dxa"/>
            <w:vAlign w:val="bottom"/>
          </w:tcPr>
          <w:p>
            <w:pPr>
              <w:jc w:val="center"/>
              <w:ind w:right="14"/>
              <w:spacing w:after="0" w:line="122" w:lineRule="exact"/>
              <w:rPr>
                <w:sz w:val="20"/>
                <w:szCs w:val="20"/>
                <w:color w:val="auto"/>
              </w:rPr>
            </w:pPr>
            <w:r>
              <w:rPr>
                <w:rFonts w:ascii="Arial" w:cs="Arial" w:eastAsia="Arial" w:hAnsi="Arial"/>
                <w:sz w:val="11"/>
                <w:szCs w:val="11"/>
                <w:b w:val="1"/>
                <w:bCs w:val="1"/>
                <w:color w:val="auto"/>
                <w:w w:val="98"/>
              </w:rPr>
              <w:t>SHARES, UNITS OR OTHER</w:t>
            </w:r>
          </w:p>
        </w:tc>
        <w:tc>
          <w:tcPr>
            <w:tcW w:w="1640" w:type="dxa"/>
            <w:vAlign w:val="bottom"/>
          </w:tcPr>
          <w:p>
            <w:pPr>
              <w:jc w:val="center"/>
              <w:ind w:left="34"/>
              <w:spacing w:after="0" w:line="122" w:lineRule="exact"/>
              <w:rPr>
                <w:sz w:val="20"/>
                <w:szCs w:val="20"/>
                <w:color w:val="auto"/>
              </w:rPr>
            </w:pPr>
            <w:r>
              <w:rPr>
                <w:rFonts w:ascii="Arial" w:cs="Arial" w:eastAsia="Arial" w:hAnsi="Arial"/>
                <w:sz w:val="11"/>
                <w:szCs w:val="11"/>
                <w:b w:val="1"/>
                <w:bCs w:val="1"/>
                <w:color w:val="auto"/>
                <w:w w:val="97"/>
              </w:rPr>
              <w:t>OF UNEARNED SHARES,</w:t>
            </w:r>
          </w:p>
        </w:tc>
        <w:tc>
          <w:tcPr>
            <w:tcW w:w="820" w:type="dxa"/>
            <w:vAlign w:val="bottom"/>
          </w:tcPr>
          <w:p>
            <w:pPr>
              <w:spacing w:after="0"/>
              <w:rPr>
                <w:sz w:val="10"/>
                <w:szCs w:val="10"/>
                <w:color w:val="auto"/>
              </w:rPr>
            </w:pPr>
          </w:p>
        </w:tc>
      </w:tr>
      <w:tr>
        <w:trPr>
          <w:trHeight w:val="121"/>
        </w:trPr>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w:t>
            </w:r>
          </w:p>
        </w:tc>
        <w:tc>
          <w:tcPr>
            <w:tcW w:w="1480" w:type="dxa"/>
            <w:vAlign w:val="bottom"/>
          </w:tcPr>
          <w:p>
            <w:pPr>
              <w:jc w:val="center"/>
              <w:ind w:right="51"/>
              <w:spacing w:after="0" w:line="122" w:lineRule="exact"/>
              <w:rPr>
                <w:sz w:val="20"/>
                <w:szCs w:val="20"/>
                <w:color w:val="auto"/>
              </w:rPr>
            </w:pPr>
            <w:r>
              <w:rPr>
                <w:rFonts w:ascii="Arial" w:cs="Arial" w:eastAsia="Arial" w:hAnsi="Arial"/>
                <w:sz w:val="11"/>
                <w:szCs w:val="11"/>
                <w:b w:val="1"/>
                <w:bCs w:val="1"/>
                <w:color w:val="auto"/>
                <w:w w:val="97"/>
              </w:rPr>
              <w:t>STOCK THAT HAVE NOT</w:t>
            </w:r>
          </w:p>
        </w:tc>
        <w:tc>
          <w:tcPr>
            <w:tcW w:w="1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RIGHTS THAT HAVE NOT</w:t>
            </w:r>
          </w:p>
        </w:tc>
        <w:tc>
          <w:tcPr>
            <w:tcW w:w="164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97"/>
              </w:rPr>
              <w:t>UNITS OR OTHER RIGHTS</w:t>
            </w:r>
          </w:p>
        </w:tc>
        <w:tc>
          <w:tcPr>
            <w:tcW w:w="820" w:type="dxa"/>
            <w:vAlign w:val="bottom"/>
          </w:tcPr>
          <w:p>
            <w:pPr>
              <w:spacing w:after="0"/>
              <w:rPr>
                <w:sz w:val="10"/>
                <w:szCs w:val="10"/>
                <w:color w:val="auto"/>
              </w:rPr>
            </w:pPr>
          </w:p>
        </w:tc>
      </w:tr>
      <w:tr>
        <w:trPr>
          <w:trHeight w:val="122"/>
        </w:trPr>
        <w:tc>
          <w:tcPr>
            <w:tcW w:w="8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GRANT</w:t>
            </w:r>
          </w:p>
        </w:tc>
        <w:tc>
          <w:tcPr>
            <w:tcW w:w="1020" w:type="dxa"/>
            <w:vAlign w:val="bottom"/>
          </w:tcPr>
          <w:p>
            <w:pPr>
              <w:spacing w:after="0"/>
              <w:rPr>
                <w:sz w:val="10"/>
                <w:szCs w:val="10"/>
                <w:color w:val="auto"/>
              </w:rPr>
            </w:pP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480" w:type="dxa"/>
            <w:vAlign w:val="bottom"/>
          </w:tcPr>
          <w:p>
            <w:pPr>
              <w:jc w:val="center"/>
              <w:ind w:right="51"/>
              <w:spacing w:after="0" w:line="122" w:lineRule="exact"/>
              <w:rPr>
                <w:sz w:val="20"/>
                <w:szCs w:val="20"/>
                <w:color w:val="auto"/>
              </w:rPr>
            </w:pPr>
            <w:r>
              <w:rPr>
                <w:rFonts w:ascii="Arial" w:cs="Arial" w:eastAsia="Arial" w:hAnsi="Arial"/>
                <w:sz w:val="11"/>
                <w:szCs w:val="11"/>
                <w:b w:val="1"/>
                <w:bCs w:val="1"/>
                <w:color w:val="auto"/>
                <w:w w:val="99"/>
              </w:rPr>
              <w:t>VESTED</w:t>
            </w:r>
          </w:p>
        </w:tc>
        <w:tc>
          <w:tcPr>
            <w:tcW w:w="1600" w:type="dxa"/>
            <w:vAlign w:val="bottom"/>
          </w:tcPr>
          <w:p>
            <w:pPr>
              <w:jc w:val="center"/>
              <w:ind w:right="14"/>
              <w:spacing w:after="0" w:line="122" w:lineRule="exact"/>
              <w:rPr>
                <w:sz w:val="20"/>
                <w:szCs w:val="20"/>
                <w:color w:val="auto"/>
              </w:rPr>
            </w:pPr>
            <w:r>
              <w:rPr>
                <w:rFonts w:ascii="Arial" w:cs="Arial" w:eastAsia="Arial" w:hAnsi="Arial"/>
                <w:sz w:val="11"/>
                <w:szCs w:val="11"/>
                <w:b w:val="1"/>
                <w:bCs w:val="1"/>
                <w:color w:val="auto"/>
                <w:w w:val="99"/>
              </w:rPr>
              <w:t>VESTED</w:t>
            </w:r>
          </w:p>
        </w:tc>
        <w:tc>
          <w:tcPr>
            <w:tcW w:w="164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96"/>
              </w:rPr>
              <w:t>THAT HAVE NOT VESTED</w:t>
            </w:r>
          </w:p>
        </w:tc>
        <w:tc>
          <w:tcPr>
            <w:tcW w:w="820" w:type="dxa"/>
            <w:vAlign w:val="bottom"/>
          </w:tcPr>
          <w:p>
            <w:pPr>
              <w:spacing w:after="0"/>
              <w:rPr>
                <w:sz w:val="10"/>
                <w:szCs w:val="10"/>
                <w:color w:val="auto"/>
              </w:rPr>
            </w:pPr>
          </w:p>
        </w:tc>
      </w:tr>
      <w:tr>
        <w:trPr>
          <w:trHeight w:val="148"/>
        </w:trPr>
        <w:tc>
          <w:tcPr>
            <w:tcW w:w="800" w:type="dxa"/>
            <w:vAlign w:val="bottom"/>
          </w:tcPr>
          <w:p>
            <w:pPr>
              <w:spacing w:after="0"/>
              <w:rPr>
                <w:sz w:val="12"/>
                <w:szCs w:val="12"/>
                <w:color w:val="auto"/>
              </w:rPr>
            </w:pPr>
          </w:p>
        </w:tc>
        <w:tc>
          <w:tcPr>
            <w:tcW w:w="1400" w:type="dxa"/>
            <w:vAlign w:val="bottom"/>
          </w:tcPr>
          <w:p>
            <w:pPr>
              <w:ind w:left="40"/>
              <w:spacing w:after="0"/>
              <w:rPr>
                <w:sz w:val="20"/>
                <w:szCs w:val="20"/>
                <w:color w:val="auto"/>
              </w:rPr>
            </w:pPr>
            <w:r>
              <w:rPr>
                <w:rFonts w:ascii="Arial" w:cs="Arial" w:eastAsia="Arial" w:hAnsi="Arial"/>
                <w:sz w:val="11"/>
                <w:szCs w:val="11"/>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8"/>
              </w:rPr>
              <w:t>VESTING DATE</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480" w:type="dxa"/>
            <w:vAlign w:val="bottom"/>
          </w:tcPr>
          <w:p>
            <w:pPr>
              <w:jc w:val="center"/>
              <w:ind w:right="51"/>
              <w:spacing w:after="0"/>
              <w:rPr>
                <w:sz w:val="20"/>
                <w:szCs w:val="20"/>
                <w:color w:val="auto"/>
              </w:rPr>
            </w:pPr>
            <w:r>
              <w:rPr>
                <w:rFonts w:ascii="Arial" w:cs="Arial" w:eastAsia="Arial" w:hAnsi="Arial"/>
                <w:sz w:val="11"/>
                <w:szCs w:val="11"/>
                <w:b w:val="1"/>
                <w:bCs w:val="1"/>
                <w:color w:val="auto"/>
                <w:w w:val="88"/>
              </w:rPr>
              <w:t>(2)</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640" w:type="dxa"/>
            <w:vAlign w:val="bottom"/>
          </w:tcPr>
          <w:p>
            <w:pPr>
              <w:jc w:val="center"/>
              <w:ind w:left="34"/>
              <w:spacing w:after="0"/>
              <w:rPr>
                <w:sz w:val="20"/>
                <w:szCs w:val="20"/>
                <w:color w:val="auto"/>
              </w:rPr>
            </w:pPr>
            <w:r>
              <w:rPr>
                <w:rFonts w:ascii="Arial" w:cs="Arial" w:eastAsia="Arial" w:hAnsi="Arial"/>
                <w:sz w:val="11"/>
                <w:szCs w:val="11"/>
                <w:b w:val="1"/>
                <w:bCs w:val="1"/>
                <w:color w:val="auto"/>
              </w:rPr>
              <w:t>(3)</w:t>
            </w:r>
          </w:p>
        </w:tc>
        <w:tc>
          <w:tcPr>
            <w:tcW w:w="820" w:type="dxa"/>
            <w:vAlign w:val="bottom"/>
          </w:tcPr>
          <w:p>
            <w:pPr>
              <w:spacing w:after="0"/>
              <w:rPr>
                <w:sz w:val="12"/>
                <w:szCs w:val="12"/>
                <w:color w:val="auto"/>
              </w:rPr>
            </w:pPr>
          </w:p>
        </w:tc>
      </w:tr>
      <w:tr>
        <w:trPr>
          <w:trHeight w:val="54"/>
        </w:trPr>
        <w:tc>
          <w:tcPr>
            <w:tcW w:w="800" w:type="dxa"/>
            <w:vAlign w:val="bottom"/>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02/27/28</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79,480</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$9,978,714</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02/27/26</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8,831</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$1,108,732</w:t>
            </w: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02/17/22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02/17/27</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80,730</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$10,135,652</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02/17/25</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8,970</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$1,126,184</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60,539</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$7,600,671</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6,727</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$844,575</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02/20/20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02/20/25</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50,573</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$6,349,440</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02/21/19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02/21/24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41,405</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$5,198,398</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860" w:type="dxa"/>
            <w:vAlign w:val="bottom"/>
          </w:tcPr>
          <w:p>
            <w:pPr>
              <w:jc w:val="center"/>
              <w:spacing w:after="0"/>
              <w:rPr>
                <w:sz w:val="20"/>
                <w:szCs w:val="20"/>
                <w:color w:val="auto"/>
              </w:rPr>
            </w:pPr>
            <w:r>
              <w:rPr>
                <w:rFonts w:ascii="Arial" w:cs="Arial" w:eastAsia="Arial" w:hAnsi="Arial"/>
                <w:sz w:val="14"/>
                <w:szCs w:val="14"/>
                <w:color w:val="auto"/>
              </w:rPr>
              <w:t>03/02/23</w:t>
            </w:r>
          </w:p>
        </w:tc>
        <w:tc>
          <w:tcPr>
            <w:tcW w:w="1020" w:type="dxa"/>
            <w:vAlign w:val="bottom"/>
          </w:tcPr>
          <w:p>
            <w:pPr>
              <w:jc w:val="center"/>
              <w:spacing w:after="0"/>
              <w:rPr>
                <w:sz w:val="20"/>
                <w:szCs w:val="20"/>
                <w:color w:val="auto"/>
              </w:rPr>
            </w:pPr>
            <w:r>
              <w:rPr>
                <w:rFonts w:ascii="Arial" w:cs="Arial" w:eastAsia="Arial" w:hAnsi="Arial"/>
                <w:sz w:val="14"/>
                <w:szCs w:val="14"/>
                <w:color w:val="auto"/>
              </w:rPr>
              <w:t>07/19/26</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567</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$71,147</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02/27/28</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30,335</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$3,808,559</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02/27/26</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3,370</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$423,104</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02/17/30</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10,790</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$1,354,685</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02/17/25</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3,297</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$413,938</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02/24/22</w:t>
            </w:r>
          </w:p>
        </w:tc>
        <w:tc>
          <w:tcPr>
            <w:tcW w:w="1020" w:type="dxa"/>
            <w:vAlign w:val="bottom"/>
          </w:tcPr>
          <w:p>
            <w:pPr>
              <w:jc w:val="center"/>
              <w:spacing w:after="0"/>
              <w:rPr>
                <w:sz w:val="20"/>
                <w:szCs w:val="20"/>
                <w:color w:val="auto"/>
              </w:rPr>
            </w:pPr>
            <w:r>
              <w:rPr>
                <w:rFonts w:ascii="Arial" w:cs="Arial" w:eastAsia="Arial" w:hAnsi="Arial"/>
                <w:sz w:val="14"/>
                <w:szCs w:val="14"/>
                <w:color w:val="auto"/>
              </w:rPr>
              <w:t>07/19/26</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590</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$74,041</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02/17/22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02/17/27</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29,678</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$3,726,073</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02/25/21</w:t>
            </w:r>
          </w:p>
        </w:tc>
        <w:tc>
          <w:tcPr>
            <w:tcW w:w="1020" w:type="dxa"/>
            <w:vAlign w:val="bottom"/>
          </w:tcPr>
          <w:p>
            <w:pPr>
              <w:jc w:val="center"/>
              <w:spacing w:after="0"/>
              <w:rPr>
                <w:sz w:val="20"/>
                <w:szCs w:val="20"/>
                <w:color w:val="auto"/>
              </w:rPr>
            </w:pPr>
            <w:r>
              <w:rPr>
                <w:rFonts w:ascii="Arial" w:cs="Arial" w:eastAsia="Arial" w:hAnsi="Arial"/>
                <w:sz w:val="14"/>
                <w:szCs w:val="14"/>
                <w:color w:val="auto"/>
              </w:rPr>
              <w:t>02/25/26</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859</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$107,809</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20,575</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$2,583,191</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2,286</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$287,007</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02/27/25</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976</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$122,498</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02/20/20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02/20/25</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18,045</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$2,265,550</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1,512</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$189,836</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02/21/19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02/21/24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12,786</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$1,605,282</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860" w:type="dxa"/>
            <w:vAlign w:val="bottom"/>
          </w:tcPr>
          <w:p>
            <w:pPr>
              <w:jc w:val="center"/>
              <w:spacing w:after="0"/>
              <w:rPr>
                <w:sz w:val="20"/>
                <w:szCs w:val="20"/>
                <w:color w:val="auto"/>
              </w:rPr>
            </w:pPr>
            <w:r>
              <w:rPr>
                <w:rFonts w:ascii="Arial" w:cs="Arial" w:eastAsia="Arial" w:hAnsi="Arial"/>
                <w:sz w:val="14"/>
                <w:szCs w:val="14"/>
                <w:color w:val="auto"/>
              </w:rPr>
              <w:t>03/02/23</w:t>
            </w:r>
          </w:p>
        </w:tc>
        <w:tc>
          <w:tcPr>
            <w:tcW w:w="1020" w:type="dxa"/>
            <w:vAlign w:val="bottom"/>
          </w:tcPr>
          <w:p>
            <w:pPr>
              <w:jc w:val="center"/>
              <w:spacing w:after="0"/>
              <w:rPr>
                <w:sz w:val="20"/>
                <w:szCs w:val="20"/>
                <w:color w:val="auto"/>
              </w:rPr>
            </w:pPr>
            <w:r>
              <w:rPr>
                <w:rFonts w:ascii="Arial" w:cs="Arial" w:eastAsia="Arial" w:hAnsi="Arial"/>
                <w:sz w:val="14"/>
                <w:szCs w:val="14"/>
                <w:color w:val="auto"/>
              </w:rPr>
              <w:t>03/02/28</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553</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$69,389</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02/27/28</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25,795</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$3,238,562</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02/27/26</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2,866</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$359,826</w:t>
            </w: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02/17/30</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8,603</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$1,080,107</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02/17/25</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3,059</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$384,057</w:t>
            </w: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02/24/22</w:t>
            </w:r>
          </w:p>
        </w:tc>
        <w:tc>
          <w:tcPr>
            <w:tcW w:w="1020" w:type="dxa"/>
            <w:vAlign w:val="bottom"/>
          </w:tcPr>
          <w:p>
            <w:pPr>
              <w:jc w:val="center"/>
              <w:spacing w:after="0"/>
              <w:rPr>
                <w:sz w:val="20"/>
                <w:szCs w:val="20"/>
                <w:color w:val="auto"/>
              </w:rPr>
            </w:pPr>
            <w:r>
              <w:rPr>
                <w:rFonts w:ascii="Arial" w:cs="Arial" w:eastAsia="Arial" w:hAnsi="Arial"/>
                <w:sz w:val="14"/>
                <w:szCs w:val="14"/>
                <w:color w:val="auto"/>
              </w:rPr>
              <w:t>02/24/27</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568</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$71,290</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02/17/22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02/17/27</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27,536</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$3,457,145</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02/25/21</w:t>
            </w:r>
          </w:p>
        </w:tc>
        <w:tc>
          <w:tcPr>
            <w:tcW w:w="1020" w:type="dxa"/>
            <w:vAlign w:val="bottom"/>
          </w:tcPr>
          <w:p>
            <w:pPr>
              <w:jc w:val="center"/>
              <w:spacing w:after="0"/>
              <w:rPr>
                <w:sz w:val="20"/>
                <w:szCs w:val="20"/>
                <w:color w:val="auto"/>
              </w:rPr>
            </w:pPr>
            <w:r>
              <w:rPr>
                <w:rFonts w:ascii="Arial" w:cs="Arial" w:eastAsia="Arial" w:hAnsi="Arial"/>
                <w:sz w:val="14"/>
                <w:szCs w:val="14"/>
                <w:color w:val="auto"/>
              </w:rPr>
              <w:t>02/25/26</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813</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$102,101</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22,427</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$2,815,710</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jc w:val="center"/>
              <w:ind w:right="14"/>
              <w:spacing w:after="0"/>
              <w:rPr>
                <w:sz w:val="20"/>
                <w:szCs w:val="20"/>
                <w:color w:val="auto"/>
              </w:rPr>
            </w:pPr>
            <w:r>
              <w:rPr>
                <w:rFonts w:ascii="Arial" w:cs="Arial" w:eastAsia="Arial" w:hAnsi="Arial"/>
                <w:sz w:val="14"/>
                <w:szCs w:val="14"/>
                <w:color w:val="auto"/>
              </w:rPr>
              <w:t>2,492</w:t>
            </w:r>
          </w:p>
        </w:tc>
        <w:tc>
          <w:tcPr>
            <w:tcW w:w="1640" w:type="dxa"/>
            <w:vAlign w:val="bottom"/>
          </w:tcPr>
          <w:p>
            <w:pPr>
              <w:jc w:val="center"/>
              <w:ind w:left="14"/>
              <w:spacing w:after="0"/>
              <w:rPr>
                <w:sz w:val="20"/>
                <w:szCs w:val="20"/>
                <w:color w:val="auto"/>
              </w:rPr>
            </w:pPr>
            <w:r>
              <w:rPr>
                <w:rFonts w:ascii="Arial" w:cs="Arial" w:eastAsia="Arial" w:hAnsi="Arial"/>
                <w:sz w:val="14"/>
                <w:szCs w:val="14"/>
                <w:color w:val="auto"/>
              </w:rPr>
              <w:t>$312,871</w:t>
            </w: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02/27/25</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778</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$97,709</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02/20/20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02/20/25</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23,697</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$2,975,158</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1,377</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$172,922</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9"/>
        </w:trPr>
        <w:tc>
          <w:tcPr>
            <w:tcW w:w="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c>
          <w:tcPr>
            <w:tcW w:w="820" w:type="dxa"/>
            <w:vAlign w:val="bottom"/>
          </w:tcPr>
          <w:p>
            <w:pPr>
              <w:spacing w:after="0"/>
              <w:rPr>
                <w:sz w:val="4"/>
                <w:szCs w:val="4"/>
                <w:color w:val="auto"/>
              </w:rPr>
            </w:pPr>
          </w:p>
        </w:tc>
      </w:tr>
      <w:tr>
        <w:trPr>
          <w:trHeight w:val="242"/>
        </w:trPr>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02/21/19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02/21/24</w:t>
            </w:r>
          </w:p>
        </w:tc>
        <w:tc>
          <w:tcPr>
            <w:tcW w:w="1400" w:type="dxa"/>
            <w:vAlign w:val="bottom"/>
          </w:tcPr>
          <w:p>
            <w:pPr>
              <w:jc w:val="center"/>
              <w:ind w:right="11"/>
              <w:spacing w:after="0"/>
              <w:rPr>
                <w:sz w:val="20"/>
                <w:szCs w:val="20"/>
                <w:color w:val="auto"/>
              </w:rPr>
            </w:pPr>
            <w:r>
              <w:rPr>
                <w:rFonts w:ascii="Arial" w:cs="Arial" w:eastAsia="Arial" w:hAnsi="Arial"/>
                <w:sz w:val="14"/>
                <w:szCs w:val="14"/>
                <w:color w:val="auto"/>
              </w:rPr>
              <w:t>14,520</w:t>
            </w:r>
          </w:p>
        </w:tc>
        <w:tc>
          <w:tcPr>
            <w:tcW w:w="1480" w:type="dxa"/>
            <w:vAlign w:val="bottom"/>
          </w:tcPr>
          <w:p>
            <w:pPr>
              <w:jc w:val="center"/>
              <w:ind w:right="51"/>
              <w:spacing w:after="0"/>
              <w:rPr>
                <w:sz w:val="20"/>
                <w:szCs w:val="20"/>
                <w:color w:val="auto"/>
              </w:rPr>
            </w:pPr>
            <w:r>
              <w:rPr>
                <w:rFonts w:ascii="Arial" w:cs="Arial" w:eastAsia="Arial" w:hAnsi="Arial"/>
                <w:sz w:val="14"/>
                <w:szCs w:val="14"/>
                <w:color w:val="auto"/>
              </w:rPr>
              <w:t>$1,822,986</w:t>
            </w:r>
          </w:p>
        </w:tc>
        <w:tc>
          <w:tcPr>
            <w:tcW w:w="1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8"/>
        </w:trPr>
        <w:tc>
          <w:tcPr>
            <w:tcW w:w="800" w:type="dxa"/>
            <w:vAlign w:val="bottom"/>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40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00" w:type="dxa"/>
            <w:vAlign w:val="bottom"/>
            <w:tcBorders>
              <w:bottom w:val="single" w:sz="8" w:color="017B52"/>
            </w:tcBorders>
          </w:tcPr>
          <w:p>
            <w:pPr>
              <w:spacing w:after="0"/>
              <w:rPr>
                <w:sz w:val="4"/>
                <w:szCs w:val="4"/>
                <w:color w:val="auto"/>
              </w:rPr>
            </w:pPr>
          </w:p>
        </w:tc>
        <w:tc>
          <w:tcPr>
            <w:tcW w:w="16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64"/>
        </w:trPr>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auto"/>
                <w:w w:val="95"/>
              </w:rPr>
              <w:t>UFP Industries      37</w:t>
            </w:r>
            <w:r>
              <w:rPr>
                <w:rFonts w:ascii="Arial" w:cs="Arial" w:eastAsia="Arial" w:hAnsi="Arial"/>
                <w:sz w:val="13"/>
                <w:szCs w:val="13"/>
                <w:color w:val="auto"/>
                <w:w w:val="95"/>
              </w:rPr>
              <w:t xml:space="preserve"> </w:t>
            </w:r>
          </w:p>
        </w:tc>
        <w:tc>
          <w:tcPr>
            <w:tcW w:w="1480" w:type="dxa"/>
            <w:vAlign w:val="bottom"/>
          </w:tcPr>
          <w:p>
            <w:pPr>
              <w:ind w:left="40"/>
              <w:spacing w:after="0"/>
              <w:rPr>
                <w:sz w:val="20"/>
                <w:szCs w:val="20"/>
                <w:color w:val="auto"/>
              </w:rPr>
            </w:pPr>
            <w:r>
              <w:rPr>
                <w:rFonts w:ascii="Arial" w:cs="Arial" w:eastAsia="Arial" w:hAnsi="Arial"/>
                <w:sz w:val="13"/>
                <w:szCs w:val="13"/>
                <w:color w:val="auto"/>
                <w:w w:val="95"/>
              </w:rPr>
              <w:t>   2024 Proxy Statement</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40" w:type="dxa"/>
            <w:vAlign w:val="bottom"/>
            <w:gridSpan w:val="2"/>
          </w:tcPr>
          <w:p>
            <w:pPr>
              <w:ind w:left="1320"/>
              <w:spacing w:after="0"/>
              <w:rPr>
                <w:sz w:val="20"/>
                <w:szCs w:val="20"/>
                <w:color w:val="auto"/>
              </w:rPr>
            </w:pPr>
            <w:r>
              <w:rPr>
                <w:rFonts w:ascii="Arial" w:cs="Arial" w:eastAsia="Arial" w:hAnsi="Arial"/>
                <w:sz w:val="11"/>
                <w:szCs w:val="11"/>
                <w:b w:val="1"/>
                <w:bCs w:val="1"/>
                <w:color w:val="auto"/>
              </w:rPr>
              <w:t>STOCK AWARDS</w:t>
            </w:r>
          </w:p>
        </w:tc>
        <w:tc>
          <w:tcPr>
            <w:tcW w:w="1640" w:type="dxa"/>
            <w:vAlign w:val="bottom"/>
          </w:tcPr>
          <w:p>
            <w:pPr>
              <w:spacing w:after="0"/>
              <w:rPr>
                <w:sz w:val="12"/>
                <w:szCs w:val="12"/>
                <w:color w:val="auto"/>
              </w:rPr>
            </w:pPr>
          </w:p>
        </w:tc>
      </w:tr>
      <w:tr>
        <w:trPr>
          <w:trHeight w:val="54"/>
        </w:trPr>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169"/>
        </w:trPr>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SHARES</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8"/>
              </w:rPr>
              <w:t>MARKET VALUE OF</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 UNEARNED</w:t>
            </w:r>
          </w:p>
        </w:tc>
        <w:tc>
          <w:tcPr>
            <w:tcW w:w="1640" w:type="dxa"/>
            <w:vAlign w:val="bottom"/>
          </w:tcPr>
          <w:p>
            <w:pPr>
              <w:jc w:val="center"/>
              <w:ind w:left="39"/>
              <w:spacing w:after="0"/>
              <w:rPr>
                <w:sz w:val="20"/>
                <w:szCs w:val="20"/>
                <w:color w:val="auto"/>
              </w:rPr>
            </w:pPr>
            <w:r>
              <w:rPr>
                <w:rFonts w:ascii="Arial" w:cs="Arial" w:eastAsia="Arial" w:hAnsi="Arial"/>
                <w:sz w:val="11"/>
                <w:szCs w:val="11"/>
                <w:b w:val="1"/>
                <w:bCs w:val="1"/>
                <w:color w:val="auto"/>
                <w:w w:val="96"/>
              </w:rPr>
              <w:t>MARKET OR PAYOUT VALUE</w:t>
            </w:r>
          </w:p>
        </w:tc>
      </w:tr>
      <w:tr>
        <w:trPr>
          <w:trHeight w:val="122"/>
        </w:trPr>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OR UNITS OF STOCK</w:t>
            </w:r>
          </w:p>
        </w:tc>
        <w:tc>
          <w:tcPr>
            <w:tcW w:w="1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SHARES OR UNITS OF</w:t>
            </w:r>
          </w:p>
        </w:tc>
        <w:tc>
          <w:tcPr>
            <w:tcW w:w="1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SHARES, UNITS OR OTHER</w:t>
            </w:r>
          </w:p>
        </w:tc>
        <w:tc>
          <w:tcPr>
            <w:tcW w:w="1640" w:type="dxa"/>
            <w:vAlign w:val="bottom"/>
          </w:tcPr>
          <w:p>
            <w:pPr>
              <w:jc w:val="center"/>
              <w:ind w:left="39"/>
              <w:spacing w:after="0" w:line="122" w:lineRule="exact"/>
              <w:rPr>
                <w:sz w:val="20"/>
                <w:szCs w:val="20"/>
                <w:color w:val="auto"/>
              </w:rPr>
            </w:pPr>
            <w:r>
              <w:rPr>
                <w:rFonts w:ascii="Arial" w:cs="Arial" w:eastAsia="Arial" w:hAnsi="Arial"/>
                <w:sz w:val="11"/>
                <w:szCs w:val="11"/>
                <w:b w:val="1"/>
                <w:bCs w:val="1"/>
                <w:color w:val="auto"/>
                <w:w w:val="97"/>
              </w:rPr>
              <w:t>OF UNEARNED SHARES,</w:t>
            </w:r>
          </w:p>
        </w:tc>
      </w:tr>
      <w:tr>
        <w:trPr>
          <w:trHeight w:val="121"/>
        </w:trPr>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THAT HAVE NOT</w:t>
            </w:r>
          </w:p>
        </w:tc>
        <w:tc>
          <w:tcPr>
            <w:tcW w:w="1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STOCK THAT HAVE NOT</w:t>
            </w:r>
          </w:p>
        </w:tc>
        <w:tc>
          <w:tcPr>
            <w:tcW w:w="1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RIGHTS THAT HAVE NOT</w:t>
            </w:r>
          </w:p>
        </w:tc>
        <w:tc>
          <w:tcPr>
            <w:tcW w:w="164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UNITS OR OTHER RIGHTS</w:t>
            </w:r>
          </w:p>
        </w:tc>
      </w:tr>
      <w:tr>
        <w:trPr>
          <w:trHeight w:val="122"/>
        </w:trPr>
        <w:tc>
          <w:tcPr>
            <w:tcW w:w="14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GRANT</w:t>
            </w:r>
          </w:p>
        </w:tc>
        <w:tc>
          <w:tcPr>
            <w:tcW w:w="102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VESTED</w:t>
            </w:r>
          </w:p>
        </w:tc>
        <w:tc>
          <w:tcPr>
            <w:tcW w:w="1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VESTED</w:t>
            </w:r>
          </w:p>
        </w:tc>
        <w:tc>
          <w:tcPr>
            <w:tcW w:w="1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VESTED</w:t>
            </w:r>
          </w:p>
        </w:tc>
        <w:tc>
          <w:tcPr>
            <w:tcW w:w="164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6"/>
              </w:rPr>
              <w:t>THAT HAVE NOT VESTED</w:t>
            </w:r>
          </w:p>
        </w:tc>
      </w:tr>
      <w:tr>
        <w:trPr>
          <w:trHeight w:val="148"/>
        </w:trPr>
        <w:tc>
          <w:tcPr>
            <w:tcW w:w="1400" w:type="dxa"/>
            <w:vAlign w:val="bottom"/>
          </w:tcPr>
          <w:p>
            <w:pPr>
              <w:ind w:left="40"/>
              <w:spacing w:after="0"/>
              <w:rPr>
                <w:sz w:val="20"/>
                <w:szCs w:val="20"/>
                <w:color w:val="auto"/>
              </w:rPr>
            </w:pPr>
            <w:r>
              <w:rPr>
                <w:rFonts w:ascii="Arial" w:cs="Arial" w:eastAsia="Arial" w:hAnsi="Arial"/>
                <w:sz w:val="11"/>
                <w:szCs w:val="11"/>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VESTING DATE</w:t>
            </w: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640" w:type="dxa"/>
            <w:vAlign w:val="bottom"/>
          </w:tcPr>
          <w:p>
            <w:pPr>
              <w:jc w:val="center"/>
              <w:ind w:left="39"/>
              <w:spacing w:after="0"/>
              <w:rPr>
                <w:sz w:val="20"/>
                <w:szCs w:val="20"/>
                <w:color w:val="auto"/>
              </w:rPr>
            </w:pPr>
            <w:r>
              <w:rPr>
                <w:rFonts w:ascii="Arial" w:cs="Arial" w:eastAsia="Arial" w:hAnsi="Arial"/>
                <w:sz w:val="11"/>
                <w:szCs w:val="11"/>
                <w:b w:val="1"/>
                <w:bCs w:val="1"/>
                <w:color w:val="auto"/>
              </w:rPr>
              <w:t>(3)</w:t>
            </w:r>
          </w:p>
        </w:tc>
      </w:tr>
      <w:tr>
        <w:trPr>
          <w:trHeight w:val="54"/>
        </w:trPr>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860" w:type="dxa"/>
            <w:vAlign w:val="bottom"/>
          </w:tcPr>
          <w:p>
            <w:pPr>
              <w:jc w:val="center"/>
              <w:spacing w:after="0"/>
              <w:rPr>
                <w:sz w:val="20"/>
                <w:szCs w:val="20"/>
                <w:color w:val="auto"/>
              </w:rPr>
            </w:pPr>
            <w:r>
              <w:rPr>
                <w:rFonts w:ascii="Arial" w:cs="Arial" w:eastAsia="Arial" w:hAnsi="Arial"/>
                <w:sz w:val="14"/>
                <w:szCs w:val="14"/>
                <w:color w:val="auto"/>
              </w:rPr>
              <w:t>03/02/23</w:t>
            </w:r>
          </w:p>
        </w:tc>
        <w:tc>
          <w:tcPr>
            <w:tcW w:w="1020" w:type="dxa"/>
            <w:vAlign w:val="bottom"/>
          </w:tcPr>
          <w:p>
            <w:pPr>
              <w:jc w:val="center"/>
              <w:spacing w:after="0"/>
              <w:rPr>
                <w:sz w:val="20"/>
                <w:szCs w:val="20"/>
                <w:color w:val="auto"/>
              </w:rPr>
            </w:pPr>
            <w:r>
              <w:rPr>
                <w:rFonts w:ascii="Arial" w:cs="Arial" w:eastAsia="Arial" w:hAnsi="Arial"/>
                <w:sz w:val="14"/>
                <w:szCs w:val="14"/>
                <w:color w:val="auto"/>
              </w:rPr>
              <w:t>03/02/28</w:t>
            </w:r>
          </w:p>
        </w:tc>
        <w:tc>
          <w:tcPr>
            <w:tcW w:w="1340" w:type="dxa"/>
            <w:vAlign w:val="bottom"/>
          </w:tcPr>
          <w:p>
            <w:pPr>
              <w:jc w:val="center"/>
              <w:spacing w:after="0"/>
              <w:rPr>
                <w:sz w:val="20"/>
                <w:szCs w:val="20"/>
                <w:color w:val="auto"/>
              </w:rPr>
            </w:pPr>
            <w:r>
              <w:rPr>
                <w:rFonts w:ascii="Arial" w:cs="Arial" w:eastAsia="Arial" w:hAnsi="Arial"/>
                <w:sz w:val="14"/>
                <w:szCs w:val="14"/>
                <w:color w:val="auto"/>
              </w:rPr>
              <w:t>567</w:t>
            </w:r>
          </w:p>
        </w:tc>
        <w:tc>
          <w:tcPr>
            <w:tcW w:w="1480" w:type="dxa"/>
            <w:vAlign w:val="bottom"/>
          </w:tcPr>
          <w:p>
            <w:pPr>
              <w:jc w:val="center"/>
              <w:spacing w:after="0"/>
              <w:rPr>
                <w:sz w:val="20"/>
                <w:szCs w:val="20"/>
                <w:color w:val="auto"/>
              </w:rPr>
            </w:pPr>
            <w:r>
              <w:rPr>
                <w:rFonts w:ascii="Arial" w:cs="Arial" w:eastAsia="Arial" w:hAnsi="Arial"/>
                <w:sz w:val="14"/>
                <w:szCs w:val="14"/>
                <w:color w:val="auto"/>
              </w:rPr>
              <w:t>$71,147</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40" w:type="dxa"/>
            <w:vAlign w:val="bottom"/>
          </w:tcPr>
          <w:p>
            <w:pPr>
              <w:jc w:val="center"/>
              <w:spacing w:after="0"/>
              <w:rPr>
                <w:sz w:val="20"/>
                <w:szCs w:val="20"/>
                <w:color w:val="auto"/>
              </w:rPr>
            </w:pPr>
            <w:r>
              <w:rPr>
                <w:rFonts w:ascii="Arial" w:cs="Arial" w:eastAsia="Arial" w:hAnsi="Arial"/>
                <w:sz w:val="14"/>
                <w:szCs w:val="14"/>
                <w:color w:val="auto"/>
              </w:rPr>
              <w:t>23,910</w:t>
            </w:r>
          </w:p>
        </w:tc>
        <w:tc>
          <w:tcPr>
            <w:tcW w:w="1480" w:type="dxa"/>
            <w:vAlign w:val="bottom"/>
          </w:tcPr>
          <w:p>
            <w:pPr>
              <w:jc w:val="center"/>
              <w:spacing w:after="0"/>
              <w:rPr>
                <w:sz w:val="20"/>
                <w:szCs w:val="20"/>
                <w:color w:val="auto"/>
              </w:rPr>
            </w:pPr>
            <w:r>
              <w:rPr>
                <w:rFonts w:ascii="Arial" w:cs="Arial" w:eastAsia="Arial" w:hAnsi="Arial"/>
                <w:sz w:val="14"/>
                <w:szCs w:val="14"/>
                <w:color w:val="auto"/>
              </w:rPr>
              <w:t>$3,001,901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02/27/26</w:t>
            </w:r>
          </w:p>
        </w:tc>
        <w:tc>
          <w:tcPr>
            <w:tcW w:w="1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2,656</w:t>
            </w:r>
          </w:p>
        </w:tc>
        <w:tc>
          <w:tcPr>
            <w:tcW w:w="1640" w:type="dxa"/>
            <w:vAlign w:val="bottom"/>
          </w:tcPr>
          <w:p>
            <w:pPr>
              <w:jc w:val="center"/>
              <w:ind w:left="19"/>
              <w:spacing w:after="0"/>
              <w:rPr>
                <w:sz w:val="20"/>
                <w:szCs w:val="20"/>
                <w:color w:val="auto"/>
              </w:rPr>
            </w:pPr>
            <w:r>
              <w:rPr>
                <w:rFonts w:ascii="Arial" w:cs="Arial" w:eastAsia="Arial" w:hAnsi="Arial"/>
                <w:sz w:val="14"/>
                <w:szCs w:val="14"/>
                <w:color w:val="auto"/>
              </w:rPr>
              <w:t>$333,461</w:t>
            </w: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02/17/30</w:t>
            </w:r>
          </w:p>
        </w:tc>
        <w:tc>
          <w:tcPr>
            <w:tcW w:w="1340" w:type="dxa"/>
            <w:vAlign w:val="bottom"/>
          </w:tcPr>
          <w:p>
            <w:pPr>
              <w:jc w:val="center"/>
              <w:spacing w:after="0"/>
              <w:rPr>
                <w:sz w:val="20"/>
                <w:szCs w:val="20"/>
                <w:color w:val="auto"/>
              </w:rPr>
            </w:pPr>
            <w:r>
              <w:rPr>
                <w:rFonts w:ascii="Arial" w:cs="Arial" w:eastAsia="Arial" w:hAnsi="Arial"/>
                <w:sz w:val="14"/>
                <w:szCs w:val="14"/>
                <w:color w:val="auto"/>
              </w:rPr>
              <w:t>8,501</w:t>
            </w:r>
          </w:p>
        </w:tc>
        <w:tc>
          <w:tcPr>
            <w:tcW w:w="1480" w:type="dxa"/>
            <w:vAlign w:val="bottom"/>
          </w:tcPr>
          <w:p>
            <w:pPr>
              <w:jc w:val="center"/>
              <w:spacing w:after="0"/>
              <w:rPr>
                <w:sz w:val="20"/>
                <w:szCs w:val="20"/>
                <w:color w:val="auto"/>
              </w:rPr>
            </w:pPr>
            <w:r>
              <w:rPr>
                <w:rFonts w:ascii="Arial" w:cs="Arial" w:eastAsia="Arial" w:hAnsi="Arial"/>
                <w:sz w:val="14"/>
                <w:szCs w:val="14"/>
                <w:color w:val="auto"/>
              </w:rPr>
              <w:t>$1,067,301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05/02/22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02/17/25</w:t>
            </w:r>
          </w:p>
        </w:tc>
        <w:tc>
          <w:tcPr>
            <w:tcW w:w="1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3,121</w:t>
            </w:r>
          </w:p>
        </w:tc>
        <w:tc>
          <w:tcPr>
            <w:tcW w:w="1640" w:type="dxa"/>
            <w:vAlign w:val="bottom"/>
          </w:tcPr>
          <w:p>
            <w:pPr>
              <w:jc w:val="center"/>
              <w:ind w:left="19"/>
              <w:spacing w:after="0"/>
              <w:rPr>
                <w:sz w:val="20"/>
                <w:szCs w:val="20"/>
                <w:color w:val="auto"/>
              </w:rPr>
            </w:pPr>
            <w:r>
              <w:rPr>
                <w:rFonts w:ascii="Arial" w:cs="Arial" w:eastAsia="Arial" w:hAnsi="Arial"/>
                <w:sz w:val="14"/>
                <w:szCs w:val="14"/>
                <w:color w:val="auto"/>
              </w:rPr>
              <w:t>$391,842</w:t>
            </w: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02/24/22</w:t>
            </w:r>
          </w:p>
        </w:tc>
        <w:tc>
          <w:tcPr>
            <w:tcW w:w="1020" w:type="dxa"/>
            <w:vAlign w:val="bottom"/>
          </w:tcPr>
          <w:p>
            <w:pPr>
              <w:jc w:val="center"/>
              <w:spacing w:after="0"/>
              <w:rPr>
                <w:sz w:val="20"/>
                <w:szCs w:val="20"/>
                <w:color w:val="auto"/>
              </w:rPr>
            </w:pPr>
            <w:r>
              <w:rPr>
                <w:rFonts w:ascii="Arial" w:cs="Arial" w:eastAsia="Arial" w:hAnsi="Arial"/>
                <w:sz w:val="14"/>
                <w:szCs w:val="14"/>
                <w:color w:val="auto"/>
              </w:rPr>
              <w:t>02/24/27</w:t>
            </w:r>
          </w:p>
        </w:tc>
        <w:tc>
          <w:tcPr>
            <w:tcW w:w="1340" w:type="dxa"/>
            <w:vAlign w:val="bottom"/>
          </w:tcPr>
          <w:p>
            <w:pPr>
              <w:jc w:val="center"/>
              <w:spacing w:after="0"/>
              <w:rPr>
                <w:sz w:val="20"/>
                <w:szCs w:val="20"/>
                <w:color w:val="auto"/>
              </w:rPr>
            </w:pPr>
            <w:r>
              <w:rPr>
                <w:rFonts w:ascii="Arial" w:cs="Arial" w:eastAsia="Arial" w:hAnsi="Arial"/>
                <w:sz w:val="14"/>
                <w:szCs w:val="14"/>
                <w:color w:val="auto"/>
              </w:rPr>
              <w:t>590</w:t>
            </w:r>
          </w:p>
        </w:tc>
        <w:tc>
          <w:tcPr>
            <w:tcW w:w="1480" w:type="dxa"/>
            <w:vAlign w:val="bottom"/>
          </w:tcPr>
          <w:p>
            <w:pPr>
              <w:jc w:val="center"/>
              <w:spacing w:after="0"/>
              <w:rPr>
                <w:sz w:val="20"/>
                <w:szCs w:val="20"/>
                <w:color w:val="auto"/>
              </w:rPr>
            </w:pPr>
            <w:r>
              <w:rPr>
                <w:rFonts w:ascii="Arial" w:cs="Arial" w:eastAsia="Arial" w:hAnsi="Arial"/>
                <w:sz w:val="14"/>
                <w:szCs w:val="14"/>
                <w:color w:val="auto"/>
              </w:rPr>
              <w:t>$74,041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02/17/22</w:t>
            </w:r>
          </w:p>
        </w:tc>
        <w:tc>
          <w:tcPr>
            <w:tcW w:w="1020" w:type="dxa"/>
            <w:vAlign w:val="bottom"/>
          </w:tcPr>
          <w:p>
            <w:pPr>
              <w:jc w:val="center"/>
              <w:spacing w:after="0"/>
              <w:rPr>
                <w:sz w:val="20"/>
                <w:szCs w:val="20"/>
                <w:color w:val="auto"/>
              </w:rPr>
            </w:pPr>
            <w:r>
              <w:rPr>
                <w:rFonts w:ascii="Arial" w:cs="Arial" w:eastAsia="Arial" w:hAnsi="Arial"/>
                <w:sz w:val="14"/>
                <w:szCs w:val="14"/>
                <w:color w:val="auto"/>
              </w:rPr>
              <w:t>02/17/27</w:t>
            </w:r>
          </w:p>
        </w:tc>
        <w:tc>
          <w:tcPr>
            <w:tcW w:w="1340" w:type="dxa"/>
            <w:vAlign w:val="bottom"/>
          </w:tcPr>
          <w:p>
            <w:pPr>
              <w:jc w:val="center"/>
              <w:spacing w:after="0"/>
              <w:rPr>
                <w:sz w:val="20"/>
                <w:szCs w:val="20"/>
                <w:color w:val="auto"/>
              </w:rPr>
            </w:pPr>
            <w:r>
              <w:rPr>
                <w:rFonts w:ascii="Arial" w:cs="Arial" w:eastAsia="Arial" w:hAnsi="Arial"/>
                <w:sz w:val="14"/>
                <w:szCs w:val="14"/>
                <w:color w:val="auto"/>
              </w:rPr>
              <w:t>28,097</w:t>
            </w:r>
          </w:p>
        </w:tc>
        <w:tc>
          <w:tcPr>
            <w:tcW w:w="1480" w:type="dxa"/>
            <w:vAlign w:val="bottom"/>
          </w:tcPr>
          <w:p>
            <w:pPr>
              <w:jc w:val="center"/>
              <w:spacing w:after="0"/>
              <w:rPr>
                <w:sz w:val="20"/>
                <w:szCs w:val="20"/>
                <w:color w:val="auto"/>
              </w:rPr>
            </w:pPr>
            <w:r>
              <w:rPr>
                <w:rFonts w:ascii="Arial" w:cs="Arial" w:eastAsia="Arial" w:hAnsi="Arial"/>
                <w:sz w:val="14"/>
                <w:szCs w:val="14"/>
                <w:color w:val="auto"/>
              </w:rPr>
              <w:t>$3,527,578</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02/25/21</w:t>
            </w:r>
          </w:p>
        </w:tc>
        <w:tc>
          <w:tcPr>
            <w:tcW w:w="102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40" w:type="dxa"/>
            <w:vAlign w:val="bottom"/>
          </w:tcPr>
          <w:p>
            <w:pPr>
              <w:jc w:val="center"/>
              <w:spacing w:after="0"/>
              <w:rPr>
                <w:sz w:val="20"/>
                <w:szCs w:val="20"/>
                <w:color w:val="auto"/>
              </w:rPr>
            </w:pPr>
            <w:r>
              <w:rPr>
                <w:rFonts w:ascii="Arial" w:cs="Arial" w:eastAsia="Arial" w:hAnsi="Arial"/>
                <w:sz w:val="14"/>
                <w:szCs w:val="14"/>
                <w:color w:val="auto"/>
              </w:rPr>
              <w:t>859</w:t>
            </w:r>
          </w:p>
        </w:tc>
        <w:tc>
          <w:tcPr>
            <w:tcW w:w="1480" w:type="dxa"/>
            <w:vAlign w:val="bottom"/>
          </w:tcPr>
          <w:p>
            <w:pPr>
              <w:jc w:val="center"/>
              <w:spacing w:after="0"/>
              <w:rPr>
                <w:sz w:val="20"/>
                <w:szCs w:val="20"/>
                <w:color w:val="auto"/>
              </w:rPr>
            </w:pPr>
            <w:r>
              <w:rPr>
                <w:rFonts w:ascii="Arial" w:cs="Arial" w:eastAsia="Arial" w:hAnsi="Arial"/>
                <w:sz w:val="14"/>
                <w:szCs w:val="14"/>
                <w:color w:val="auto"/>
              </w:rPr>
              <w:t>$107,809</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340" w:type="dxa"/>
            <w:vAlign w:val="bottom"/>
          </w:tcPr>
          <w:p>
            <w:pPr>
              <w:jc w:val="center"/>
              <w:spacing w:after="0"/>
              <w:rPr>
                <w:sz w:val="20"/>
                <w:szCs w:val="20"/>
                <w:color w:val="auto"/>
              </w:rPr>
            </w:pPr>
            <w:r>
              <w:rPr>
                <w:rFonts w:ascii="Arial" w:cs="Arial" w:eastAsia="Arial" w:hAnsi="Arial"/>
                <w:sz w:val="14"/>
                <w:szCs w:val="14"/>
                <w:color w:val="auto"/>
              </w:rPr>
              <w:t>19,283</w:t>
            </w:r>
          </w:p>
        </w:tc>
        <w:tc>
          <w:tcPr>
            <w:tcW w:w="1480" w:type="dxa"/>
            <w:vAlign w:val="bottom"/>
          </w:tcPr>
          <w:p>
            <w:pPr>
              <w:jc w:val="center"/>
              <w:spacing w:after="0"/>
              <w:rPr>
                <w:sz w:val="20"/>
                <w:szCs w:val="20"/>
                <w:color w:val="auto"/>
              </w:rPr>
            </w:pPr>
            <w:r>
              <w:rPr>
                <w:rFonts w:ascii="Arial" w:cs="Arial" w:eastAsia="Arial" w:hAnsi="Arial"/>
                <w:sz w:val="14"/>
                <w:szCs w:val="14"/>
                <w:color w:val="auto"/>
              </w:rPr>
              <w:t>$2,420,981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2,142</w:t>
            </w:r>
          </w:p>
        </w:tc>
        <w:tc>
          <w:tcPr>
            <w:tcW w:w="1640" w:type="dxa"/>
            <w:vAlign w:val="bottom"/>
          </w:tcPr>
          <w:p>
            <w:pPr>
              <w:jc w:val="center"/>
              <w:ind w:left="19"/>
              <w:spacing w:after="0"/>
              <w:rPr>
                <w:sz w:val="20"/>
                <w:szCs w:val="20"/>
                <w:color w:val="auto"/>
              </w:rPr>
            </w:pPr>
            <w:r>
              <w:rPr>
                <w:rFonts w:ascii="Arial" w:cs="Arial" w:eastAsia="Arial" w:hAnsi="Arial"/>
                <w:sz w:val="14"/>
                <w:szCs w:val="14"/>
                <w:color w:val="auto"/>
              </w:rPr>
              <w:t>$268,928</w:t>
            </w: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40" w:type="dxa"/>
            <w:vAlign w:val="bottom"/>
          </w:tcPr>
          <w:p>
            <w:pPr>
              <w:jc w:val="center"/>
              <w:spacing w:after="0"/>
              <w:rPr>
                <w:sz w:val="20"/>
                <w:szCs w:val="20"/>
                <w:color w:val="auto"/>
              </w:rPr>
            </w:pPr>
            <w:r>
              <w:rPr>
                <w:rFonts w:ascii="Arial" w:cs="Arial" w:eastAsia="Arial" w:hAnsi="Arial"/>
                <w:sz w:val="14"/>
                <w:szCs w:val="14"/>
                <w:color w:val="auto"/>
              </w:rPr>
              <w:t>742</w:t>
            </w:r>
          </w:p>
        </w:tc>
        <w:tc>
          <w:tcPr>
            <w:tcW w:w="1480" w:type="dxa"/>
            <w:vAlign w:val="bottom"/>
          </w:tcPr>
          <w:p>
            <w:pPr>
              <w:jc w:val="center"/>
              <w:spacing w:after="0"/>
              <w:rPr>
                <w:sz w:val="20"/>
                <w:szCs w:val="20"/>
                <w:color w:val="auto"/>
              </w:rPr>
            </w:pPr>
            <w:r>
              <w:rPr>
                <w:rFonts w:ascii="Arial" w:cs="Arial" w:eastAsia="Arial" w:hAnsi="Arial"/>
                <w:sz w:val="14"/>
                <w:szCs w:val="14"/>
                <w:color w:val="auto"/>
              </w:rPr>
              <w:t>$93,185</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02/20/20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02/20/25</w:t>
            </w:r>
          </w:p>
        </w:tc>
        <w:tc>
          <w:tcPr>
            <w:tcW w:w="1340" w:type="dxa"/>
            <w:vAlign w:val="bottom"/>
          </w:tcPr>
          <w:p>
            <w:pPr>
              <w:jc w:val="center"/>
              <w:spacing w:after="0"/>
              <w:rPr>
                <w:sz w:val="20"/>
                <w:szCs w:val="20"/>
                <w:color w:val="auto"/>
              </w:rPr>
            </w:pPr>
            <w:r>
              <w:rPr>
                <w:rFonts w:ascii="Arial" w:cs="Arial" w:eastAsia="Arial" w:hAnsi="Arial"/>
                <w:sz w:val="14"/>
                <w:szCs w:val="14"/>
                <w:color w:val="auto"/>
              </w:rPr>
              <w:t>10,415</w:t>
            </w:r>
          </w:p>
        </w:tc>
        <w:tc>
          <w:tcPr>
            <w:tcW w:w="1480" w:type="dxa"/>
            <w:vAlign w:val="bottom"/>
          </w:tcPr>
          <w:p>
            <w:pPr>
              <w:jc w:val="center"/>
              <w:spacing w:after="0"/>
              <w:rPr>
                <w:sz w:val="20"/>
                <w:szCs w:val="20"/>
                <w:color w:val="auto"/>
              </w:rPr>
            </w:pPr>
            <w:r>
              <w:rPr>
                <w:rFonts w:ascii="Arial" w:cs="Arial" w:eastAsia="Arial" w:hAnsi="Arial"/>
                <w:sz w:val="14"/>
                <w:szCs w:val="14"/>
                <w:color w:val="auto"/>
              </w:rPr>
              <w:t>$1,307,603</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02/27/24</w:t>
            </w:r>
          </w:p>
        </w:tc>
        <w:tc>
          <w:tcPr>
            <w:tcW w:w="1340" w:type="dxa"/>
            <w:vAlign w:val="bottom"/>
          </w:tcPr>
          <w:p>
            <w:pPr>
              <w:jc w:val="center"/>
              <w:spacing w:after="0"/>
              <w:rPr>
                <w:sz w:val="20"/>
                <w:szCs w:val="20"/>
                <w:color w:val="auto"/>
              </w:rPr>
            </w:pPr>
            <w:r>
              <w:rPr>
                <w:rFonts w:ascii="Arial" w:cs="Arial" w:eastAsia="Arial" w:hAnsi="Arial"/>
                <w:sz w:val="14"/>
                <w:szCs w:val="14"/>
                <w:color w:val="auto"/>
              </w:rPr>
              <w:t>1,099</w:t>
            </w:r>
          </w:p>
        </w:tc>
        <w:tc>
          <w:tcPr>
            <w:tcW w:w="1480" w:type="dxa"/>
            <w:vAlign w:val="bottom"/>
          </w:tcPr>
          <w:p>
            <w:pPr>
              <w:jc w:val="center"/>
              <w:spacing w:after="0"/>
              <w:rPr>
                <w:sz w:val="20"/>
                <w:szCs w:val="20"/>
                <w:color w:val="auto"/>
              </w:rPr>
            </w:pPr>
            <w:r>
              <w:rPr>
                <w:rFonts w:ascii="Arial" w:cs="Arial" w:eastAsia="Arial" w:hAnsi="Arial"/>
                <w:sz w:val="14"/>
                <w:szCs w:val="14"/>
                <w:color w:val="auto"/>
              </w:rPr>
              <w:t>$137,959</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02/21/19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02/21/24</w:t>
            </w:r>
          </w:p>
        </w:tc>
        <w:tc>
          <w:tcPr>
            <w:tcW w:w="1340" w:type="dxa"/>
            <w:vAlign w:val="bottom"/>
          </w:tcPr>
          <w:p>
            <w:pPr>
              <w:jc w:val="center"/>
              <w:spacing w:after="0"/>
              <w:rPr>
                <w:sz w:val="20"/>
                <w:szCs w:val="20"/>
                <w:color w:val="auto"/>
              </w:rPr>
            </w:pPr>
            <w:r>
              <w:rPr>
                <w:rFonts w:ascii="Arial" w:cs="Arial" w:eastAsia="Arial" w:hAnsi="Arial"/>
                <w:sz w:val="14"/>
                <w:szCs w:val="14"/>
                <w:color w:val="auto"/>
              </w:rPr>
              <w:t>10,637</w:t>
            </w:r>
          </w:p>
        </w:tc>
        <w:tc>
          <w:tcPr>
            <w:tcW w:w="1480" w:type="dxa"/>
            <w:vAlign w:val="bottom"/>
          </w:tcPr>
          <w:p>
            <w:pPr>
              <w:jc w:val="center"/>
              <w:spacing w:after="0"/>
              <w:rPr>
                <w:sz w:val="20"/>
                <w:szCs w:val="20"/>
                <w:color w:val="auto"/>
              </w:rPr>
            </w:pPr>
            <w:r>
              <w:rPr>
                <w:rFonts w:ascii="Arial" w:cs="Arial" w:eastAsia="Arial" w:hAnsi="Arial"/>
                <w:sz w:val="14"/>
                <w:szCs w:val="14"/>
                <w:color w:val="auto"/>
              </w:rPr>
              <w:t>$1,335,475</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860" w:type="dxa"/>
            <w:vAlign w:val="bottom"/>
          </w:tcPr>
          <w:p>
            <w:pPr>
              <w:jc w:val="center"/>
              <w:spacing w:after="0"/>
              <w:rPr>
                <w:sz w:val="20"/>
                <w:szCs w:val="20"/>
                <w:color w:val="auto"/>
              </w:rPr>
            </w:pPr>
            <w:r>
              <w:rPr>
                <w:rFonts w:ascii="Arial" w:cs="Arial" w:eastAsia="Arial" w:hAnsi="Arial"/>
                <w:sz w:val="14"/>
                <w:szCs w:val="14"/>
                <w:color w:val="auto"/>
              </w:rPr>
              <w:t>03/02/23</w:t>
            </w:r>
          </w:p>
        </w:tc>
        <w:tc>
          <w:tcPr>
            <w:tcW w:w="1020" w:type="dxa"/>
            <w:vAlign w:val="bottom"/>
          </w:tcPr>
          <w:p>
            <w:pPr>
              <w:jc w:val="center"/>
              <w:spacing w:after="0"/>
              <w:rPr>
                <w:sz w:val="20"/>
                <w:szCs w:val="20"/>
                <w:color w:val="auto"/>
              </w:rPr>
            </w:pPr>
            <w:r>
              <w:rPr>
                <w:rFonts w:ascii="Arial" w:cs="Arial" w:eastAsia="Arial" w:hAnsi="Arial"/>
                <w:sz w:val="14"/>
                <w:szCs w:val="14"/>
                <w:color w:val="auto"/>
              </w:rPr>
              <w:t>03/02/28</w:t>
            </w:r>
          </w:p>
        </w:tc>
        <w:tc>
          <w:tcPr>
            <w:tcW w:w="1340" w:type="dxa"/>
            <w:vAlign w:val="bottom"/>
          </w:tcPr>
          <w:p>
            <w:pPr>
              <w:jc w:val="center"/>
              <w:spacing w:after="0"/>
              <w:rPr>
                <w:sz w:val="20"/>
                <w:szCs w:val="20"/>
                <w:color w:val="auto"/>
              </w:rPr>
            </w:pPr>
            <w:r>
              <w:rPr>
                <w:rFonts w:ascii="Arial" w:cs="Arial" w:eastAsia="Arial" w:hAnsi="Arial"/>
                <w:sz w:val="14"/>
                <w:szCs w:val="14"/>
                <w:color w:val="auto"/>
              </w:rPr>
              <w:t>553</w:t>
            </w:r>
          </w:p>
        </w:tc>
        <w:tc>
          <w:tcPr>
            <w:tcW w:w="1480" w:type="dxa"/>
            <w:vAlign w:val="bottom"/>
          </w:tcPr>
          <w:p>
            <w:pPr>
              <w:jc w:val="center"/>
              <w:spacing w:after="0"/>
              <w:rPr>
                <w:sz w:val="20"/>
                <w:szCs w:val="20"/>
                <w:color w:val="auto"/>
              </w:rPr>
            </w:pPr>
            <w:r>
              <w:rPr>
                <w:rFonts w:ascii="Arial" w:cs="Arial" w:eastAsia="Arial" w:hAnsi="Arial"/>
                <w:sz w:val="14"/>
                <w:szCs w:val="14"/>
                <w:color w:val="auto"/>
              </w:rPr>
              <w:t>$69,389</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02/27/23</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02/27/28</w:t>
            </w:r>
          </w:p>
        </w:tc>
        <w:tc>
          <w:tcPr>
            <w:tcW w:w="1340" w:type="dxa"/>
            <w:vAlign w:val="bottom"/>
          </w:tcPr>
          <w:p>
            <w:pPr>
              <w:jc w:val="center"/>
              <w:spacing w:after="0"/>
              <w:rPr>
                <w:sz w:val="20"/>
                <w:szCs w:val="20"/>
                <w:color w:val="auto"/>
              </w:rPr>
            </w:pPr>
            <w:r>
              <w:rPr>
                <w:rFonts w:ascii="Arial" w:cs="Arial" w:eastAsia="Arial" w:hAnsi="Arial"/>
                <w:sz w:val="14"/>
                <w:szCs w:val="14"/>
                <w:color w:val="auto"/>
              </w:rPr>
              <w:t>13,089</w:t>
            </w:r>
          </w:p>
        </w:tc>
        <w:tc>
          <w:tcPr>
            <w:tcW w:w="1480" w:type="dxa"/>
            <w:vAlign w:val="bottom"/>
          </w:tcPr>
          <w:p>
            <w:pPr>
              <w:jc w:val="center"/>
              <w:spacing w:after="0"/>
              <w:rPr>
                <w:sz w:val="20"/>
                <w:szCs w:val="20"/>
                <w:color w:val="auto"/>
              </w:rPr>
            </w:pPr>
            <w:r>
              <w:rPr>
                <w:rFonts w:ascii="Arial" w:cs="Arial" w:eastAsia="Arial" w:hAnsi="Arial"/>
                <w:sz w:val="14"/>
                <w:szCs w:val="14"/>
                <w:color w:val="auto"/>
              </w:rPr>
              <w:t>$1,643,324</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02/24/22</w:t>
            </w:r>
          </w:p>
        </w:tc>
        <w:tc>
          <w:tcPr>
            <w:tcW w:w="1020" w:type="dxa"/>
            <w:vAlign w:val="bottom"/>
          </w:tcPr>
          <w:p>
            <w:pPr>
              <w:jc w:val="center"/>
              <w:spacing w:after="0"/>
              <w:rPr>
                <w:sz w:val="20"/>
                <w:szCs w:val="20"/>
                <w:color w:val="auto"/>
              </w:rPr>
            </w:pPr>
            <w:r>
              <w:rPr>
                <w:rFonts w:ascii="Arial" w:cs="Arial" w:eastAsia="Arial" w:hAnsi="Arial"/>
                <w:sz w:val="14"/>
                <w:szCs w:val="14"/>
                <w:color w:val="auto"/>
              </w:rPr>
              <w:t>02/24/27</w:t>
            </w:r>
          </w:p>
        </w:tc>
        <w:tc>
          <w:tcPr>
            <w:tcW w:w="1340" w:type="dxa"/>
            <w:vAlign w:val="bottom"/>
          </w:tcPr>
          <w:p>
            <w:pPr>
              <w:jc w:val="center"/>
              <w:spacing w:after="0"/>
              <w:rPr>
                <w:sz w:val="20"/>
                <w:szCs w:val="20"/>
                <w:color w:val="auto"/>
              </w:rPr>
            </w:pPr>
            <w:r>
              <w:rPr>
                <w:rFonts w:ascii="Arial" w:cs="Arial" w:eastAsia="Arial" w:hAnsi="Arial"/>
                <w:sz w:val="14"/>
                <w:szCs w:val="14"/>
                <w:color w:val="auto"/>
              </w:rPr>
              <w:t>568</w:t>
            </w:r>
          </w:p>
        </w:tc>
        <w:tc>
          <w:tcPr>
            <w:tcW w:w="1480" w:type="dxa"/>
            <w:vAlign w:val="bottom"/>
          </w:tcPr>
          <w:p>
            <w:pPr>
              <w:jc w:val="center"/>
              <w:spacing w:after="0"/>
              <w:rPr>
                <w:sz w:val="20"/>
                <w:szCs w:val="20"/>
                <w:color w:val="auto"/>
              </w:rPr>
            </w:pPr>
            <w:r>
              <w:rPr>
                <w:rFonts w:ascii="Arial" w:cs="Arial" w:eastAsia="Arial" w:hAnsi="Arial"/>
                <w:sz w:val="14"/>
                <w:szCs w:val="14"/>
                <w:color w:val="auto"/>
              </w:rPr>
              <w:t>$71,290</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02/17/22</w:t>
            </w:r>
          </w:p>
        </w:tc>
        <w:tc>
          <w:tcPr>
            <w:tcW w:w="1020" w:type="dxa"/>
            <w:vAlign w:val="bottom"/>
          </w:tcPr>
          <w:p>
            <w:pPr>
              <w:jc w:val="center"/>
              <w:spacing w:after="0"/>
              <w:rPr>
                <w:sz w:val="20"/>
                <w:szCs w:val="20"/>
                <w:color w:val="auto"/>
              </w:rPr>
            </w:pPr>
            <w:r>
              <w:rPr>
                <w:rFonts w:ascii="Arial" w:cs="Arial" w:eastAsia="Arial" w:hAnsi="Arial"/>
                <w:sz w:val="14"/>
                <w:szCs w:val="14"/>
                <w:color w:val="auto"/>
              </w:rPr>
              <w:t>2/17/27</w:t>
            </w:r>
          </w:p>
        </w:tc>
        <w:tc>
          <w:tcPr>
            <w:tcW w:w="1340" w:type="dxa"/>
            <w:vAlign w:val="bottom"/>
          </w:tcPr>
          <w:p>
            <w:pPr>
              <w:jc w:val="center"/>
              <w:spacing w:after="0"/>
              <w:rPr>
                <w:sz w:val="20"/>
                <w:szCs w:val="20"/>
                <w:color w:val="auto"/>
              </w:rPr>
            </w:pPr>
            <w:r>
              <w:rPr>
                <w:rFonts w:ascii="Arial" w:cs="Arial" w:eastAsia="Arial" w:hAnsi="Arial"/>
                <w:sz w:val="14"/>
                <w:szCs w:val="14"/>
                <w:color w:val="auto"/>
              </w:rPr>
              <w:t>17,571</w:t>
            </w:r>
          </w:p>
        </w:tc>
        <w:tc>
          <w:tcPr>
            <w:tcW w:w="1480" w:type="dxa"/>
            <w:vAlign w:val="bottom"/>
          </w:tcPr>
          <w:p>
            <w:pPr>
              <w:jc w:val="center"/>
              <w:spacing w:after="0"/>
              <w:rPr>
                <w:sz w:val="20"/>
                <w:szCs w:val="20"/>
                <w:color w:val="auto"/>
              </w:rPr>
            </w:pPr>
            <w:r>
              <w:rPr>
                <w:rFonts w:ascii="Arial" w:cs="Arial" w:eastAsia="Arial" w:hAnsi="Arial"/>
                <w:sz w:val="14"/>
                <w:szCs w:val="14"/>
                <w:color w:val="auto"/>
              </w:rPr>
              <w:t>$2,206,039</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02/25/21</w:t>
            </w:r>
          </w:p>
        </w:tc>
        <w:tc>
          <w:tcPr>
            <w:tcW w:w="1020" w:type="dxa"/>
            <w:vAlign w:val="bottom"/>
          </w:tcPr>
          <w:p>
            <w:pPr>
              <w:jc w:val="center"/>
              <w:spacing w:after="0"/>
              <w:rPr>
                <w:sz w:val="20"/>
                <w:szCs w:val="20"/>
                <w:color w:val="auto"/>
              </w:rPr>
            </w:pPr>
            <w:r>
              <w:rPr>
                <w:rFonts w:ascii="Arial" w:cs="Arial" w:eastAsia="Arial" w:hAnsi="Arial"/>
                <w:sz w:val="14"/>
                <w:szCs w:val="14"/>
                <w:color w:val="auto"/>
              </w:rPr>
              <w:t>02/25/26</w:t>
            </w:r>
          </w:p>
        </w:tc>
        <w:tc>
          <w:tcPr>
            <w:tcW w:w="1340" w:type="dxa"/>
            <w:vAlign w:val="bottom"/>
          </w:tcPr>
          <w:p>
            <w:pPr>
              <w:jc w:val="center"/>
              <w:spacing w:after="0"/>
              <w:rPr>
                <w:sz w:val="20"/>
                <w:szCs w:val="20"/>
                <w:color w:val="auto"/>
              </w:rPr>
            </w:pPr>
            <w:r>
              <w:rPr>
                <w:rFonts w:ascii="Arial" w:cs="Arial" w:eastAsia="Arial" w:hAnsi="Arial"/>
                <w:sz w:val="14"/>
                <w:szCs w:val="14"/>
                <w:color w:val="auto"/>
              </w:rPr>
              <w:t>813</w:t>
            </w:r>
          </w:p>
        </w:tc>
        <w:tc>
          <w:tcPr>
            <w:tcW w:w="1480" w:type="dxa"/>
            <w:vAlign w:val="bottom"/>
          </w:tcPr>
          <w:p>
            <w:pPr>
              <w:jc w:val="center"/>
              <w:spacing w:after="0"/>
              <w:rPr>
                <w:sz w:val="20"/>
                <w:szCs w:val="20"/>
                <w:color w:val="auto"/>
              </w:rPr>
            </w:pPr>
            <w:r>
              <w:rPr>
                <w:rFonts w:ascii="Arial" w:cs="Arial" w:eastAsia="Arial" w:hAnsi="Arial"/>
                <w:sz w:val="14"/>
                <w:szCs w:val="14"/>
                <w:color w:val="auto"/>
              </w:rPr>
              <w:t>$102,101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02/18/21</w:t>
            </w:r>
          </w:p>
        </w:tc>
        <w:tc>
          <w:tcPr>
            <w:tcW w:w="1020" w:type="dxa"/>
            <w:vAlign w:val="bottom"/>
          </w:tcPr>
          <w:p>
            <w:pPr>
              <w:jc w:val="center"/>
              <w:spacing w:after="0"/>
              <w:rPr>
                <w:sz w:val="20"/>
                <w:szCs w:val="20"/>
                <w:color w:val="auto"/>
              </w:rPr>
            </w:pPr>
            <w:r>
              <w:rPr>
                <w:rFonts w:ascii="Arial" w:cs="Arial" w:eastAsia="Arial" w:hAnsi="Arial"/>
                <w:sz w:val="14"/>
                <w:szCs w:val="14"/>
                <w:color w:val="auto"/>
              </w:rPr>
              <w:t>02/18/24</w:t>
            </w: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11,892</w:t>
            </w:r>
          </w:p>
        </w:tc>
        <w:tc>
          <w:tcPr>
            <w:tcW w:w="1480" w:type="dxa"/>
            <w:vAlign w:val="bottom"/>
          </w:tcPr>
          <w:p>
            <w:pPr>
              <w:jc w:val="center"/>
              <w:spacing w:after="0"/>
              <w:rPr>
                <w:sz w:val="20"/>
                <w:szCs w:val="20"/>
                <w:color w:val="auto"/>
              </w:rPr>
            </w:pPr>
            <w:r>
              <w:rPr>
                <w:rFonts w:ascii="Arial" w:cs="Arial" w:eastAsia="Arial" w:hAnsi="Arial"/>
                <w:sz w:val="14"/>
                <w:szCs w:val="14"/>
                <w:color w:val="auto"/>
              </w:rPr>
              <w:t>$1,493,041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02/27/25</w:t>
            </w:r>
          </w:p>
        </w:tc>
        <w:tc>
          <w:tcPr>
            <w:tcW w:w="1340" w:type="dxa"/>
            <w:vAlign w:val="bottom"/>
          </w:tcPr>
          <w:p>
            <w:pPr>
              <w:jc w:val="center"/>
              <w:spacing w:after="0"/>
              <w:rPr>
                <w:sz w:val="20"/>
                <w:szCs w:val="20"/>
                <w:color w:val="auto"/>
              </w:rPr>
            </w:pPr>
            <w:r>
              <w:rPr>
                <w:rFonts w:ascii="Arial" w:cs="Arial" w:eastAsia="Arial" w:hAnsi="Arial"/>
                <w:sz w:val="14"/>
                <w:szCs w:val="14"/>
                <w:color w:val="auto"/>
              </w:rPr>
              <w:t>623</w:t>
            </w:r>
          </w:p>
        </w:tc>
        <w:tc>
          <w:tcPr>
            <w:tcW w:w="1480" w:type="dxa"/>
            <w:vAlign w:val="bottom"/>
          </w:tcPr>
          <w:p>
            <w:pPr>
              <w:jc w:val="center"/>
              <w:spacing w:after="0"/>
              <w:rPr>
                <w:sz w:val="20"/>
                <w:szCs w:val="20"/>
                <w:color w:val="auto"/>
              </w:rPr>
            </w:pPr>
            <w:r>
              <w:rPr>
                <w:rFonts w:ascii="Arial" w:cs="Arial" w:eastAsia="Arial" w:hAnsi="Arial"/>
                <w:sz w:val="14"/>
                <w:szCs w:val="14"/>
                <w:color w:val="auto"/>
              </w:rPr>
              <w:t>$78,167</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02/20/20</w:t>
            </w:r>
          </w:p>
        </w:tc>
        <w:tc>
          <w:tcPr>
            <w:tcW w:w="1020" w:type="dxa"/>
            <w:vAlign w:val="bottom"/>
          </w:tcPr>
          <w:p>
            <w:pPr>
              <w:jc w:val="center"/>
              <w:spacing w:after="0"/>
              <w:rPr>
                <w:sz w:val="20"/>
                <w:szCs w:val="20"/>
                <w:color w:val="auto"/>
              </w:rPr>
            </w:pPr>
            <w:r>
              <w:rPr>
                <w:rFonts w:ascii="Arial" w:cs="Arial" w:eastAsia="Arial" w:hAnsi="Arial"/>
                <w:sz w:val="14"/>
                <w:szCs w:val="14"/>
                <w:color w:val="auto"/>
              </w:rPr>
              <w:t>02/20/25</w:t>
            </w:r>
          </w:p>
        </w:tc>
        <w:tc>
          <w:tcPr>
            <w:tcW w:w="1340" w:type="dxa"/>
            <w:vAlign w:val="bottom"/>
          </w:tcPr>
          <w:p>
            <w:pPr>
              <w:jc w:val="center"/>
              <w:spacing w:after="0"/>
              <w:rPr>
                <w:sz w:val="20"/>
                <w:szCs w:val="20"/>
                <w:color w:val="auto"/>
              </w:rPr>
            </w:pPr>
            <w:r>
              <w:rPr>
                <w:rFonts w:ascii="Arial" w:cs="Arial" w:eastAsia="Arial" w:hAnsi="Arial"/>
                <w:sz w:val="14"/>
                <w:szCs w:val="14"/>
                <w:color w:val="auto"/>
              </w:rPr>
              <w:t>7,493</w:t>
            </w:r>
          </w:p>
        </w:tc>
        <w:tc>
          <w:tcPr>
            <w:tcW w:w="1480" w:type="dxa"/>
            <w:vAlign w:val="bottom"/>
          </w:tcPr>
          <w:p>
            <w:pPr>
              <w:jc w:val="center"/>
              <w:spacing w:after="0"/>
              <w:rPr>
                <w:sz w:val="20"/>
                <w:szCs w:val="20"/>
                <w:color w:val="auto"/>
              </w:rPr>
            </w:pPr>
            <w:r>
              <w:rPr>
                <w:rFonts w:ascii="Arial" w:cs="Arial" w:eastAsia="Arial" w:hAnsi="Arial"/>
                <w:sz w:val="14"/>
                <w:szCs w:val="14"/>
                <w:color w:val="auto"/>
              </w:rPr>
              <w:t>$940,746</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8"/>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02/27/19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02/27/24</w:t>
            </w:r>
          </w:p>
        </w:tc>
        <w:tc>
          <w:tcPr>
            <w:tcW w:w="1340" w:type="dxa"/>
            <w:vAlign w:val="bottom"/>
          </w:tcPr>
          <w:p>
            <w:pPr>
              <w:jc w:val="center"/>
              <w:spacing w:after="0"/>
              <w:rPr>
                <w:sz w:val="20"/>
                <w:szCs w:val="20"/>
                <w:color w:val="auto"/>
              </w:rPr>
            </w:pPr>
            <w:r>
              <w:rPr>
                <w:rFonts w:ascii="Arial" w:cs="Arial" w:eastAsia="Arial" w:hAnsi="Arial"/>
                <w:sz w:val="14"/>
                <w:szCs w:val="14"/>
                <w:color w:val="auto"/>
              </w:rPr>
              <w:t>1,102</w:t>
            </w:r>
          </w:p>
        </w:tc>
        <w:tc>
          <w:tcPr>
            <w:tcW w:w="1480" w:type="dxa"/>
            <w:vAlign w:val="bottom"/>
          </w:tcPr>
          <w:p>
            <w:pPr>
              <w:jc w:val="center"/>
              <w:spacing w:after="0"/>
              <w:rPr>
                <w:sz w:val="20"/>
                <w:szCs w:val="20"/>
                <w:color w:val="auto"/>
              </w:rPr>
            </w:pPr>
            <w:r>
              <w:rPr>
                <w:rFonts w:ascii="Arial" w:cs="Arial" w:eastAsia="Arial" w:hAnsi="Arial"/>
                <w:sz w:val="14"/>
                <w:szCs w:val="14"/>
                <w:color w:val="auto"/>
              </w:rPr>
              <w:t>$138,338</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r>
        <w:trPr>
          <w:trHeight w:val="242"/>
        </w:trPr>
        <w:tc>
          <w:tcPr>
            <w:tcW w:w="1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02/21/19</w:t>
            </w:r>
          </w:p>
        </w:tc>
        <w:tc>
          <w:tcPr>
            <w:tcW w:w="1020" w:type="dxa"/>
            <w:vAlign w:val="bottom"/>
          </w:tcPr>
          <w:p>
            <w:pPr>
              <w:jc w:val="center"/>
              <w:spacing w:after="0"/>
              <w:rPr>
                <w:sz w:val="20"/>
                <w:szCs w:val="20"/>
                <w:color w:val="auto"/>
              </w:rPr>
            </w:pPr>
            <w:r>
              <w:rPr>
                <w:rFonts w:ascii="Arial" w:cs="Arial" w:eastAsia="Arial" w:hAnsi="Arial"/>
                <w:sz w:val="14"/>
                <w:szCs w:val="14"/>
                <w:color w:val="auto"/>
              </w:rPr>
              <w:t>02/21/24</w:t>
            </w:r>
          </w:p>
        </w:tc>
        <w:tc>
          <w:tcPr>
            <w:tcW w:w="1340" w:type="dxa"/>
            <w:vAlign w:val="bottom"/>
          </w:tcPr>
          <w:p>
            <w:pPr>
              <w:jc w:val="center"/>
              <w:spacing w:after="0"/>
              <w:rPr>
                <w:sz w:val="20"/>
                <w:szCs w:val="20"/>
                <w:color w:val="auto"/>
              </w:rPr>
            </w:pPr>
            <w:r>
              <w:rPr>
                <w:rFonts w:ascii="Arial" w:cs="Arial" w:eastAsia="Arial" w:hAnsi="Arial"/>
                <w:sz w:val="14"/>
                <w:szCs w:val="14"/>
                <w:color w:val="auto"/>
              </w:rPr>
              <w:t>510</w:t>
            </w:r>
          </w:p>
        </w:tc>
        <w:tc>
          <w:tcPr>
            <w:tcW w:w="1480" w:type="dxa"/>
            <w:vAlign w:val="bottom"/>
          </w:tcPr>
          <w:p>
            <w:pPr>
              <w:jc w:val="center"/>
              <w:spacing w:after="0"/>
              <w:rPr>
                <w:sz w:val="20"/>
                <w:szCs w:val="20"/>
                <w:color w:val="auto"/>
              </w:rPr>
            </w:pPr>
            <w:r>
              <w:rPr>
                <w:rFonts w:ascii="Arial" w:cs="Arial" w:eastAsia="Arial" w:hAnsi="Arial"/>
                <w:sz w:val="14"/>
                <w:szCs w:val="14"/>
                <w:color w:val="auto"/>
              </w:rPr>
              <w:t>$64,031</w:t>
            </w: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9"/>
        </w:trPr>
        <w:tc>
          <w:tcPr>
            <w:tcW w:w="1400" w:type="dxa"/>
            <w:vAlign w:val="bottom"/>
            <w:tcBorders>
              <w:bottom w:val="single" w:sz="8" w:color="017B52"/>
            </w:tcBorders>
          </w:tcPr>
          <w:p>
            <w:pPr>
              <w:spacing w:after="0"/>
              <w:rPr>
                <w:sz w:val="4"/>
                <w:szCs w:val="4"/>
                <w:color w:val="auto"/>
              </w:rPr>
            </w:pPr>
          </w:p>
        </w:tc>
        <w:tc>
          <w:tcPr>
            <w:tcW w:w="860" w:type="dxa"/>
            <w:vAlign w:val="bottom"/>
            <w:tcBorders>
              <w:bottom w:val="single" w:sz="8" w:color="017B52"/>
            </w:tcBorders>
          </w:tcPr>
          <w:p>
            <w:pPr>
              <w:spacing w:after="0"/>
              <w:rPr>
                <w:sz w:val="4"/>
                <w:szCs w:val="4"/>
                <w:color w:val="auto"/>
              </w:rPr>
            </w:pPr>
          </w:p>
        </w:tc>
        <w:tc>
          <w:tcPr>
            <w:tcW w:w="1020" w:type="dxa"/>
            <w:vAlign w:val="bottom"/>
            <w:tcBorders>
              <w:bottom w:val="single" w:sz="8" w:color="017B52"/>
            </w:tcBorders>
          </w:tcPr>
          <w:p>
            <w:pPr>
              <w:spacing w:after="0"/>
              <w:rPr>
                <w:sz w:val="4"/>
                <w:szCs w:val="4"/>
                <w:color w:val="auto"/>
              </w:rPr>
            </w:pPr>
          </w:p>
        </w:tc>
        <w:tc>
          <w:tcPr>
            <w:tcW w:w="1340" w:type="dxa"/>
            <w:vAlign w:val="bottom"/>
            <w:tcBorders>
              <w:bottom w:val="single" w:sz="8" w:color="017B52"/>
            </w:tcBorders>
          </w:tcPr>
          <w:p>
            <w:pPr>
              <w:spacing w:after="0"/>
              <w:rPr>
                <w:sz w:val="4"/>
                <w:szCs w:val="4"/>
                <w:color w:val="auto"/>
              </w:rPr>
            </w:pPr>
          </w:p>
        </w:tc>
        <w:tc>
          <w:tcPr>
            <w:tcW w:w="1480" w:type="dxa"/>
            <w:vAlign w:val="bottom"/>
            <w:tcBorders>
              <w:bottom w:val="single" w:sz="8" w:color="017B52"/>
            </w:tcBorders>
          </w:tcPr>
          <w:p>
            <w:pPr>
              <w:spacing w:after="0"/>
              <w:rPr>
                <w:sz w:val="4"/>
                <w:szCs w:val="4"/>
                <w:color w:val="auto"/>
              </w:rPr>
            </w:pPr>
          </w:p>
        </w:tc>
        <w:tc>
          <w:tcPr>
            <w:tcW w:w="1660" w:type="dxa"/>
            <w:vAlign w:val="bottom"/>
            <w:tcBorders>
              <w:bottom w:val="single" w:sz="8" w:color="017B52"/>
            </w:tcBorders>
          </w:tcPr>
          <w:p>
            <w:pPr>
              <w:spacing w:after="0"/>
              <w:rPr>
                <w:sz w:val="4"/>
                <w:szCs w:val="4"/>
                <w:color w:val="auto"/>
              </w:rPr>
            </w:pPr>
          </w:p>
        </w:tc>
        <w:tc>
          <w:tcPr>
            <w:tcW w:w="1640" w:type="dxa"/>
            <w:vAlign w:val="bottom"/>
            <w:tcBorders>
              <w:bottom w:val="single" w:sz="8" w:color="017B52"/>
            </w:tcBorders>
          </w:tcPr>
          <w:p>
            <w:pPr>
              <w:spacing w:after="0"/>
              <w:rPr>
                <w:sz w:val="4"/>
                <w:szCs w:val="4"/>
                <w:color w:val="auto"/>
              </w:rPr>
            </w:pPr>
          </w:p>
        </w:tc>
      </w:tr>
    </w:tbl>
    <w:p>
      <w:pPr>
        <w:spacing w:after="0" w:line="171" w:lineRule="exact"/>
        <w:rPr>
          <w:sz w:val="20"/>
          <w:szCs w:val="20"/>
          <w:color w:val="auto"/>
        </w:rPr>
      </w:pPr>
    </w:p>
    <w:p>
      <w:pPr>
        <w:ind w:left="360" w:right="120" w:hanging="354"/>
        <w:spacing w:after="0" w:line="283" w:lineRule="auto"/>
        <w:tabs>
          <w:tab w:leader="none" w:pos="360" w:val="left"/>
        </w:tabs>
        <w:numPr>
          <w:ilvl w:val="0"/>
          <w:numId w:val="34"/>
        </w:numPr>
        <w:rPr>
          <w:rFonts w:ascii="Arial" w:cs="Arial" w:eastAsia="Arial" w:hAnsi="Arial"/>
          <w:sz w:val="12"/>
          <w:szCs w:val="12"/>
          <w:color w:val="333333"/>
        </w:rPr>
      </w:pPr>
      <w:r>
        <w:rPr>
          <w:rFonts w:ascii="Arial" w:cs="Arial" w:eastAsia="Arial" w:hAnsi="Arial"/>
          <w:sz w:val="12"/>
          <w:szCs w:val="12"/>
          <w:color w:val="333333"/>
        </w:rPr>
        <w:t>Represents shares of restricted stock granted to each Named Executive. The shares are subject to risks of forfeiture until they vest in full. Subject to accelerated vesting for death, disability or a change in control of our Company, the shares vest in full on either the third, fifth or eighth anniversary of the grant date.</w:t>
      </w:r>
    </w:p>
    <w:p>
      <w:pPr>
        <w:spacing w:after="0" w:line="39" w:lineRule="exact"/>
        <w:rPr>
          <w:rFonts w:ascii="Arial" w:cs="Arial" w:eastAsia="Arial" w:hAnsi="Arial"/>
          <w:sz w:val="12"/>
          <w:szCs w:val="12"/>
          <w:color w:val="333333"/>
        </w:rPr>
      </w:pPr>
    </w:p>
    <w:p>
      <w:pPr>
        <w:ind w:left="360" w:hanging="354"/>
        <w:spacing w:after="0"/>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The market value of the shares in these columns is based upon the closing price of our common stock on December 30, 2023 ($125.55).</w:t>
      </w:r>
    </w:p>
    <w:p>
      <w:pPr>
        <w:spacing w:after="0" w:line="80" w:lineRule="exact"/>
        <w:rPr>
          <w:rFonts w:ascii="Arial" w:cs="Arial" w:eastAsia="Arial" w:hAnsi="Arial"/>
          <w:sz w:val="13"/>
          <w:szCs w:val="13"/>
          <w:color w:val="333333"/>
        </w:rPr>
      </w:pPr>
    </w:p>
    <w:p>
      <w:pPr>
        <w:ind w:left="360" w:right="80" w:hanging="354"/>
        <w:spacing w:after="0" w:line="229" w:lineRule="auto"/>
        <w:tabs>
          <w:tab w:leader="none" w:pos="36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The number of shares that may be issued under performance unit award agreements granted in each of the prior two years depends upon the Company’s actual pre-incentive compensation operating profit relative to the targeted pre-incentive compensation operating profit for the 3-year performance period. The number of the awards reflects the target level of performance units granted, and the value of the awards is based upon the closing price of our common stock on December 30, 2023, which was $125.55.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38</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the number and value of options exercised and stock grants vested in 2023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Executives:</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300" w:type="dxa"/>
            <w:vAlign w:val="bottom"/>
          </w:tcPr>
          <w:p>
            <w:pPr>
              <w:spacing w:after="0"/>
              <w:rPr>
                <w:sz w:val="12"/>
                <w:szCs w:val="12"/>
                <w:color w:val="auto"/>
              </w:rPr>
            </w:pPr>
          </w:p>
        </w:tc>
        <w:tc>
          <w:tcPr>
            <w:tcW w:w="1860" w:type="dxa"/>
            <w:vAlign w:val="bottom"/>
          </w:tcPr>
          <w:p>
            <w:pPr>
              <w:ind w:left="940"/>
              <w:spacing w:after="0"/>
              <w:rPr>
                <w:sz w:val="20"/>
                <w:szCs w:val="20"/>
                <w:color w:val="auto"/>
              </w:rPr>
            </w:pPr>
            <w:r>
              <w:rPr>
                <w:rFonts w:ascii="Arial" w:cs="Arial" w:eastAsia="Arial" w:hAnsi="Arial"/>
                <w:sz w:val="11"/>
                <w:szCs w:val="11"/>
                <w:b w:val="1"/>
                <w:bCs w:val="1"/>
                <w:color w:val="auto"/>
                <w:w w:val="94"/>
              </w:rPr>
              <w:t>OPTION AWARDS</w:t>
            </w: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gridSpan w:val="2"/>
          </w:tcPr>
          <w:p>
            <w:pPr>
              <w:ind w:left="960"/>
              <w:spacing w:after="0"/>
              <w:rPr>
                <w:sz w:val="20"/>
                <w:szCs w:val="20"/>
                <w:color w:val="auto"/>
              </w:rPr>
            </w:pPr>
            <w:r>
              <w:rPr>
                <w:rFonts w:ascii="Arial" w:cs="Arial" w:eastAsia="Arial" w:hAnsi="Arial"/>
                <w:sz w:val="11"/>
                <w:szCs w:val="11"/>
                <w:b w:val="1"/>
                <w:bCs w:val="1"/>
                <w:color w:val="auto"/>
              </w:rPr>
              <w:t>STOCK AWARDS</w:t>
            </w:r>
          </w:p>
        </w:tc>
      </w:tr>
      <w:tr>
        <w:trPr>
          <w:trHeight w:val="95"/>
        </w:trPr>
        <w:tc>
          <w:tcPr>
            <w:tcW w:w="3300" w:type="dxa"/>
            <w:vAlign w:val="bottom"/>
          </w:tcPr>
          <w:p>
            <w:pPr>
              <w:spacing w:after="0"/>
              <w:rPr>
                <w:sz w:val="8"/>
                <w:szCs w:val="8"/>
                <w:color w:val="auto"/>
              </w:rPr>
            </w:pPr>
          </w:p>
        </w:tc>
        <w:tc>
          <w:tcPr>
            <w:tcW w:w="1860" w:type="dxa"/>
            <w:vAlign w:val="bottom"/>
            <w:tcBorders>
              <w:bottom w:val="single" w:sz="8" w:color="017B52"/>
            </w:tcBorders>
          </w:tcPr>
          <w:p>
            <w:pPr>
              <w:spacing w:after="0"/>
              <w:rPr>
                <w:sz w:val="8"/>
                <w:szCs w:val="8"/>
                <w:color w:val="auto"/>
              </w:rPr>
            </w:pPr>
          </w:p>
        </w:tc>
        <w:tc>
          <w:tcPr>
            <w:tcW w:w="940" w:type="dxa"/>
            <w:vAlign w:val="bottom"/>
            <w:tcBorders>
              <w:bottom w:val="single" w:sz="8" w:color="017B52"/>
            </w:tcBorders>
          </w:tcPr>
          <w:p>
            <w:pPr>
              <w:spacing w:after="0"/>
              <w:rPr>
                <w:sz w:val="8"/>
                <w:szCs w:val="8"/>
                <w:color w:val="auto"/>
              </w:rPr>
            </w:pPr>
          </w:p>
        </w:tc>
        <w:tc>
          <w:tcPr>
            <w:tcW w:w="480" w:type="dxa"/>
            <w:vAlign w:val="bottom"/>
          </w:tcPr>
          <w:p>
            <w:pPr>
              <w:spacing w:after="0"/>
              <w:rPr>
                <w:sz w:val="8"/>
                <w:szCs w:val="8"/>
                <w:color w:val="auto"/>
              </w:rPr>
            </w:pPr>
          </w:p>
        </w:tc>
        <w:tc>
          <w:tcPr>
            <w:tcW w:w="1560" w:type="dxa"/>
            <w:vAlign w:val="bottom"/>
            <w:tcBorders>
              <w:bottom w:val="single" w:sz="8" w:color="017B52"/>
            </w:tcBorders>
          </w:tcPr>
          <w:p>
            <w:pPr>
              <w:spacing w:after="0"/>
              <w:rPr>
                <w:sz w:val="8"/>
                <w:szCs w:val="8"/>
                <w:color w:val="auto"/>
              </w:rPr>
            </w:pPr>
          </w:p>
        </w:tc>
        <w:tc>
          <w:tcPr>
            <w:tcW w:w="1220" w:type="dxa"/>
            <w:vAlign w:val="bottom"/>
            <w:tcBorders>
              <w:bottom w:val="single" w:sz="8" w:color="017B52"/>
            </w:tcBorders>
          </w:tcPr>
          <w:p>
            <w:pPr>
              <w:spacing w:after="0"/>
              <w:rPr>
                <w:sz w:val="8"/>
                <w:szCs w:val="8"/>
                <w:color w:val="auto"/>
              </w:rPr>
            </w:pPr>
          </w:p>
        </w:tc>
      </w:tr>
      <w:tr>
        <w:trPr>
          <w:trHeight w:val="196"/>
        </w:trPr>
        <w:tc>
          <w:tcPr>
            <w:tcW w:w="3300" w:type="dxa"/>
            <w:vAlign w:val="bottom"/>
          </w:tcPr>
          <w:p>
            <w:pPr>
              <w:spacing w:after="0"/>
              <w:rPr>
                <w:sz w:val="17"/>
                <w:szCs w:val="17"/>
                <w:color w:val="auto"/>
              </w:rPr>
            </w:pPr>
          </w:p>
        </w:tc>
        <w:tc>
          <w:tcPr>
            <w:tcW w:w="1860" w:type="dxa"/>
            <w:vAlign w:val="bottom"/>
          </w:tcPr>
          <w:p>
            <w:pPr>
              <w:jc w:val="center"/>
              <w:ind w:right="446"/>
              <w:spacing w:after="0"/>
              <w:rPr>
                <w:sz w:val="20"/>
                <w:szCs w:val="20"/>
                <w:color w:val="auto"/>
              </w:rPr>
            </w:pPr>
            <w:r>
              <w:rPr>
                <w:rFonts w:ascii="Arial" w:cs="Arial" w:eastAsia="Arial" w:hAnsi="Arial"/>
                <w:sz w:val="11"/>
                <w:szCs w:val="11"/>
                <w:b w:val="1"/>
                <w:bCs w:val="1"/>
                <w:color w:val="auto"/>
                <w:w w:val="96"/>
              </w:rPr>
              <w:t>NUMBER OF SHARES</w:t>
            </w:r>
          </w:p>
        </w:tc>
        <w:tc>
          <w:tcPr>
            <w:tcW w:w="14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6"/>
              </w:rPr>
              <w:t>VALUE REALIZED</w:t>
            </w:r>
          </w:p>
        </w:tc>
        <w:tc>
          <w:tcPr>
            <w:tcW w:w="1560" w:type="dxa"/>
            <w:vAlign w:val="bottom"/>
          </w:tcPr>
          <w:p>
            <w:pPr>
              <w:jc w:val="center"/>
              <w:ind w:right="206"/>
              <w:spacing w:after="0"/>
              <w:rPr>
                <w:sz w:val="20"/>
                <w:szCs w:val="20"/>
                <w:color w:val="auto"/>
              </w:rPr>
            </w:pPr>
            <w:r>
              <w:rPr>
                <w:rFonts w:ascii="Arial" w:cs="Arial" w:eastAsia="Arial" w:hAnsi="Arial"/>
                <w:sz w:val="11"/>
                <w:szCs w:val="11"/>
                <w:b w:val="1"/>
                <w:bCs w:val="1"/>
                <w:color w:val="auto"/>
                <w:w w:val="98"/>
              </w:rPr>
              <w:t>NUMBER OF SHARES</w:t>
            </w:r>
          </w:p>
        </w:tc>
        <w:tc>
          <w:tcPr>
            <w:tcW w:w="1220" w:type="dxa"/>
            <w:vAlign w:val="bottom"/>
          </w:tcPr>
          <w:p>
            <w:pPr>
              <w:jc w:val="center"/>
              <w:ind w:left="186"/>
              <w:spacing w:after="0"/>
              <w:rPr>
                <w:sz w:val="20"/>
                <w:szCs w:val="20"/>
                <w:color w:val="auto"/>
              </w:rPr>
            </w:pPr>
            <w:r>
              <w:rPr>
                <w:rFonts w:ascii="Arial" w:cs="Arial" w:eastAsia="Arial" w:hAnsi="Arial"/>
                <w:sz w:val="11"/>
                <w:szCs w:val="11"/>
                <w:b w:val="1"/>
                <w:bCs w:val="1"/>
                <w:color w:val="auto"/>
                <w:w w:val="98"/>
              </w:rPr>
              <w:t>VALUE REALIZED</w:t>
            </w:r>
          </w:p>
        </w:tc>
      </w:tr>
      <w:tr>
        <w:trPr>
          <w:trHeight w:val="221"/>
        </w:trPr>
        <w:tc>
          <w:tcPr>
            <w:tcW w:w="330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7"/>
              </w:rPr>
              <w:t>ACQUIRED ON EXERCISE</w:t>
            </w:r>
          </w:p>
        </w:tc>
        <w:tc>
          <w:tcPr>
            <w:tcW w:w="14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8"/>
              </w:rPr>
              <w:t>ON EXERCISE</w:t>
            </w:r>
          </w:p>
        </w:tc>
        <w:tc>
          <w:tcPr>
            <w:tcW w:w="1560" w:type="dxa"/>
            <w:vAlign w:val="bottom"/>
          </w:tcPr>
          <w:p>
            <w:pPr>
              <w:jc w:val="center"/>
              <w:ind w:right="186"/>
              <w:spacing w:after="0"/>
              <w:rPr>
                <w:sz w:val="20"/>
                <w:szCs w:val="20"/>
                <w:color w:val="auto"/>
              </w:rPr>
            </w:pPr>
            <w:r>
              <w:rPr>
                <w:rFonts w:ascii="Arial" w:cs="Arial" w:eastAsia="Arial" w:hAnsi="Arial"/>
                <w:sz w:val="11"/>
                <w:szCs w:val="11"/>
                <w:b w:val="1"/>
                <w:bCs w:val="1"/>
                <w:color w:val="auto"/>
                <w:w w:val="98"/>
              </w:rPr>
              <w:t>ACQUIRED ON VESTING</w:t>
            </w:r>
          </w:p>
        </w:tc>
        <w:tc>
          <w:tcPr>
            <w:tcW w:w="1220" w:type="dxa"/>
            <w:vAlign w:val="bottom"/>
          </w:tcPr>
          <w:p>
            <w:pPr>
              <w:jc w:val="center"/>
              <w:ind w:left="186"/>
              <w:spacing w:after="0"/>
              <w:rPr>
                <w:sz w:val="20"/>
                <w:szCs w:val="20"/>
                <w:color w:val="auto"/>
              </w:rPr>
            </w:pPr>
            <w:r>
              <w:rPr>
                <w:rFonts w:ascii="Arial" w:cs="Arial" w:eastAsia="Arial" w:hAnsi="Arial"/>
                <w:sz w:val="11"/>
                <w:szCs w:val="11"/>
                <w:b w:val="1"/>
                <w:bCs w:val="1"/>
                <w:color w:val="auto"/>
                <w:w w:val="96"/>
              </w:rPr>
              <w:t>ON VESTING</w:t>
            </w:r>
            <w:r>
              <w:rPr>
                <w:rFonts w:ascii="Arial" w:cs="Arial" w:eastAsia="Arial" w:hAnsi="Arial"/>
                <w:sz w:val="16"/>
                <w:szCs w:val="16"/>
                <w:b w:val="1"/>
                <w:bCs w:val="1"/>
                <w:color w:val="auto"/>
                <w:w w:val="96"/>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59664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64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Matthew J. Missad</w:t>
            </w:r>
            <w:r>
              <w:rPr>
                <w:rFonts w:ascii="Arial" w:cs="Arial" w:eastAsia="Arial" w:hAnsi="Arial"/>
                <w:sz w:val="20"/>
                <w:szCs w:val="20"/>
                <w:b w:val="1"/>
                <w:bCs w:val="1"/>
                <w:color w:val="017B52"/>
                <w:vertAlign w:val="superscript"/>
              </w:rPr>
              <w:t>(2)</w:t>
            </w:r>
          </w:p>
        </w:tc>
        <w:tc>
          <w:tcPr>
            <w:tcW w:w="2200" w:type="dxa"/>
            <w:vAlign w:val="bottom"/>
            <w:tcBorders>
              <w:bottom w:val="single" w:sz="8" w:color="017B52"/>
            </w:tcBorders>
          </w:tcPr>
          <w:p>
            <w:pPr>
              <w:jc w:val="right"/>
              <w:ind w:right="708"/>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017B52"/>
            </w:tcBorders>
          </w:tcPr>
          <w:p>
            <w:pPr>
              <w:jc w:val="right"/>
              <w:ind w:right="608"/>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017B52"/>
            </w:tcBorders>
          </w:tcPr>
          <w:p>
            <w:pPr>
              <w:jc w:val="center"/>
              <w:ind w:left="88"/>
              <w:spacing w:after="0"/>
              <w:rPr>
                <w:sz w:val="20"/>
                <w:szCs w:val="20"/>
                <w:color w:val="auto"/>
              </w:rPr>
            </w:pPr>
            <w:r>
              <w:rPr>
                <w:rFonts w:ascii="Arial" w:cs="Arial" w:eastAsia="Arial" w:hAnsi="Arial"/>
                <w:sz w:val="14"/>
                <w:szCs w:val="14"/>
                <w:color w:val="auto"/>
              </w:rPr>
              <w:t>36,092</w:t>
            </w:r>
          </w:p>
        </w:tc>
        <w:tc>
          <w:tcPr>
            <w:tcW w:w="1380" w:type="dxa"/>
            <w:vAlign w:val="bottom"/>
            <w:tcBorders>
              <w:bottom w:val="single" w:sz="8" w:color="017B52"/>
            </w:tcBorders>
          </w:tcPr>
          <w:p>
            <w:pPr>
              <w:jc w:val="center"/>
              <w:ind w:left="308"/>
              <w:spacing w:after="0"/>
              <w:rPr>
                <w:sz w:val="20"/>
                <w:szCs w:val="20"/>
                <w:color w:val="auto"/>
              </w:rPr>
            </w:pPr>
            <w:r>
              <w:rPr>
                <w:rFonts w:ascii="Arial" w:cs="Arial" w:eastAsia="Arial" w:hAnsi="Arial"/>
                <w:sz w:val="14"/>
                <w:szCs w:val="14"/>
                <w:color w:val="auto"/>
              </w:rPr>
              <w:t>$3,020,807</w:t>
            </w:r>
          </w:p>
        </w:tc>
      </w:tr>
      <w:tr>
        <w:trPr>
          <w:trHeight w:val="287"/>
        </w:trPr>
        <w:tc>
          <w:tcPr>
            <w:tcW w:w="264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2200" w:type="dxa"/>
            <w:vAlign w:val="bottom"/>
          </w:tcPr>
          <w:p>
            <w:pPr>
              <w:jc w:val="right"/>
              <w:ind w:right="708"/>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12,876</w:t>
            </w:r>
          </w:p>
        </w:tc>
        <w:tc>
          <w:tcPr>
            <w:tcW w:w="1380" w:type="dxa"/>
            <w:vAlign w:val="bottom"/>
          </w:tcPr>
          <w:p>
            <w:pPr>
              <w:jc w:val="center"/>
              <w:ind w:left="308"/>
              <w:spacing w:after="0"/>
              <w:rPr>
                <w:sz w:val="20"/>
                <w:szCs w:val="20"/>
                <w:color w:val="auto"/>
              </w:rPr>
            </w:pPr>
            <w:r>
              <w:rPr>
                <w:rFonts w:ascii="Arial" w:cs="Arial" w:eastAsia="Arial" w:hAnsi="Arial"/>
                <w:sz w:val="14"/>
                <w:szCs w:val="14"/>
                <w:color w:val="auto"/>
              </w:rPr>
              <w:t>$1,079,477</w:t>
            </w:r>
          </w:p>
        </w:tc>
      </w:tr>
      <w:tr>
        <w:trPr>
          <w:trHeight w:val="89"/>
        </w:trPr>
        <w:tc>
          <w:tcPr>
            <w:tcW w:w="2640" w:type="dxa"/>
            <w:vAlign w:val="bottom"/>
            <w:tcBorders>
              <w:bottom w:val="single" w:sz="8" w:color="017B52"/>
            </w:tcBorders>
          </w:tcPr>
          <w:p>
            <w:pPr>
              <w:spacing w:after="0"/>
              <w:rPr>
                <w:sz w:val="7"/>
                <w:szCs w:val="7"/>
                <w:color w:val="auto"/>
              </w:rPr>
            </w:pPr>
          </w:p>
        </w:tc>
        <w:tc>
          <w:tcPr>
            <w:tcW w:w="2200" w:type="dxa"/>
            <w:vAlign w:val="bottom"/>
            <w:tcBorders>
              <w:bottom w:val="single" w:sz="8" w:color="017B52"/>
            </w:tcBorders>
          </w:tcPr>
          <w:p>
            <w:pPr>
              <w:spacing w:after="0"/>
              <w:rPr>
                <w:sz w:val="7"/>
                <w:szCs w:val="7"/>
                <w:color w:val="auto"/>
              </w:rPr>
            </w:pPr>
          </w:p>
        </w:tc>
        <w:tc>
          <w:tcPr>
            <w:tcW w:w="1540" w:type="dxa"/>
            <w:vAlign w:val="bottom"/>
            <w:tcBorders>
              <w:bottom w:val="single" w:sz="8" w:color="017B52"/>
            </w:tcBorders>
          </w:tcPr>
          <w:p>
            <w:pPr>
              <w:spacing w:after="0"/>
              <w:rPr>
                <w:sz w:val="7"/>
                <w:szCs w:val="7"/>
                <w:color w:val="auto"/>
              </w:rPr>
            </w:pPr>
          </w:p>
        </w:tc>
        <w:tc>
          <w:tcPr>
            <w:tcW w:w="1640" w:type="dxa"/>
            <w:vAlign w:val="bottom"/>
            <w:tcBorders>
              <w:bottom w:val="single" w:sz="8" w:color="017B52"/>
            </w:tcBorders>
          </w:tcPr>
          <w:p>
            <w:pPr>
              <w:spacing w:after="0"/>
              <w:rPr>
                <w:sz w:val="7"/>
                <w:szCs w:val="7"/>
                <w:color w:val="auto"/>
              </w:rPr>
            </w:pPr>
          </w:p>
        </w:tc>
        <w:tc>
          <w:tcPr>
            <w:tcW w:w="1380" w:type="dxa"/>
            <w:vAlign w:val="bottom"/>
            <w:tcBorders>
              <w:bottom w:val="single" w:sz="8" w:color="017B52"/>
            </w:tcBorders>
          </w:tcPr>
          <w:p>
            <w:pPr>
              <w:spacing w:after="0"/>
              <w:rPr>
                <w:sz w:val="7"/>
                <w:szCs w:val="7"/>
                <w:color w:val="auto"/>
              </w:rPr>
            </w:pPr>
          </w:p>
        </w:tc>
      </w:tr>
      <w:tr>
        <w:trPr>
          <w:trHeight w:val="283"/>
        </w:trPr>
        <w:tc>
          <w:tcPr>
            <w:tcW w:w="264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2200" w:type="dxa"/>
            <w:vAlign w:val="bottom"/>
          </w:tcPr>
          <w:p>
            <w:pPr>
              <w:jc w:val="right"/>
              <w:ind w:right="708"/>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14,510</w:t>
            </w:r>
          </w:p>
        </w:tc>
        <w:tc>
          <w:tcPr>
            <w:tcW w:w="1380" w:type="dxa"/>
            <w:vAlign w:val="bottom"/>
          </w:tcPr>
          <w:p>
            <w:pPr>
              <w:jc w:val="center"/>
              <w:ind w:left="308"/>
              <w:spacing w:after="0"/>
              <w:rPr>
                <w:sz w:val="20"/>
                <w:szCs w:val="20"/>
                <w:color w:val="auto"/>
              </w:rPr>
            </w:pPr>
            <w:r>
              <w:rPr>
                <w:rFonts w:ascii="Arial" w:cs="Arial" w:eastAsia="Arial" w:hAnsi="Arial"/>
                <w:sz w:val="14"/>
                <w:szCs w:val="14"/>
                <w:color w:val="auto"/>
              </w:rPr>
              <w:t>$1,216,031</w:t>
            </w:r>
          </w:p>
        </w:tc>
      </w:tr>
      <w:tr>
        <w:trPr>
          <w:trHeight w:val="89"/>
        </w:trPr>
        <w:tc>
          <w:tcPr>
            <w:tcW w:w="2640" w:type="dxa"/>
            <w:vAlign w:val="bottom"/>
            <w:tcBorders>
              <w:bottom w:val="single" w:sz="8" w:color="017B52"/>
            </w:tcBorders>
          </w:tcPr>
          <w:p>
            <w:pPr>
              <w:spacing w:after="0"/>
              <w:rPr>
                <w:sz w:val="7"/>
                <w:szCs w:val="7"/>
                <w:color w:val="auto"/>
              </w:rPr>
            </w:pPr>
          </w:p>
        </w:tc>
        <w:tc>
          <w:tcPr>
            <w:tcW w:w="2200" w:type="dxa"/>
            <w:vAlign w:val="bottom"/>
            <w:tcBorders>
              <w:bottom w:val="single" w:sz="8" w:color="017B52"/>
            </w:tcBorders>
          </w:tcPr>
          <w:p>
            <w:pPr>
              <w:spacing w:after="0"/>
              <w:rPr>
                <w:sz w:val="7"/>
                <w:szCs w:val="7"/>
                <w:color w:val="auto"/>
              </w:rPr>
            </w:pPr>
          </w:p>
        </w:tc>
        <w:tc>
          <w:tcPr>
            <w:tcW w:w="1540" w:type="dxa"/>
            <w:vAlign w:val="bottom"/>
            <w:tcBorders>
              <w:bottom w:val="single" w:sz="8" w:color="017B52"/>
            </w:tcBorders>
          </w:tcPr>
          <w:p>
            <w:pPr>
              <w:spacing w:after="0"/>
              <w:rPr>
                <w:sz w:val="7"/>
                <w:szCs w:val="7"/>
                <w:color w:val="auto"/>
              </w:rPr>
            </w:pPr>
          </w:p>
        </w:tc>
        <w:tc>
          <w:tcPr>
            <w:tcW w:w="1640" w:type="dxa"/>
            <w:vAlign w:val="bottom"/>
            <w:tcBorders>
              <w:bottom w:val="single" w:sz="8" w:color="017B52"/>
            </w:tcBorders>
          </w:tcPr>
          <w:p>
            <w:pPr>
              <w:spacing w:after="0"/>
              <w:rPr>
                <w:sz w:val="7"/>
                <w:szCs w:val="7"/>
                <w:color w:val="auto"/>
              </w:rPr>
            </w:pPr>
          </w:p>
        </w:tc>
        <w:tc>
          <w:tcPr>
            <w:tcW w:w="1380" w:type="dxa"/>
            <w:vAlign w:val="bottom"/>
            <w:tcBorders>
              <w:bottom w:val="single" w:sz="8" w:color="017B52"/>
            </w:tcBorders>
          </w:tcPr>
          <w:p>
            <w:pPr>
              <w:spacing w:after="0"/>
              <w:rPr>
                <w:sz w:val="7"/>
                <w:szCs w:val="7"/>
                <w:color w:val="auto"/>
              </w:rPr>
            </w:pPr>
          </w:p>
        </w:tc>
      </w:tr>
      <w:tr>
        <w:trPr>
          <w:trHeight w:val="282"/>
        </w:trPr>
        <w:tc>
          <w:tcPr>
            <w:tcW w:w="264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2200" w:type="dxa"/>
            <w:vAlign w:val="bottom"/>
          </w:tcPr>
          <w:p>
            <w:pPr>
              <w:jc w:val="right"/>
              <w:ind w:right="708"/>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5,764</w:t>
            </w:r>
          </w:p>
        </w:tc>
        <w:tc>
          <w:tcPr>
            <w:tcW w:w="1380" w:type="dxa"/>
            <w:vAlign w:val="bottom"/>
          </w:tcPr>
          <w:p>
            <w:pPr>
              <w:jc w:val="center"/>
              <w:ind w:left="308"/>
              <w:spacing w:after="0"/>
              <w:rPr>
                <w:sz w:val="20"/>
                <w:szCs w:val="20"/>
                <w:color w:val="auto"/>
              </w:rPr>
            </w:pPr>
            <w:r>
              <w:rPr>
                <w:rFonts w:ascii="Arial" w:cs="Arial" w:eastAsia="Arial" w:hAnsi="Arial"/>
                <w:sz w:val="14"/>
                <w:szCs w:val="14"/>
                <w:color w:val="auto"/>
              </w:rPr>
              <w:t>$484,010</w:t>
            </w:r>
          </w:p>
        </w:tc>
      </w:tr>
      <w:tr>
        <w:trPr>
          <w:trHeight w:val="89"/>
        </w:trPr>
        <w:tc>
          <w:tcPr>
            <w:tcW w:w="2640" w:type="dxa"/>
            <w:vAlign w:val="bottom"/>
            <w:tcBorders>
              <w:bottom w:val="single" w:sz="8" w:color="017B52"/>
            </w:tcBorders>
          </w:tcPr>
          <w:p>
            <w:pPr>
              <w:spacing w:after="0"/>
              <w:rPr>
                <w:sz w:val="7"/>
                <w:szCs w:val="7"/>
                <w:color w:val="auto"/>
              </w:rPr>
            </w:pPr>
          </w:p>
        </w:tc>
        <w:tc>
          <w:tcPr>
            <w:tcW w:w="2200" w:type="dxa"/>
            <w:vAlign w:val="bottom"/>
            <w:tcBorders>
              <w:bottom w:val="single" w:sz="8" w:color="017B52"/>
            </w:tcBorders>
          </w:tcPr>
          <w:p>
            <w:pPr>
              <w:spacing w:after="0"/>
              <w:rPr>
                <w:sz w:val="7"/>
                <w:szCs w:val="7"/>
                <w:color w:val="auto"/>
              </w:rPr>
            </w:pPr>
          </w:p>
        </w:tc>
        <w:tc>
          <w:tcPr>
            <w:tcW w:w="1540" w:type="dxa"/>
            <w:vAlign w:val="bottom"/>
            <w:tcBorders>
              <w:bottom w:val="single" w:sz="8" w:color="017B52"/>
            </w:tcBorders>
          </w:tcPr>
          <w:p>
            <w:pPr>
              <w:spacing w:after="0"/>
              <w:rPr>
                <w:sz w:val="7"/>
                <w:szCs w:val="7"/>
                <w:color w:val="auto"/>
              </w:rPr>
            </w:pPr>
          </w:p>
        </w:tc>
        <w:tc>
          <w:tcPr>
            <w:tcW w:w="1640" w:type="dxa"/>
            <w:vAlign w:val="bottom"/>
            <w:tcBorders>
              <w:bottom w:val="single" w:sz="8" w:color="017B52"/>
            </w:tcBorders>
          </w:tcPr>
          <w:p>
            <w:pPr>
              <w:spacing w:after="0"/>
              <w:rPr>
                <w:sz w:val="7"/>
                <w:szCs w:val="7"/>
                <w:color w:val="auto"/>
              </w:rPr>
            </w:pPr>
          </w:p>
        </w:tc>
        <w:tc>
          <w:tcPr>
            <w:tcW w:w="1380" w:type="dxa"/>
            <w:vAlign w:val="bottom"/>
            <w:tcBorders>
              <w:bottom w:val="single" w:sz="8" w:color="017B52"/>
            </w:tcBorders>
          </w:tcPr>
          <w:p>
            <w:pPr>
              <w:spacing w:after="0"/>
              <w:rPr>
                <w:sz w:val="7"/>
                <w:szCs w:val="7"/>
                <w:color w:val="auto"/>
              </w:rPr>
            </w:pPr>
          </w:p>
        </w:tc>
      </w:tr>
      <w:tr>
        <w:trPr>
          <w:trHeight w:val="283"/>
        </w:trPr>
        <w:tc>
          <w:tcPr>
            <w:tcW w:w="264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2200" w:type="dxa"/>
            <w:vAlign w:val="bottom"/>
          </w:tcPr>
          <w:p>
            <w:pPr>
              <w:jc w:val="right"/>
              <w:ind w:right="708"/>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608"/>
              <w:spacing w:after="0"/>
              <w:rPr>
                <w:sz w:val="20"/>
                <w:szCs w:val="20"/>
                <w:color w:val="auto"/>
              </w:rPr>
            </w:pPr>
            <w:r>
              <w:rPr>
                <w:rFonts w:ascii="Arial" w:cs="Arial" w:eastAsia="Arial" w:hAnsi="Arial"/>
                <w:sz w:val="14"/>
                <w:szCs w:val="14"/>
                <w:color w:val="auto"/>
              </w:rPr>
              <w:t>0</w:t>
            </w:r>
          </w:p>
        </w:tc>
        <w:tc>
          <w:tcPr>
            <w:tcW w:w="1640" w:type="dxa"/>
            <w:vAlign w:val="bottom"/>
          </w:tcPr>
          <w:p>
            <w:pPr>
              <w:jc w:val="center"/>
              <w:ind w:left="88"/>
              <w:spacing w:after="0"/>
              <w:rPr>
                <w:sz w:val="20"/>
                <w:szCs w:val="20"/>
                <w:color w:val="auto"/>
              </w:rPr>
            </w:pPr>
            <w:r>
              <w:rPr>
                <w:rFonts w:ascii="Arial" w:cs="Arial" w:eastAsia="Arial" w:hAnsi="Arial"/>
                <w:sz w:val="14"/>
                <w:szCs w:val="14"/>
                <w:color w:val="auto"/>
              </w:rPr>
              <w:t>981</w:t>
            </w:r>
          </w:p>
        </w:tc>
        <w:tc>
          <w:tcPr>
            <w:tcW w:w="1380" w:type="dxa"/>
            <w:vAlign w:val="bottom"/>
          </w:tcPr>
          <w:p>
            <w:pPr>
              <w:jc w:val="center"/>
              <w:ind w:left="328"/>
              <w:spacing w:after="0"/>
              <w:rPr>
                <w:sz w:val="20"/>
                <w:szCs w:val="20"/>
                <w:color w:val="auto"/>
              </w:rPr>
            </w:pPr>
            <w:r>
              <w:rPr>
                <w:rFonts w:ascii="Arial" w:cs="Arial" w:eastAsia="Arial" w:hAnsi="Arial"/>
                <w:sz w:val="14"/>
                <w:szCs w:val="14"/>
                <w:color w:val="auto"/>
                <w:w w:val="98"/>
              </w:rPr>
              <w:t>$83,911</w:t>
            </w:r>
          </w:p>
        </w:tc>
      </w:tr>
      <w:tr>
        <w:trPr>
          <w:trHeight w:val="89"/>
        </w:trPr>
        <w:tc>
          <w:tcPr>
            <w:tcW w:w="2640" w:type="dxa"/>
            <w:vAlign w:val="bottom"/>
            <w:tcBorders>
              <w:bottom w:val="single" w:sz="8" w:color="017B52"/>
            </w:tcBorders>
          </w:tcPr>
          <w:p>
            <w:pPr>
              <w:spacing w:after="0"/>
              <w:rPr>
                <w:sz w:val="7"/>
                <w:szCs w:val="7"/>
                <w:color w:val="auto"/>
              </w:rPr>
            </w:pPr>
          </w:p>
        </w:tc>
        <w:tc>
          <w:tcPr>
            <w:tcW w:w="2200" w:type="dxa"/>
            <w:vAlign w:val="bottom"/>
            <w:tcBorders>
              <w:bottom w:val="single" w:sz="8" w:color="017B52"/>
            </w:tcBorders>
          </w:tcPr>
          <w:p>
            <w:pPr>
              <w:spacing w:after="0"/>
              <w:rPr>
                <w:sz w:val="7"/>
                <w:szCs w:val="7"/>
                <w:color w:val="auto"/>
              </w:rPr>
            </w:pPr>
          </w:p>
        </w:tc>
        <w:tc>
          <w:tcPr>
            <w:tcW w:w="1540" w:type="dxa"/>
            <w:vAlign w:val="bottom"/>
            <w:tcBorders>
              <w:bottom w:val="single" w:sz="8" w:color="017B52"/>
            </w:tcBorders>
          </w:tcPr>
          <w:p>
            <w:pPr>
              <w:spacing w:after="0"/>
              <w:rPr>
                <w:sz w:val="7"/>
                <w:szCs w:val="7"/>
                <w:color w:val="auto"/>
              </w:rPr>
            </w:pPr>
          </w:p>
        </w:tc>
        <w:tc>
          <w:tcPr>
            <w:tcW w:w="1640" w:type="dxa"/>
            <w:vAlign w:val="bottom"/>
            <w:tcBorders>
              <w:bottom w:val="single" w:sz="8" w:color="017B52"/>
            </w:tcBorders>
          </w:tcPr>
          <w:p>
            <w:pPr>
              <w:spacing w:after="0"/>
              <w:rPr>
                <w:sz w:val="7"/>
                <w:szCs w:val="7"/>
                <w:color w:val="auto"/>
              </w:rPr>
            </w:pPr>
          </w:p>
        </w:tc>
        <w:tc>
          <w:tcPr>
            <w:tcW w:w="1380" w:type="dxa"/>
            <w:vAlign w:val="bottom"/>
            <w:tcBorders>
              <w:bottom w:val="single" w:sz="8" w:color="017B52"/>
            </w:tcBorders>
          </w:tcPr>
          <w:p>
            <w:pPr>
              <w:spacing w:after="0"/>
              <w:rPr>
                <w:sz w:val="7"/>
                <w:szCs w:val="7"/>
                <w:color w:val="auto"/>
              </w:rPr>
            </w:pPr>
          </w:p>
        </w:tc>
      </w:tr>
    </w:tbl>
    <w:p>
      <w:pPr>
        <w:spacing w:after="0" w:line="185" w:lineRule="exact"/>
        <w:rPr>
          <w:sz w:val="20"/>
          <w:szCs w:val="20"/>
          <w:color w:val="auto"/>
        </w:rPr>
      </w:pPr>
    </w:p>
    <w:p>
      <w:pPr>
        <w:ind w:left="360" w:hanging="354"/>
        <w:spacing w:after="0"/>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Value based upon the closing market price of our Company’s common stock on the vesting date.</w:t>
      </w:r>
    </w:p>
    <w:p>
      <w:pPr>
        <w:spacing w:after="0" w:line="80" w:lineRule="exact"/>
        <w:rPr>
          <w:rFonts w:ascii="Arial" w:cs="Arial" w:eastAsia="Arial" w:hAnsi="Arial"/>
          <w:sz w:val="13"/>
          <w:szCs w:val="13"/>
          <w:color w:val="333333"/>
        </w:rPr>
      </w:pPr>
    </w:p>
    <w:p>
      <w:pPr>
        <w:ind w:left="360" w:right="20" w:hanging="354"/>
        <w:spacing w:after="0" w:line="243" w:lineRule="auto"/>
        <w:tabs>
          <w:tab w:leader="none" w:pos="36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Mr. Missad turned 60 in 2020. Under the terms of the Company’s Executive Stock Grant Program, each of his unvested shares held in this program fully vested on his birthday.</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Non-Qualified Deferred Compensation</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1480" w:type="dxa"/>
            <w:vAlign w:val="bottom"/>
          </w:tcPr>
          <w:p>
            <w:pPr>
              <w:jc w:val="right"/>
              <w:ind w:right="120"/>
              <w:spacing w:after="0"/>
              <w:rPr>
                <w:sz w:val="20"/>
                <w:szCs w:val="20"/>
                <w:color w:val="auto"/>
              </w:rPr>
            </w:pPr>
            <w:r>
              <w:rPr>
                <w:rFonts w:ascii="Arial" w:cs="Arial" w:eastAsia="Arial" w:hAnsi="Arial"/>
                <w:sz w:val="11"/>
                <w:szCs w:val="11"/>
                <w:b w:val="1"/>
                <w:bCs w:val="1"/>
                <w:color w:val="auto"/>
              </w:rPr>
              <w:t>EXECUTIVE</w:t>
            </w:r>
          </w:p>
        </w:tc>
        <w:tc>
          <w:tcPr>
            <w:tcW w:w="1240" w:type="dxa"/>
            <w:vAlign w:val="bottom"/>
          </w:tcPr>
          <w:p>
            <w:pPr>
              <w:jc w:val="right"/>
              <w:ind w:right="120"/>
              <w:spacing w:after="0"/>
              <w:rPr>
                <w:sz w:val="20"/>
                <w:szCs w:val="20"/>
                <w:color w:val="auto"/>
              </w:rPr>
            </w:pPr>
            <w:r>
              <w:rPr>
                <w:rFonts w:ascii="Arial" w:cs="Arial" w:eastAsia="Arial" w:hAnsi="Arial"/>
                <w:sz w:val="11"/>
                <w:szCs w:val="11"/>
                <w:b w:val="1"/>
                <w:bCs w:val="1"/>
                <w:color w:val="auto"/>
              </w:rPr>
              <w:t>COMPANY</w:t>
            </w:r>
          </w:p>
        </w:tc>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108"/>
        </w:trPr>
        <w:tc>
          <w:tcPr>
            <w:tcW w:w="1700" w:type="dxa"/>
            <w:vAlign w:val="bottom"/>
          </w:tcPr>
          <w:p>
            <w:pPr>
              <w:spacing w:after="0"/>
              <w:rPr>
                <w:sz w:val="9"/>
                <w:szCs w:val="9"/>
                <w:color w:val="auto"/>
              </w:rPr>
            </w:pPr>
          </w:p>
        </w:tc>
        <w:tc>
          <w:tcPr>
            <w:tcW w:w="1480" w:type="dxa"/>
            <w:vAlign w:val="bottom"/>
          </w:tcPr>
          <w:p>
            <w:pPr>
              <w:jc w:val="right"/>
              <w:ind w:right="120"/>
              <w:spacing w:after="0" w:line="108" w:lineRule="exact"/>
              <w:rPr>
                <w:sz w:val="20"/>
                <w:szCs w:val="20"/>
                <w:color w:val="auto"/>
              </w:rPr>
            </w:pPr>
            <w:r>
              <w:rPr>
                <w:rFonts w:ascii="Arial" w:cs="Arial" w:eastAsia="Arial" w:hAnsi="Arial"/>
                <w:sz w:val="11"/>
                <w:szCs w:val="11"/>
                <w:b w:val="1"/>
                <w:bCs w:val="1"/>
                <w:color w:val="auto"/>
              </w:rPr>
              <w:t>CONTRIBUTIONS</w:t>
            </w:r>
          </w:p>
        </w:tc>
        <w:tc>
          <w:tcPr>
            <w:tcW w:w="1240" w:type="dxa"/>
            <w:vAlign w:val="bottom"/>
          </w:tcPr>
          <w:p>
            <w:pPr>
              <w:jc w:val="right"/>
              <w:ind w:right="120"/>
              <w:spacing w:after="0" w:line="108" w:lineRule="exact"/>
              <w:rPr>
                <w:sz w:val="20"/>
                <w:szCs w:val="20"/>
                <w:color w:val="auto"/>
              </w:rPr>
            </w:pPr>
            <w:r>
              <w:rPr>
                <w:rFonts w:ascii="Arial" w:cs="Arial" w:eastAsia="Arial" w:hAnsi="Arial"/>
                <w:sz w:val="11"/>
                <w:szCs w:val="11"/>
                <w:b w:val="1"/>
                <w:bCs w:val="1"/>
                <w:color w:val="auto"/>
              </w:rPr>
              <w:t>CONTRIBUTIONS</w:t>
            </w:r>
          </w:p>
        </w:tc>
        <w:tc>
          <w:tcPr>
            <w:tcW w:w="1440" w:type="dxa"/>
            <w:vAlign w:val="bottom"/>
          </w:tcPr>
          <w:p>
            <w:pPr>
              <w:jc w:val="right"/>
              <w:ind w:right="120"/>
              <w:spacing w:after="0" w:line="108" w:lineRule="exact"/>
              <w:rPr>
                <w:sz w:val="20"/>
                <w:szCs w:val="20"/>
                <w:color w:val="auto"/>
              </w:rPr>
            </w:pPr>
            <w:r>
              <w:rPr>
                <w:rFonts w:ascii="Arial" w:cs="Arial" w:eastAsia="Arial" w:hAnsi="Arial"/>
                <w:sz w:val="11"/>
                <w:szCs w:val="11"/>
                <w:b w:val="1"/>
                <w:bCs w:val="1"/>
                <w:color w:val="auto"/>
              </w:rPr>
              <w:t>AGGREGATE</w:t>
            </w:r>
          </w:p>
        </w:tc>
        <w:tc>
          <w:tcPr>
            <w:tcW w:w="1940" w:type="dxa"/>
            <w:vAlign w:val="bottom"/>
          </w:tcPr>
          <w:p>
            <w:pPr>
              <w:jc w:val="right"/>
              <w:ind w:right="140"/>
              <w:spacing w:after="0" w:line="108" w:lineRule="exact"/>
              <w:rPr>
                <w:sz w:val="20"/>
                <w:szCs w:val="20"/>
                <w:color w:val="auto"/>
              </w:rPr>
            </w:pPr>
            <w:r>
              <w:rPr>
                <w:rFonts w:ascii="Arial" w:cs="Arial" w:eastAsia="Arial" w:hAnsi="Arial"/>
                <w:sz w:val="11"/>
                <w:szCs w:val="11"/>
                <w:b w:val="1"/>
                <w:bCs w:val="1"/>
                <w:color w:val="auto"/>
              </w:rPr>
              <w:t>AGGREGATE WITHDRAWALS/</w:t>
            </w:r>
          </w:p>
        </w:tc>
        <w:tc>
          <w:tcPr>
            <w:tcW w:w="160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AGGREGATE BALANCE AT</w:t>
            </w:r>
          </w:p>
        </w:tc>
      </w:tr>
      <w:tr>
        <w:trPr>
          <w:trHeight w:val="221"/>
        </w:trPr>
        <w:tc>
          <w:tcPr>
            <w:tcW w:w="1700" w:type="dxa"/>
            <w:vAlign w:val="bottom"/>
          </w:tcPr>
          <w:p>
            <w:pPr>
              <w:ind w:left="40"/>
              <w:spacing w:after="0"/>
              <w:rPr>
                <w:sz w:val="20"/>
                <w:szCs w:val="20"/>
                <w:color w:val="auto"/>
              </w:rPr>
            </w:pPr>
            <w:r>
              <w:rPr>
                <w:rFonts w:ascii="Arial" w:cs="Arial" w:eastAsia="Arial" w:hAnsi="Arial"/>
                <w:sz w:val="11"/>
                <w:szCs w:val="11"/>
                <w:b w:val="1"/>
                <w:bCs w:val="1"/>
                <w:color w:val="auto"/>
              </w:rPr>
              <w:t>NAMES</w:t>
            </w:r>
          </w:p>
        </w:tc>
        <w:tc>
          <w:tcPr>
            <w:tcW w:w="1480" w:type="dxa"/>
            <w:vAlign w:val="bottom"/>
          </w:tcPr>
          <w:p>
            <w:pPr>
              <w:jc w:val="right"/>
              <w:ind w:right="120"/>
              <w:spacing w:after="0"/>
              <w:rPr>
                <w:sz w:val="20"/>
                <w:szCs w:val="20"/>
                <w:color w:val="auto"/>
              </w:rPr>
            </w:pPr>
            <w:r>
              <w:rPr>
                <w:rFonts w:ascii="Arial" w:cs="Arial" w:eastAsia="Arial" w:hAnsi="Arial"/>
                <w:sz w:val="11"/>
                <w:szCs w:val="11"/>
                <w:b w:val="1"/>
                <w:bCs w:val="1"/>
                <w:color w:val="auto"/>
              </w:rPr>
              <w:t>IN 2023</w:t>
            </w:r>
            <w:r>
              <w:rPr>
                <w:rFonts w:ascii="Arial" w:cs="Arial" w:eastAsia="Arial" w:hAnsi="Arial"/>
                <w:sz w:val="16"/>
                <w:szCs w:val="16"/>
                <w:b w:val="1"/>
                <w:bCs w:val="1"/>
                <w:color w:val="auto"/>
                <w:vertAlign w:val="superscript"/>
              </w:rPr>
              <w:t>(1)</w:t>
            </w:r>
          </w:p>
        </w:tc>
        <w:tc>
          <w:tcPr>
            <w:tcW w:w="1240" w:type="dxa"/>
            <w:vAlign w:val="bottom"/>
          </w:tcPr>
          <w:p>
            <w:pPr>
              <w:jc w:val="right"/>
              <w:ind w:right="120"/>
              <w:spacing w:after="0"/>
              <w:rPr>
                <w:sz w:val="20"/>
                <w:szCs w:val="20"/>
                <w:color w:val="auto"/>
              </w:rPr>
            </w:pPr>
            <w:r>
              <w:rPr>
                <w:rFonts w:ascii="Arial" w:cs="Arial" w:eastAsia="Arial" w:hAnsi="Arial"/>
                <w:sz w:val="11"/>
                <w:szCs w:val="11"/>
                <w:b w:val="1"/>
                <w:bCs w:val="1"/>
                <w:color w:val="auto"/>
              </w:rPr>
              <w:t>IN 2023</w:t>
            </w:r>
            <w:r>
              <w:rPr>
                <w:rFonts w:ascii="Arial" w:cs="Arial" w:eastAsia="Arial" w:hAnsi="Arial"/>
                <w:sz w:val="16"/>
                <w:szCs w:val="16"/>
                <w:b w:val="1"/>
                <w:bCs w:val="1"/>
                <w:color w:val="auto"/>
                <w:vertAlign w:val="superscript"/>
              </w:rPr>
              <w:t>(2)</w:t>
            </w:r>
          </w:p>
        </w:tc>
        <w:tc>
          <w:tcPr>
            <w:tcW w:w="1440" w:type="dxa"/>
            <w:vAlign w:val="bottom"/>
          </w:tcPr>
          <w:p>
            <w:pPr>
              <w:jc w:val="right"/>
              <w:ind w:right="120"/>
              <w:spacing w:after="0"/>
              <w:rPr>
                <w:sz w:val="20"/>
                <w:szCs w:val="20"/>
                <w:color w:val="auto"/>
              </w:rPr>
            </w:pPr>
            <w:r>
              <w:rPr>
                <w:rFonts w:ascii="Arial" w:cs="Arial" w:eastAsia="Arial" w:hAnsi="Arial"/>
                <w:sz w:val="11"/>
                <w:szCs w:val="11"/>
                <w:b w:val="1"/>
                <w:bCs w:val="1"/>
                <w:color w:val="auto"/>
              </w:rPr>
              <w:t>EARNINGS IN 2023</w:t>
            </w:r>
            <w:r>
              <w:rPr>
                <w:rFonts w:ascii="Arial" w:cs="Arial" w:eastAsia="Arial" w:hAnsi="Arial"/>
                <w:sz w:val="16"/>
                <w:szCs w:val="16"/>
                <w:b w:val="1"/>
                <w:bCs w:val="1"/>
                <w:color w:val="auto"/>
                <w:vertAlign w:val="superscript"/>
              </w:rPr>
              <w:t>(3)</w:t>
            </w:r>
          </w:p>
        </w:tc>
        <w:tc>
          <w:tcPr>
            <w:tcW w:w="1940" w:type="dxa"/>
            <w:vAlign w:val="bottom"/>
          </w:tcPr>
          <w:p>
            <w:pPr>
              <w:jc w:val="right"/>
              <w:ind w:right="140"/>
              <w:spacing w:after="0"/>
              <w:rPr>
                <w:sz w:val="20"/>
                <w:szCs w:val="20"/>
                <w:color w:val="auto"/>
              </w:rPr>
            </w:pPr>
            <w:r>
              <w:rPr>
                <w:rFonts w:ascii="Arial" w:cs="Arial" w:eastAsia="Arial" w:hAnsi="Arial"/>
                <w:sz w:val="11"/>
                <w:szCs w:val="11"/>
                <w:b w:val="1"/>
                <w:bCs w:val="1"/>
                <w:color w:val="auto"/>
              </w:rPr>
              <w:t>DISTRIBUTIONS IN 2023</w:t>
            </w:r>
          </w:p>
        </w:tc>
        <w:tc>
          <w:tcPr>
            <w:tcW w:w="1600" w:type="dxa"/>
            <w:vAlign w:val="bottom"/>
          </w:tcPr>
          <w:p>
            <w:pPr>
              <w:jc w:val="right"/>
              <w:spacing w:after="0"/>
              <w:rPr>
                <w:sz w:val="20"/>
                <w:szCs w:val="20"/>
                <w:color w:val="auto"/>
              </w:rPr>
            </w:pPr>
            <w:r>
              <w:rPr>
                <w:rFonts w:ascii="Arial" w:cs="Arial" w:eastAsia="Arial" w:hAnsi="Arial"/>
                <w:sz w:val="11"/>
                <w:szCs w:val="11"/>
                <w:b w:val="1"/>
                <w:bCs w:val="1"/>
                <w:color w:val="auto"/>
              </w:rPr>
              <w:t>DECEMBER 31, 2023</w:t>
            </w:r>
          </w:p>
        </w:tc>
      </w:tr>
      <w:tr>
        <w:trPr>
          <w:trHeight w:val="35"/>
        </w:trPr>
        <w:tc>
          <w:tcPr>
            <w:tcW w:w="1700" w:type="dxa"/>
            <w:vAlign w:val="bottom"/>
            <w:tcBorders>
              <w:bottom w:val="single" w:sz="8" w:color="017B52"/>
            </w:tcBorders>
          </w:tcPr>
          <w:p>
            <w:pPr>
              <w:spacing w:after="0"/>
              <w:rPr>
                <w:sz w:val="3"/>
                <w:szCs w:val="3"/>
                <w:color w:val="auto"/>
              </w:rPr>
            </w:pPr>
          </w:p>
        </w:tc>
        <w:tc>
          <w:tcPr>
            <w:tcW w:w="1480" w:type="dxa"/>
            <w:vAlign w:val="bottom"/>
            <w:tcBorders>
              <w:bottom w:val="single" w:sz="8" w:color="017B52"/>
            </w:tcBorders>
          </w:tcPr>
          <w:p>
            <w:pPr>
              <w:spacing w:after="0"/>
              <w:rPr>
                <w:sz w:val="3"/>
                <w:szCs w:val="3"/>
                <w:color w:val="auto"/>
              </w:rPr>
            </w:pPr>
          </w:p>
        </w:tc>
        <w:tc>
          <w:tcPr>
            <w:tcW w:w="1240" w:type="dxa"/>
            <w:vAlign w:val="bottom"/>
            <w:tcBorders>
              <w:bottom w:val="single" w:sz="8" w:color="017B52"/>
            </w:tcBorders>
          </w:tcPr>
          <w:p>
            <w:pPr>
              <w:spacing w:after="0"/>
              <w:rPr>
                <w:sz w:val="3"/>
                <w:szCs w:val="3"/>
                <w:color w:val="auto"/>
              </w:rPr>
            </w:pPr>
          </w:p>
        </w:tc>
        <w:tc>
          <w:tcPr>
            <w:tcW w:w="1440" w:type="dxa"/>
            <w:vAlign w:val="bottom"/>
            <w:tcBorders>
              <w:bottom w:val="single" w:sz="8" w:color="017B52"/>
            </w:tcBorders>
          </w:tcPr>
          <w:p>
            <w:pPr>
              <w:spacing w:after="0"/>
              <w:rPr>
                <w:sz w:val="3"/>
                <w:szCs w:val="3"/>
                <w:color w:val="auto"/>
              </w:rPr>
            </w:pPr>
          </w:p>
        </w:tc>
        <w:tc>
          <w:tcPr>
            <w:tcW w:w="1940" w:type="dxa"/>
            <w:vAlign w:val="bottom"/>
            <w:tcBorders>
              <w:bottom w:val="single" w:sz="8" w:color="017B52"/>
            </w:tcBorders>
          </w:tcPr>
          <w:p>
            <w:pPr>
              <w:spacing w:after="0"/>
              <w:rPr>
                <w:sz w:val="3"/>
                <w:szCs w:val="3"/>
                <w:color w:val="auto"/>
              </w:rPr>
            </w:pPr>
          </w:p>
        </w:tc>
        <w:tc>
          <w:tcPr>
            <w:tcW w:w="1600" w:type="dxa"/>
            <w:vAlign w:val="bottom"/>
            <w:tcBorders>
              <w:bottom w:val="single" w:sz="8" w:color="017B52"/>
            </w:tcBorders>
          </w:tcPr>
          <w:p>
            <w:pPr>
              <w:spacing w:after="0"/>
              <w:rPr>
                <w:sz w:val="3"/>
                <w:szCs w:val="3"/>
                <w:color w:val="auto"/>
              </w:rPr>
            </w:pPr>
          </w:p>
        </w:tc>
      </w:tr>
      <w:tr>
        <w:trPr>
          <w:trHeight w:val="255"/>
        </w:trPr>
        <w:tc>
          <w:tcPr>
            <w:tcW w:w="170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1480" w:type="dxa"/>
            <w:vAlign w:val="bottom"/>
          </w:tcPr>
          <w:p>
            <w:pPr>
              <w:jc w:val="right"/>
              <w:ind w:right="120"/>
              <w:spacing w:after="0"/>
              <w:rPr>
                <w:sz w:val="20"/>
                <w:szCs w:val="20"/>
                <w:color w:val="auto"/>
              </w:rPr>
            </w:pPr>
            <w:r>
              <w:rPr>
                <w:rFonts w:ascii="Arial" w:cs="Arial" w:eastAsia="Arial" w:hAnsi="Arial"/>
                <w:sz w:val="13"/>
                <w:szCs w:val="13"/>
                <w:color w:val="auto"/>
              </w:rPr>
              <w:t>$115,000</w:t>
            </w:r>
          </w:p>
        </w:tc>
        <w:tc>
          <w:tcPr>
            <w:tcW w:w="1240" w:type="dxa"/>
            <w:vAlign w:val="bottom"/>
          </w:tcPr>
          <w:p>
            <w:pPr>
              <w:jc w:val="right"/>
              <w:ind w:right="120"/>
              <w:spacing w:after="0"/>
              <w:rPr>
                <w:sz w:val="20"/>
                <w:szCs w:val="20"/>
                <w:color w:val="auto"/>
              </w:rPr>
            </w:pPr>
            <w:r>
              <w:rPr>
                <w:rFonts w:ascii="Arial" w:cs="Arial" w:eastAsia="Arial" w:hAnsi="Arial"/>
                <w:sz w:val="13"/>
                <w:szCs w:val="13"/>
                <w:color w:val="auto"/>
              </w:rPr>
              <w:t>$20,294</w:t>
            </w:r>
          </w:p>
        </w:tc>
        <w:tc>
          <w:tcPr>
            <w:tcW w:w="1440" w:type="dxa"/>
            <w:vAlign w:val="bottom"/>
          </w:tcPr>
          <w:p>
            <w:pPr>
              <w:jc w:val="right"/>
              <w:ind w:right="120"/>
              <w:spacing w:after="0"/>
              <w:rPr>
                <w:sz w:val="20"/>
                <w:szCs w:val="20"/>
                <w:color w:val="auto"/>
              </w:rPr>
            </w:pPr>
            <w:r>
              <w:rPr>
                <w:rFonts w:ascii="Arial" w:cs="Arial" w:eastAsia="Arial" w:hAnsi="Arial"/>
                <w:sz w:val="13"/>
                <w:szCs w:val="13"/>
                <w:color w:val="auto"/>
              </w:rPr>
              <w:t>$4,328,270</w:t>
            </w:r>
          </w:p>
        </w:tc>
        <w:tc>
          <w:tcPr>
            <w:tcW w:w="1940" w:type="dxa"/>
            <w:vAlign w:val="bottom"/>
          </w:tcPr>
          <w:p>
            <w:pPr>
              <w:jc w:val="right"/>
              <w:ind w:right="140"/>
              <w:spacing w:after="0"/>
              <w:rPr>
                <w:sz w:val="20"/>
                <w:szCs w:val="20"/>
                <w:color w:val="auto"/>
              </w:rPr>
            </w:pPr>
            <w:r>
              <w:rPr>
                <w:rFonts w:ascii="Arial" w:cs="Arial" w:eastAsia="Arial" w:hAnsi="Arial"/>
                <w:sz w:val="13"/>
                <w:szCs w:val="13"/>
                <w:color w:val="auto"/>
              </w:rPr>
              <w:t>$0</w:t>
            </w:r>
          </w:p>
        </w:tc>
        <w:tc>
          <w:tcPr>
            <w:tcW w:w="1600" w:type="dxa"/>
            <w:vAlign w:val="bottom"/>
          </w:tcPr>
          <w:p>
            <w:pPr>
              <w:jc w:val="right"/>
              <w:spacing w:after="0"/>
              <w:rPr>
                <w:sz w:val="20"/>
                <w:szCs w:val="20"/>
                <w:color w:val="auto"/>
              </w:rPr>
            </w:pPr>
            <w:r>
              <w:rPr>
                <w:rFonts w:ascii="Arial" w:cs="Arial" w:eastAsia="Arial" w:hAnsi="Arial"/>
                <w:sz w:val="13"/>
                <w:szCs w:val="13"/>
                <w:color w:val="auto"/>
              </w:rPr>
              <w:t>$11,816,650</w:t>
            </w:r>
          </w:p>
        </w:tc>
      </w:tr>
      <w:tr>
        <w:trPr>
          <w:trHeight w:val="89"/>
        </w:trPr>
        <w:tc>
          <w:tcPr>
            <w:tcW w:w="170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c>
          <w:tcPr>
            <w:tcW w:w="1940" w:type="dxa"/>
            <w:vAlign w:val="bottom"/>
            <w:tcBorders>
              <w:bottom w:val="single" w:sz="8" w:color="017B52"/>
            </w:tcBorders>
          </w:tcPr>
          <w:p>
            <w:pPr>
              <w:spacing w:after="0"/>
              <w:rPr>
                <w:sz w:val="7"/>
                <w:szCs w:val="7"/>
                <w:color w:val="auto"/>
              </w:rPr>
            </w:pPr>
          </w:p>
        </w:tc>
        <w:tc>
          <w:tcPr>
            <w:tcW w:w="1600" w:type="dxa"/>
            <w:vAlign w:val="bottom"/>
            <w:tcBorders>
              <w:bottom w:val="single" w:sz="8" w:color="017B52"/>
            </w:tcBorders>
          </w:tcPr>
          <w:p>
            <w:pPr>
              <w:spacing w:after="0"/>
              <w:rPr>
                <w:sz w:val="7"/>
                <w:szCs w:val="7"/>
                <w:color w:val="auto"/>
              </w:rPr>
            </w:pPr>
          </w:p>
        </w:tc>
      </w:tr>
      <w:tr>
        <w:trPr>
          <w:trHeight w:val="255"/>
        </w:trPr>
        <w:tc>
          <w:tcPr>
            <w:tcW w:w="170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148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20"/>
              <w:spacing w:after="0"/>
              <w:rPr>
                <w:sz w:val="20"/>
                <w:szCs w:val="20"/>
                <w:color w:val="auto"/>
              </w:rPr>
            </w:pPr>
            <w:r>
              <w:rPr>
                <w:rFonts w:ascii="Arial" w:cs="Arial" w:eastAsia="Arial" w:hAnsi="Arial"/>
                <w:sz w:val="13"/>
                <w:szCs w:val="13"/>
                <w:color w:val="auto"/>
              </w:rPr>
              <w:t>$9,706</w:t>
            </w:r>
          </w:p>
        </w:tc>
        <w:tc>
          <w:tcPr>
            <w:tcW w:w="1440" w:type="dxa"/>
            <w:vAlign w:val="bottom"/>
          </w:tcPr>
          <w:p>
            <w:pPr>
              <w:jc w:val="right"/>
              <w:ind w:right="120"/>
              <w:spacing w:after="0"/>
              <w:rPr>
                <w:sz w:val="20"/>
                <w:szCs w:val="20"/>
                <w:color w:val="auto"/>
              </w:rPr>
            </w:pPr>
            <w:r>
              <w:rPr>
                <w:rFonts w:ascii="Arial" w:cs="Arial" w:eastAsia="Arial" w:hAnsi="Arial"/>
                <w:sz w:val="13"/>
                <w:szCs w:val="13"/>
                <w:color w:val="auto"/>
              </w:rPr>
              <w:t>$1,618,222</w:t>
            </w:r>
          </w:p>
        </w:tc>
        <w:tc>
          <w:tcPr>
            <w:tcW w:w="1940" w:type="dxa"/>
            <w:vAlign w:val="bottom"/>
          </w:tcPr>
          <w:p>
            <w:pPr>
              <w:jc w:val="right"/>
              <w:ind w:right="140"/>
              <w:spacing w:after="0"/>
              <w:rPr>
                <w:sz w:val="20"/>
                <w:szCs w:val="20"/>
                <w:color w:val="auto"/>
              </w:rPr>
            </w:pPr>
            <w:r>
              <w:rPr>
                <w:rFonts w:ascii="Arial" w:cs="Arial" w:eastAsia="Arial" w:hAnsi="Arial"/>
                <w:sz w:val="13"/>
                <w:szCs w:val="13"/>
                <w:color w:val="auto"/>
              </w:rPr>
              <w:t>($40,000)</w:t>
            </w:r>
          </w:p>
        </w:tc>
        <w:tc>
          <w:tcPr>
            <w:tcW w:w="1600" w:type="dxa"/>
            <w:vAlign w:val="bottom"/>
          </w:tcPr>
          <w:p>
            <w:pPr>
              <w:jc w:val="right"/>
              <w:spacing w:after="0"/>
              <w:rPr>
                <w:sz w:val="20"/>
                <w:szCs w:val="20"/>
                <w:color w:val="auto"/>
              </w:rPr>
            </w:pPr>
            <w:r>
              <w:rPr>
                <w:rFonts w:ascii="Arial" w:cs="Arial" w:eastAsia="Arial" w:hAnsi="Arial"/>
                <w:sz w:val="13"/>
                <w:szCs w:val="13"/>
                <w:color w:val="auto"/>
              </w:rPr>
              <w:t>$4,313,230</w:t>
            </w:r>
          </w:p>
        </w:tc>
      </w:tr>
      <w:tr>
        <w:trPr>
          <w:trHeight w:val="89"/>
        </w:trPr>
        <w:tc>
          <w:tcPr>
            <w:tcW w:w="170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c>
          <w:tcPr>
            <w:tcW w:w="1940" w:type="dxa"/>
            <w:vAlign w:val="bottom"/>
            <w:tcBorders>
              <w:bottom w:val="single" w:sz="8" w:color="017B52"/>
            </w:tcBorders>
          </w:tcPr>
          <w:p>
            <w:pPr>
              <w:spacing w:after="0"/>
              <w:rPr>
                <w:sz w:val="7"/>
                <w:szCs w:val="7"/>
                <w:color w:val="auto"/>
              </w:rPr>
            </w:pPr>
          </w:p>
        </w:tc>
        <w:tc>
          <w:tcPr>
            <w:tcW w:w="1600" w:type="dxa"/>
            <w:vAlign w:val="bottom"/>
            <w:tcBorders>
              <w:bottom w:val="single" w:sz="8" w:color="017B52"/>
            </w:tcBorders>
          </w:tcPr>
          <w:p>
            <w:pPr>
              <w:spacing w:after="0"/>
              <w:rPr>
                <w:sz w:val="7"/>
                <w:szCs w:val="7"/>
                <w:color w:val="auto"/>
              </w:rPr>
            </w:pPr>
          </w:p>
        </w:tc>
      </w:tr>
      <w:tr>
        <w:trPr>
          <w:trHeight w:val="255"/>
        </w:trPr>
        <w:tc>
          <w:tcPr>
            <w:tcW w:w="170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1480" w:type="dxa"/>
            <w:vAlign w:val="bottom"/>
          </w:tcPr>
          <w:p>
            <w:pPr>
              <w:jc w:val="right"/>
              <w:ind w:right="120"/>
              <w:spacing w:after="0"/>
              <w:rPr>
                <w:sz w:val="20"/>
                <w:szCs w:val="20"/>
                <w:color w:val="auto"/>
              </w:rPr>
            </w:pPr>
            <w:r>
              <w:rPr>
                <w:rFonts w:ascii="Arial" w:cs="Arial" w:eastAsia="Arial" w:hAnsi="Arial"/>
                <w:sz w:val="13"/>
                <w:szCs w:val="13"/>
                <w:color w:val="auto"/>
              </w:rPr>
              <w:t>$70,000</w:t>
            </w:r>
          </w:p>
        </w:tc>
        <w:tc>
          <w:tcPr>
            <w:tcW w:w="1240" w:type="dxa"/>
            <w:vAlign w:val="bottom"/>
          </w:tcPr>
          <w:p>
            <w:pPr>
              <w:jc w:val="right"/>
              <w:ind w:right="120"/>
              <w:spacing w:after="0"/>
              <w:rPr>
                <w:sz w:val="20"/>
                <w:szCs w:val="20"/>
                <w:color w:val="auto"/>
              </w:rPr>
            </w:pPr>
            <w:r>
              <w:rPr>
                <w:rFonts w:ascii="Arial" w:cs="Arial" w:eastAsia="Arial" w:hAnsi="Arial"/>
                <w:sz w:val="13"/>
                <w:szCs w:val="13"/>
                <w:color w:val="auto"/>
              </w:rPr>
              <w:t>$12,353</w:t>
            </w:r>
          </w:p>
        </w:tc>
        <w:tc>
          <w:tcPr>
            <w:tcW w:w="1440" w:type="dxa"/>
            <w:vAlign w:val="bottom"/>
          </w:tcPr>
          <w:p>
            <w:pPr>
              <w:jc w:val="right"/>
              <w:ind w:right="120"/>
              <w:spacing w:after="0"/>
              <w:rPr>
                <w:sz w:val="20"/>
                <w:szCs w:val="20"/>
                <w:color w:val="auto"/>
              </w:rPr>
            </w:pPr>
            <w:r>
              <w:rPr>
                <w:rFonts w:ascii="Arial" w:cs="Arial" w:eastAsia="Arial" w:hAnsi="Arial"/>
                <w:sz w:val="13"/>
                <w:szCs w:val="13"/>
                <w:color w:val="auto"/>
              </w:rPr>
              <w:t>$498,035</w:t>
            </w:r>
          </w:p>
        </w:tc>
        <w:tc>
          <w:tcPr>
            <w:tcW w:w="1940" w:type="dxa"/>
            <w:vAlign w:val="bottom"/>
          </w:tcPr>
          <w:p>
            <w:pPr>
              <w:jc w:val="right"/>
              <w:ind w:right="140"/>
              <w:spacing w:after="0"/>
              <w:rPr>
                <w:sz w:val="20"/>
                <w:szCs w:val="20"/>
                <w:color w:val="auto"/>
              </w:rPr>
            </w:pPr>
            <w:r>
              <w:rPr>
                <w:rFonts w:ascii="Arial" w:cs="Arial" w:eastAsia="Arial" w:hAnsi="Arial"/>
                <w:sz w:val="13"/>
                <w:szCs w:val="13"/>
                <w:color w:val="auto"/>
              </w:rPr>
              <w:t>($55,000)</w:t>
            </w:r>
          </w:p>
        </w:tc>
        <w:tc>
          <w:tcPr>
            <w:tcW w:w="1600" w:type="dxa"/>
            <w:vAlign w:val="bottom"/>
          </w:tcPr>
          <w:p>
            <w:pPr>
              <w:jc w:val="right"/>
              <w:spacing w:after="0"/>
              <w:rPr>
                <w:sz w:val="20"/>
                <w:szCs w:val="20"/>
                <w:color w:val="auto"/>
              </w:rPr>
            </w:pPr>
            <w:r>
              <w:rPr>
                <w:rFonts w:ascii="Arial" w:cs="Arial" w:eastAsia="Arial" w:hAnsi="Arial"/>
                <w:sz w:val="13"/>
                <w:szCs w:val="13"/>
                <w:color w:val="auto"/>
              </w:rPr>
              <w:t>$1,333,341</w:t>
            </w:r>
          </w:p>
        </w:tc>
      </w:tr>
      <w:tr>
        <w:trPr>
          <w:trHeight w:val="89"/>
        </w:trPr>
        <w:tc>
          <w:tcPr>
            <w:tcW w:w="170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c>
          <w:tcPr>
            <w:tcW w:w="1940" w:type="dxa"/>
            <w:vAlign w:val="bottom"/>
            <w:tcBorders>
              <w:bottom w:val="single" w:sz="8" w:color="017B52"/>
            </w:tcBorders>
          </w:tcPr>
          <w:p>
            <w:pPr>
              <w:spacing w:after="0"/>
              <w:rPr>
                <w:sz w:val="7"/>
                <w:szCs w:val="7"/>
                <w:color w:val="auto"/>
              </w:rPr>
            </w:pPr>
          </w:p>
        </w:tc>
        <w:tc>
          <w:tcPr>
            <w:tcW w:w="1600" w:type="dxa"/>
            <w:vAlign w:val="bottom"/>
            <w:tcBorders>
              <w:bottom w:val="single" w:sz="8" w:color="017B52"/>
            </w:tcBorders>
          </w:tcPr>
          <w:p>
            <w:pPr>
              <w:spacing w:after="0"/>
              <w:rPr>
                <w:sz w:val="7"/>
                <w:szCs w:val="7"/>
                <w:color w:val="auto"/>
              </w:rPr>
            </w:pPr>
          </w:p>
        </w:tc>
      </w:tr>
      <w:tr>
        <w:trPr>
          <w:trHeight w:val="255"/>
        </w:trPr>
        <w:tc>
          <w:tcPr>
            <w:tcW w:w="170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148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20"/>
              <w:spacing w:after="0"/>
              <w:rPr>
                <w:sz w:val="20"/>
                <w:szCs w:val="20"/>
                <w:color w:val="auto"/>
              </w:rPr>
            </w:pPr>
            <w:r>
              <w:rPr>
                <w:rFonts w:ascii="Arial" w:cs="Arial" w:eastAsia="Arial" w:hAnsi="Arial"/>
                <w:sz w:val="13"/>
                <w:szCs w:val="13"/>
                <w:color w:val="auto"/>
              </w:rPr>
              <w:t>$9,706</w:t>
            </w:r>
          </w:p>
        </w:tc>
        <w:tc>
          <w:tcPr>
            <w:tcW w:w="1440" w:type="dxa"/>
            <w:vAlign w:val="bottom"/>
          </w:tcPr>
          <w:p>
            <w:pPr>
              <w:jc w:val="right"/>
              <w:ind w:right="120"/>
              <w:spacing w:after="0"/>
              <w:rPr>
                <w:sz w:val="20"/>
                <w:szCs w:val="20"/>
                <w:color w:val="auto"/>
              </w:rPr>
            </w:pPr>
            <w:r>
              <w:rPr>
                <w:rFonts w:ascii="Arial" w:cs="Arial" w:eastAsia="Arial" w:hAnsi="Arial"/>
                <w:sz w:val="13"/>
                <w:szCs w:val="13"/>
                <w:color w:val="auto"/>
              </w:rPr>
              <w:t>$720,025</w:t>
            </w:r>
          </w:p>
        </w:tc>
        <w:tc>
          <w:tcPr>
            <w:tcW w:w="1940" w:type="dxa"/>
            <w:vAlign w:val="bottom"/>
          </w:tcPr>
          <w:p>
            <w:pPr>
              <w:jc w:val="right"/>
              <w:ind w:right="140"/>
              <w:spacing w:after="0"/>
              <w:rPr>
                <w:sz w:val="20"/>
                <w:szCs w:val="20"/>
                <w:color w:val="auto"/>
              </w:rPr>
            </w:pPr>
            <w:r>
              <w:rPr>
                <w:rFonts w:ascii="Arial" w:cs="Arial" w:eastAsia="Arial" w:hAnsi="Arial"/>
                <w:sz w:val="13"/>
                <w:szCs w:val="13"/>
                <w:color w:val="auto"/>
              </w:rPr>
              <w:t>$0</w:t>
            </w:r>
          </w:p>
        </w:tc>
        <w:tc>
          <w:tcPr>
            <w:tcW w:w="1600" w:type="dxa"/>
            <w:vAlign w:val="bottom"/>
          </w:tcPr>
          <w:p>
            <w:pPr>
              <w:jc w:val="right"/>
              <w:spacing w:after="0"/>
              <w:rPr>
                <w:sz w:val="20"/>
                <w:szCs w:val="20"/>
                <w:color w:val="auto"/>
              </w:rPr>
            </w:pPr>
            <w:r>
              <w:rPr>
                <w:rFonts w:ascii="Arial" w:cs="Arial" w:eastAsia="Arial" w:hAnsi="Arial"/>
                <w:sz w:val="13"/>
                <w:szCs w:val="13"/>
                <w:color w:val="auto"/>
              </w:rPr>
              <w:t>$1,931,987</w:t>
            </w:r>
          </w:p>
        </w:tc>
      </w:tr>
      <w:tr>
        <w:trPr>
          <w:trHeight w:val="89"/>
        </w:trPr>
        <w:tc>
          <w:tcPr>
            <w:tcW w:w="170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c>
          <w:tcPr>
            <w:tcW w:w="1940" w:type="dxa"/>
            <w:vAlign w:val="bottom"/>
            <w:tcBorders>
              <w:bottom w:val="single" w:sz="8" w:color="017B52"/>
            </w:tcBorders>
          </w:tcPr>
          <w:p>
            <w:pPr>
              <w:spacing w:after="0"/>
              <w:rPr>
                <w:sz w:val="7"/>
                <w:szCs w:val="7"/>
                <w:color w:val="auto"/>
              </w:rPr>
            </w:pPr>
          </w:p>
        </w:tc>
        <w:tc>
          <w:tcPr>
            <w:tcW w:w="1600" w:type="dxa"/>
            <w:vAlign w:val="bottom"/>
            <w:tcBorders>
              <w:bottom w:val="single" w:sz="8" w:color="017B52"/>
            </w:tcBorders>
          </w:tcPr>
          <w:p>
            <w:pPr>
              <w:spacing w:after="0"/>
              <w:rPr>
                <w:sz w:val="7"/>
                <w:szCs w:val="7"/>
                <w:color w:val="auto"/>
              </w:rPr>
            </w:pPr>
          </w:p>
        </w:tc>
      </w:tr>
      <w:tr>
        <w:trPr>
          <w:trHeight w:val="255"/>
        </w:trPr>
        <w:tc>
          <w:tcPr>
            <w:tcW w:w="170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1480" w:type="dxa"/>
            <w:vAlign w:val="bottom"/>
          </w:tcPr>
          <w:p>
            <w:pPr>
              <w:jc w:val="right"/>
              <w:ind w:right="120"/>
              <w:spacing w:after="0"/>
              <w:rPr>
                <w:sz w:val="20"/>
                <w:szCs w:val="20"/>
                <w:color w:val="auto"/>
              </w:rPr>
            </w:pPr>
            <w:r>
              <w:rPr>
                <w:rFonts w:ascii="Arial" w:cs="Arial" w:eastAsia="Arial" w:hAnsi="Arial"/>
                <w:sz w:val="13"/>
                <w:szCs w:val="13"/>
                <w:color w:val="auto"/>
              </w:rPr>
              <w:t>$55,000</w:t>
            </w:r>
          </w:p>
        </w:tc>
        <w:tc>
          <w:tcPr>
            <w:tcW w:w="1240" w:type="dxa"/>
            <w:vAlign w:val="bottom"/>
          </w:tcPr>
          <w:p>
            <w:pPr>
              <w:jc w:val="right"/>
              <w:ind w:right="120"/>
              <w:spacing w:after="0"/>
              <w:rPr>
                <w:sz w:val="20"/>
                <w:szCs w:val="20"/>
                <w:color w:val="auto"/>
              </w:rPr>
            </w:pPr>
            <w:r>
              <w:rPr>
                <w:rFonts w:ascii="Arial" w:cs="Arial" w:eastAsia="Arial" w:hAnsi="Arial"/>
                <w:sz w:val="13"/>
                <w:szCs w:val="13"/>
                <w:color w:val="auto"/>
              </w:rPr>
              <w:t>$9,706</w:t>
            </w:r>
          </w:p>
        </w:tc>
        <w:tc>
          <w:tcPr>
            <w:tcW w:w="1440" w:type="dxa"/>
            <w:vAlign w:val="bottom"/>
          </w:tcPr>
          <w:p>
            <w:pPr>
              <w:jc w:val="right"/>
              <w:ind w:right="120"/>
              <w:spacing w:after="0"/>
              <w:rPr>
                <w:sz w:val="20"/>
                <w:szCs w:val="20"/>
                <w:color w:val="auto"/>
              </w:rPr>
            </w:pPr>
            <w:r>
              <w:rPr>
                <w:rFonts w:ascii="Arial" w:cs="Arial" w:eastAsia="Arial" w:hAnsi="Arial"/>
                <w:sz w:val="13"/>
                <w:szCs w:val="13"/>
                <w:color w:val="auto"/>
              </w:rPr>
              <w:t>$450,779</w:t>
            </w:r>
          </w:p>
        </w:tc>
        <w:tc>
          <w:tcPr>
            <w:tcW w:w="1940" w:type="dxa"/>
            <w:vAlign w:val="bottom"/>
          </w:tcPr>
          <w:p>
            <w:pPr>
              <w:jc w:val="right"/>
              <w:ind w:right="140"/>
              <w:spacing w:after="0"/>
              <w:rPr>
                <w:sz w:val="20"/>
                <w:szCs w:val="20"/>
                <w:color w:val="auto"/>
              </w:rPr>
            </w:pPr>
            <w:r>
              <w:rPr>
                <w:rFonts w:ascii="Arial" w:cs="Arial" w:eastAsia="Arial" w:hAnsi="Arial"/>
                <w:sz w:val="13"/>
                <w:szCs w:val="13"/>
                <w:color w:val="auto"/>
              </w:rPr>
              <w:t>($55,000)</w:t>
            </w:r>
          </w:p>
        </w:tc>
        <w:tc>
          <w:tcPr>
            <w:tcW w:w="1600" w:type="dxa"/>
            <w:vAlign w:val="bottom"/>
          </w:tcPr>
          <w:p>
            <w:pPr>
              <w:jc w:val="right"/>
              <w:spacing w:after="0"/>
              <w:rPr>
                <w:sz w:val="20"/>
                <w:szCs w:val="20"/>
                <w:color w:val="auto"/>
              </w:rPr>
            </w:pPr>
            <w:r>
              <w:rPr>
                <w:rFonts w:ascii="Arial" w:cs="Arial" w:eastAsia="Arial" w:hAnsi="Arial"/>
                <w:sz w:val="13"/>
                <w:szCs w:val="13"/>
                <w:color w:val="auto"/>
              </w:rPr>
              <w:t>$1,200,002</w:t>
            </w:r>
          </w:p>
        </w:tc>
      </w:tr>
      <w:tr>
        <w:trPr>
          <w:trHeight w:val="89"/>
        </w:trPr>
        <w:tc>
          <w:tcPr>
            <w:tcW w:w="1700" w:type="dxa"/>
            <w:vAlign w:val="bottom"/>
            <w:tcBorders>
              <w:bottom w:val="single" w:sz="8" w:color="017B52"/>
            </w:tcBorders>
          </w:tcPr>
          <w:p>
            <w:pPr>
              <w:spacing w:after="0"/>
              <w:rPr>
                <w:sz w:val="7"/>
                <w:szCs w:val="7"/>
                <w:color w:val="auto"/>
              </w:rPr>
            </w:pPr>
          </w:p>
        </w:tc>
        <w:tc>
          <w:tcPr>
            <w:tcW w:w="148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1440" w:type="dxa"/>
            <w:vAlign w:val="bottom"/>
            <w:tcBorders>
              <w:bottom w:val="single" w:sz="8" w:color="017B52"/>
            </w:tcBorders>
          </w:tcPr>
          <w:p>
            <w:pPr>
              <w:spacing w:after="0"/>
              <w:rPr>
                <w:sz w:val="7"/>
                <w:szCs w:val="7"/>
                <w:color w:val="auto"/>
              </w:rPr>
            </w:pPr>
          </w:p>
        </w:tc>
        <w:tc>
          <w:tcPr>
            <w:tcW w:w="1940" w:type="dxa"/>
            <w:vAlign w:val="bottom"/>
            <w:tcBorders>
              <w:bottom w:val="single" w:sz="8" w:color="017B52"/>
            </w:tcBorders>
          </w:tcPr>
          <w:p>
            <w:pPr>
              <w:spacing w:after="0"/>
              <w:rPr>
                <w:sz w:val="7"/>
                <w:szCs w:val="7"/>
                <w:color w:val="auto"/>
              </w:rPr>
            </w:pPr>
          </w:p>
        </w:tc>
        <w:tc>
          <w:tcPr>
            <w:tcW w:w="1600" w:type="dxa"/>
            <w:vAlign w:val="bottom"/>
            <w:tcBorders>
              <w:bottom w:val="single" w:sz="8" w:color="017B52"/>
            </w:tcBorders>
          </w:tcPr>
          <w:p>
            <w:pPr>
              <w:spacing w:after="0"/>
              <w:rPr>
                <w:sz w:val="7"/>
                <w:szCs w:val="7"/>
                <w:color w:val="auto"/>
              </w:rPr>
            </w:pPr>
          </w:p>
        </w:tc>
      </w:tr>
    </w:tbl>
    <w:p>
      <w:pPr>
        <w:spacing w:after="0" w:line="171" w:lineRule="exact"/>
        <w:rPr>
          <w:sz w:val="20"/>
          <w:szCs w:val="20"/>
          <w:color w:val="auto"/>
        </w:rPr>
      </w:pPr>
    </w:p>
    <w:p>
      <w:pPr>
        <w:ind w:left="360" w:right="20" w:hanging="354"/>
        <w:spacing w:after="0" w:line="226"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Each of the amounts reported in this column are also reported as non-equity incentive plan compensation or salary in the Summary Compensation Table. The amounts shown include deferrals under our DCP from the annual bonus earned for 2023 and monthly salary for 2023 for Mr. Missad of $100,000 and $15,000 respectively, from the annual bonus earned for 2023 and monthly salary for 2023 for Messrs. Cole and Worthington of $40,000 and $15,000, respectively; from the annual bonus earned for 2023 and monthly salary for 2023 for Mr. Benton of $55,000 and $15,000, respectively, and from the annual bonus earned for 2023 for Mr. Schwartz of $55,000.</w:t>
      </w:r>
    </w:p>
    <w:p>
      <w:pPr>
        <w:spacing w:after="0" w:line="65" w:lineRule="exact"/>
        <w:rPr>
          <w:rFonts w:ascii="Arial" w:cs="Arial" w:eastAsia="Arial" w:hAnsi="Arial"/>
          <w:sz w:val="13"/>
          <w:szCs w:val="13"/>
          <w:color w:val="333333"/>
        </w:rPr>
      </w:pPr>
    </w:p>
    <w:p>
      <w:pPr>
        <w:ind w:left="360" w:right="120" w:hanging="354"/>
        <w:spacing w:after="0" w:line="243"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The amounts reflect the value of match shares of our common stock contributed by the Company under our Executive Stock Grant Program, as described under Compensation Discussion and Analysis above.</w:t>
      </w:r>
    </w:p>
    <w:p>
      <w:pPr>
        <w:spacing w:after="0" w:line="61" w:lineRule="exact"/>
        <w:rPr>
          <w:rFonts w:ascii="Arial" w:cs="Arial" w:eastAsia="Arial" w:hAnsi="Arial"/>
          <w:sz w:val="13"/>
          <w:szCs w:val="13"/>
          <w:color w:val="333333"/>
        </w:rPr>
      </w:pPr>
    </w:p>
    <w:p>
      <w:pPr>
        <w:ind w:left="360" w:right="460" w:hanging="354"/>
        <w:spacing w:after="0" w:line="243" w:lineRule="auto"/>
        <w:tabs>
          <w:tab w:leader="none" w:pos="360" w:val="left"/>
        </w:tabs>
        <w:numPr>
          <w:ilvl w:val="0"/>
          <w:numId w:val="36"/>
        </w:numPr>
        <w:rPr>
          <w:rFonts w:ascii="Arial" w:cs="Arial" w:eastAsia="Arial" w:hAnsi="Arial"/>
          <w:sz w:val="13"/>
          <w:szCs w:val="13"/>
          <w:color w:val="333333"/>
        </w:rPr>
      </w:pPr>
      <w:r>
        <w:rPr>
          <w:rFonts w:ascii="Arial" w:cs="Arial" w:eastAsia="Arial" w:hAnsi="Arial"/>
          <w:sz w:val="13"/>
          <w:szCs w:val="13"/>
          <w:color w:val="333333"/>
        </w:rPr>
        <w:t>Amounts shown are credited to the Named Executive’s deferred compensation account(s). The amounts reflect the earnings on various investments in the account(s), including investments in our common stock.</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Deferred Compensation Plan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39</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Other 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Severance Agreements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our Executive Retirement Plan (which currently excludes our Chief Executive Officer), officers with twenty or more years of service with the Company and at least ten years of service as an officer are entitled to certain retirement benefits.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UFP Industries      40</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Potential Payments upon Termination, Death, Disability, Retirement or Change in Control</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 quantifies the incremental amounts that would have been vested and become payable on December 30, 2023 to each Named Executive in the event of death, permanent disability, retirement or change in control. In the event of a change in control, payments to our CEO and other officers are conditioned upon both the change in control and his or her actual or constructive termination of employment in connection with the change in control (commonly referred to as a double trigger change in control benefit).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tcBorders>
              <w:bottom w:val="single" w:sz="8" w:color="017B52"/>
            </w:tcBorders>
          </w:tcPr>
          <w:p>
            <w:pPr>
              <w:spacing w:after="0"/>
              <w:rPr>
                <w:sz w:val="19"/>
                <w:szCs w:val="19"/>
                <w:color w:val="auto"/>
              </w:rPr>
            </w:pPr>
          </w:p>
        </w:tc>
        <w:tc>
          <w:tcPr>
            <w:tcW w:w="1680" w:type="dxa"/>
            <w:vAlign w:val="bottom"/>
            <w:tcBorders>
              <w:bottom w:val="single" w:sz="8" w:color="017B52"/>
            </w:tcBorders>
          </w:tcPr>
          <w:p>
            <w:pPr>
              <w:jc w:val="right"/>
              <w:ind w:right="549"/>
              <w:spacing w:after="0"/>
              <w:rPr>
                <w:sz w:val="20"/>
                <w:szCs w:val="20"/>
                <w:color w:val="auto"/>
              </w:rPr>
            </w:pPr>
            <w:r>
              <w:rPr>
                <w:rFonts w:ascii="Arial" w:cs="Arial" w:eastAsia="Arial" w:hAnsi="Arial"/>
                <w:sz w:val="11"/>
                <w:szCs w:val="11"/>
                <w:b w:val="1"/>
                <w:bCs w:val="1"/>
                <w:color w:val="auto"/>
              </w:rPr>
              <w:t>BENEFIT</w:t>
            </w:r>
          </w:p>
        </w:tc>
        <w:tc>
          <w:tcPr>
            <w:tcW w:w="1260" w:type="dxa"/>
            <w:vAlign w:val="bottom"/>
            <w:tcBorders>
              <w:bottom w:val="single" w:sz="8" w:color="017B52"/>
            </w:tcBorders>
          </w:tcPr>
          <w:p>
            <w:pPr>
              <w:jc w:val="right"/>
              <w:ind w:right="389"/>
              <w:spacing w:after="0"/>
              <w:rPr>
                <w:sz w:val="20"/>
                <w:szCs w:val="20"/>
                <w:color w:val="auto"/>
              </w:rPr>
            </w:pPr>
            <w:r>
              <w:rPr>
                <w:rFonts w:ascii="Arial" w:cs="Arial" w:eastAsia="Arial" w:hAnsi="Arial"/>
                <w:sz w:val="11"/>
                <w:szCs w:val="11"/>
                <w:b w:val="1"/>
                <w:bCs w:val="1"/>
                <w:color w:val="auto"/>
              </w:rPr>
              <w:t>DEATH</w:t>
            </w:r>
          </w:p>
        </w:tc>
        <w:tc>
          <w:tcPr>
            <w:tcW w:w="1240" w:type="dxa"/>
            <w:vAlign w:val="bottom"/>
            <w:tcBorders>
              <w:bottom w:val="single" w:sz="8" w:color="017B52"/>
            </w:tcBorders>
          </w:tcPr>
          <w:p>
            <w:pPr>
              <w:jc w:val="right"/>
              <w:ind w:right="269"/>
              <w:spacing w:after="0"/>
              <w:rPr>
                <w:sz w:val="20"/>
                <w:szCs w:val="20"/>
                <w:color w:val="auto"/>
              </w:rPr>
            </w:pPr>
            <w:r>
              <w:rPr>
                <w:rFonts w:ascii="Arial" w:cs="Arial" w:eastAsia="Arial" w:hAnsi="Arial"/>
                <w:sz w:val="11"/>
                <w:szCs w:val="11"/>
                <w:b w:val="1"/>
                <w:bCs w:val="1"/>
                <w:color w:val="auto"/>
              </w:rPr>
              <w:t>DISABILITY</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1"/>
                <w:szCs w:val="11"/>
                <w:b w:val="1"/>
                <w:bCs w:val="1"/>
                <w:color w:val="auto"/>
              </w:rPr>
              <w:t>RETIREMENT</w:t>
            </w:r>
            <w:r>
              <w:rPr>
                <w:rFonts w:ascii="Arial" w:cs="Arial" w:eastAsia="Arial" w:hAnsi="Arial"/>
                <w:sz w:val="16"/>
                <w:szCs w:val="16"/>
                <w:b w:val="1"/>
                <w:bCs w:val="1"/>
                <w:color w:val="auto"/>
                <w:vertAlign w:val="superscript"/>
              </w:rPr>
              <w:t>(1)</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1"/>
                <w:szCs w:val="11"/>
                <w:b w:val="1"/>
                <w:bCs w:val="1"/>
                <w:color w:val="auto"/>
              </w:rPr>
              <w:t>CHANGE IN CONTROL</w:t>
            </w:r>
            <w:r>
              <w:rPr>
                <w:rFonts w:ascii="Arial" w:cs="Arial" w:eastAsia="Arial" w:hAnsi="Arial"/>
                <w:sz w:val="16"/>
                <w:szCs w:val="16"/>
                <w:b w:val="1"/>
                <w:bCs w:val="1"/>
                <w:color w:val="auto"/>
                <w:vertAlign w:val="superscript"/>
              </w:rPr>
              <w:t>(2)</w:t>
            </w:r>
          </w:p>
        </w:tc>
      </w:tr>
      <w:tr>
        <w:trPr>
          <w:trHeight w:val="349"/>
        </w:trPr>
        <w:tc>
          <w:tcPr>
            <w:tcW w:w="2420" w:type="dxa"/>
            <w:vAlign w:val="bottom"/>
          </w:tcPr>
          <w:p>
            <w:pPr>
              <w:ind w:left="40"/>
              <w:spacing w:after="0"/>
              <w:rPr>
                <w:sz w:val="20"/>
                <w:szCs w:val="20"/>
                <w:color w:val="auto"/>
              </w:rPr>
            </w:pPr>
            <w:r>
              <w:rPr>
                <w:rFonts w:ascii="Arial" w:cs="Arial" w:eastAsia="Arial" w:hAnsi="Arial"/>
                <w:sz w:val="13"/>
                <w:szCs w:val="13"/>
                <w:b w:val="1"/>
                <w:bCs w:val="1"/>
                <w:color w:val="017B52"/>
              </w:rPr>
              <w:t>Matthew J. Missad</w:t>
            </w: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$5,000,000</w:t>
            </w:r>
          </w:p>
        </w:tc>
        <w:tc>
          <w:tcPr>
            <w:tcW w:w="12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$5,000,000</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$5,000,000</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$2,472,762</w:t>
            </w:r>
          </w:p>
        </w:tc>
      </w:tr>
      <w:tr>
        <w:trPr>
          <w:trHeight w:val="344"/>
        </w:trPr>
        <w:tc>
          <w:tcPr>
            <w:tcW w:w="2420" w:type="dxa"/>
            <w:vAlign w:val="bottom"/>
          </w:tcPr>
          <w:p>
            <w:pPr>
              <w:spacing w:after="0"/>
              <w:rPr>
                <w:sz w:val="24"/>
                <w:szCs w:val="24"/>
                <w:color w:val="auto"/>
              </w:rPr>
            </w:pP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$39,262,875</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$39,262,875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$39,262,875</w:t>
            </w:r>
          </w:p>
        </w:tc>
        <w:tc>
          <w:tcPr>
            <w:tcW w:w="1540" w:type="dxa"/>
            <w:vAlign w:val="bottom"/>
          </w:tcPr>
          <w:p>
            <w:pPr>
              <w:jc w:val="right"/>
              <w:spacing w:after="0"/>
              <w:rPr>
                <w:sz w:val="20"/>
                <w:szCs w:val="20"/>
                <w:color w:val="auto"/>
              </w:rPr>
            </w:pPr>
            <w:r>
              <w:rPr>
                <w:rFonts w:ascii="Arial" w:cs="Arial" w:eastAsia="Arial" w:hAnsi="Arial"/>
                <w:sz w:val="14"/>
                <w:szCs w:val="14"/>
                <w:color w:val="auto"/>
              </w:rPr>
              <w:t>$39,262,875</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27"/>
        </w:trPr>
        <w:tc>
          <w:tcPr>
            <w:tcW w:w="2420" w:type="dxa"/>
            <w:vAlign w:val="bottom"/>
          </w:tcPr>
          <w:p>
            <w:pPr>
              <w:spacing w:after="0"/>
              <w:rPr>
                <w:sz w:val="19"/>
                <w:szCs w:val="19"/>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$60,000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4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20" w:type="dxa"/>
            <w:vAlign w:val="bottom"/>
          </w:tcPr>
          <w:p>
            <w:pPr>
              <w:spacing w:after="0"/>
              <w:rPr>
                <w:sz w:val="16"/>
                <w:szCs w:val="16"/>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56"/>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$44,322,875</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$44,322,875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$44,322,875</w:t>
            </w:r>
          </w:p>
        </w:tc>
        <w:tc>
          <w:tcPr>
            <w:tcW w:w="1540" w:type="dxa"/>
            <w:vAlign w:val="bottom"/>
          </w:tcPr>
          <w:p>
            <w:pPr>
              <w:jc w:val="right"/>
              <w:spacing w:after="0"/>
              <w:rPr>
                <w:sz w:val="20"/>
                <w:szCs w:val="20"/>
                <w:color w:val="auto"/>
              </w:rPr>
            </w:pPr>
            <w:r>
              <w:rPr>
                <w:rFonts w:ascii="Arial" w:cs="Arial" w:eastAsia="Arial" w:hAnsi="Arial"/>
                <w:sz w:val="14"/>
                <w:szCs w:val="14"/>
                <w:color w:val="auto"/>
              </w:rPr>
              <w:t>$41,735,637</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318"/>
        </w:trPr>
        <w:tc>
          <w:tcPr>
            <w:tcW w:w="2420" w:type="dxa"/>
            <w:vAlign w:val="bottom"/>
            <w:tcBorders>
              <w:bottom w:val="single" w:sz="8" w:color="017B52"/>
            </w:tcBorders>
          </w:tcPr>
          <w:p>
            <w:pPr>
              <w:spacing w:after="0"/>
              <w:rPr>
                <w:sz w:val="24"/>
                <w:szCs w:val="24"/>
                <w:color w:val="auto"/>
              </w:rPr>
            </w:pPr>
          </w:p>
        </w:tc>
        <w:tc>
          <w:tcPr>
            <w:tcW w:w="168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345"/>
        </w:trPr>
        <w:tc>
          <w:tcPr>
            <w:tcW w:w="2420" w:type="dxa"/>
            <w:vAlign w:val="bottom"/>
          </w:tcPr>
          <w:p>
            <w:pPr>
              <w:ind w:left="40"/>
              <w:spacing w:after="0"/>
              <w:rPr>
                <w:sz w:val="20"/>
                <w:szCs w:val="20"/>
                <w:color w:val="auto"/>
              </w:rPr>
            </w:pPr>
            <w:r>
              <w:rPr>
                <w:rFonts w:ascii="Arial" w:cs="Arial" w:eastAsia="Arial" w:hAnsi="Arial"/>
                <w:sz w:val="13"/>
                <w:szCs w:val="13"/>
                <w:b w:val="1"/>
                <w:bCs w:val="1"/>
                <w:color w:val="017B52"/>
              </w:rPr>
              <w:t>Michael R. Cole</w:t>
            </w: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$606,842</w:t>
            </w:r>
          </w:p>
        </w:tc>
        <w:tc>
          <w:tcPr>
            <w:tcW w:w="12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$606,842</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$606,842</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$855,034</w:t>
            </w:r>
          </w:p>
        </w:tc>
      </w:tr>
      <w:tr>
        <w:trPr>
          <w:trHeight w:val="344"/>
        </w:trPr>
        <w:tc>
          <w:tcPr>
            <w:tcW w:w="2420" w:type="dxa"/>
            <w:vAlign w:val="bottom"/>
          </w:tcPr>
          <w:p>
            <w:pPr>
              <w:spacing w:after="0"/>
              <w:rPr>
                <w:sz w:val="24"/>
                <w:szCs w:val="24"/>
                <w:color w:val="auto"/>
              </w:rPr>
            </w:pP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$15,343,340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$15,343,340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$15,343,340</w:t>
            </w:r>
          </w:p>
        </w:tc>
        <w:tc>
          <w:tcPr>
            <w:tcW w:w="1540" w:type="dxa"/>
            <w:vAlign w:val="bottom"/>
          </w:tcPr>
          <w:p>
            <w:pPr>
              <w:jc w:val="right"/>
              <w:spacing w:after="0"/>
              <w:rPr>
                <w:sz w:val="20"/>
                <w:szCs w:val="20"/>
                <w:color w:val="auto"/>
              </w:rPr>
            </w:pPr>
            <w:r>
              <w:rPr>
                <w:rFonts w:ascii="Arial" w:cs="Arial" w:eastAsia="Arial" w:hAnsi="Arial"/>
                <w:sz w:val="14"/>
                <w:szCs w:val="14"/>
                <w:color w:val="auto"/>
              </w:rPr>
              <w:t>$15,343,340</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27"/>
        </w:trPr>
        <w:tc>
          <w:tcPr>
            <w:tcW w:w="2420" w:type="dxa"/>
            <w:vAlign w:val="bottom"/>
          </w:tcPr>
          <w:p>
            <w:pPr>
              <w:spacing w:after="0"/>
              <w:rPr>
                <w:sz w:val="19"/>
                <w:szCs w:val="19"/>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4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20" w:type="dxa"/>
            <w:vAlign w:val="bottom"/>
          </w:tcPr>
          <w:p>
            <w:pPr>
              <w:spacing w:after="0"/>
              <w:rPr>
                <w:sz w:val="16"/>
                <w:szCs w:val="16"/>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56"/>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$15,986,182</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$15,986,182</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$15,986182</w:t>
            </w:r>
          </w:p>
        </w:tc>
        <w:tc>
          <w:tcPr>
            <w:tcW w:w="1540" w:type="dxa"/>
            <w:vAlign w:val="bottom"/>
          </w:tcPr>
          <w:p>
            <w:pPr>
              <w:jc w:val="right"/>
              <w:spacing w:after="0"/>
              <w:rPr>
                <w:sz w:val="20"/>
                <w:szCs w:val="20"/>
                <w:color w:val="auto"/>
              </w:rPr>
            </w:pPr>
            <w:r>
              <w:rPr>
                <w:rFonts w:ascii="Arial" w:cs="Arial" w:eastAsia="Arial" w:hAnsi="Arial"/>
                <w:sz w:val="14"/>
                <w:szCs w:val="14"/>
                <w:color w:val="auto"/>
              </w:rPr>
              <w:t>$16,234,374</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318"/>
        </w:trPr>
        <w:tc>
          <w:tcPr>
            <w:tcW w:w="2420" w:type="dxa"/>
            <w:vAlign w:val="bottom"/>
            <w:tcBorders>
              <w:bottom w:val="single" w:sz="8" w:color="017B52"/>
            </w:tcBorders>
          </w:tcPr>
          <w:p>
            <w:pPr>
              <w:spacing w:after="0"/>
              <w:rPr>
                <w:sz w:val="24"/>
                <w:szCs w:val="24"/>
                <w:color w:val="auto"/>
              </w:rPr>
            </w:pPr>
          </w:p>
        </w:tc>
        <w:tc>
          <w:tcPr>
            <w:tcW w:w="168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345"/>
        </w:trPr>
        <w:tc>
          <w:tcPr>
            <w:tcW w:w="2420" w:type="dxa"/>
            <w:vAlign w:val="bottom"/>
          </w:tcPr>
          <w:p>
            <w:pPr>
              <w:ind w:left="40"/>
              <w:spacing w:after="0"/>
              <w:rPr>
                <w:sz w:val="20"/>
                <w:szCs w:val="20"/>
                <w:color w:val="auto"/>
              </w:rPr>
            </w:pPr>
            <w:r>
              <w:rPr>
                <w:rFonts w:ascii="Arial" w:cs="Arial" w:eastAsia="Arial" w:hAnsi="Arial"/>
                <w:sz w:val="13"/>
                <w:szCs w:val="13"/>
                <w:b w:val="1"/>
                <w:bCs w:val="1"/>
                <w:color w:val="017B52"/>
              </w:rPr>
              <w:t>Patrick M. Benton</w:t>
            </w: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$376,682</w:t>
            </w:r>
          </w:p>
        </w:tc>
        <w:tc>
          <w:tcPr>
            <w:tcW w:w="12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$3762,682</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$376,682</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$571,080</w:t>
            </w:r>
          </w:p>
        </w:tc>
      </w:tr>
      <w:tr>
        <w:trPr>
          <w:trHeight w:val="345"/>
        </w:trPr>
        <w:tc>
          <w:tcPr>
            <w:tcW w:w="2420" w:type="dxa"/>
            <w:vAlign w:val="bottom"/>
          </w:tcPr>
          <w:p>
            <w:pPr>
              <w:spacing w:after="0"/>
              <w:rPr>
                <w:sz w:val="24"/>
                <w:szCs w:val="24"/>
                <w:color w:val="auto"/>
              </w:rPr>
            </w:pP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$15,389,668</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$15,389,668</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$15,389,668</w:t>
            </w:r>
          </w:p>
        </w:tc>
        <w:tc>
          <w:tcPr>
            <w:tcW w:w="1540" w:type="dxa"/>
            <w:vAlign w:val="bottom"/>
          </w:tcPr>
          <w:p>
            <w:pPr>
              <w:jc w:val="right"/>
              <w:spacing w:after="0"/>
              <w:rPr>
                <w:sz w:val="20"/>
                <w:szCs w:val="20"/>
                <w:color w:val="auto"/>
              </w:rPr>
            </w:pPr>
            <w:r>
              <w:rPr>
                <w:rFonts w:ascii="Arial" w:cs="Arial" w:eastAsia="Arial" w:hAnsi="Arial"/>
                <w:sz w:val="14"/>
                <w:szCs w:val="14"/>
                <w:color w:val="auto"/>
              </w:rPr>
              <w:t>$15,389,668</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27"/>
        </w:trPr>
        <w:tc>
          <w:tcPr>
            <w:tcW w:w="2420" w:type="dxa"/>
            <w:vAlign w:val="bottom"/>
          </w:tcPr>
          <w:p>
            <w:pPr>
              <w:spacing w:after="0"/>
              <w:rPr>
                <w:sz w:val="19"/>
                <w:szCs w:val="19"/>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4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20" w:type="dxa"/>
            <w:vAlign w:val="bottom"/>
          </w:tcPr>
          <w:p>
            <w:pPr>
              <w:spacing w:after="0"/>
              <w:rPr>
                <w:sz w:val="16"/>
                <w:szCs w:val="16"/>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$15,802,350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$15,802,350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$15,802,350</w:t>
            </w:r>
          </w:p>
        </w:tc>
        <w:tc>
          <w:tcPr>
            <w:tcW w:w="1540" w:type="dxa"/>
            <w:vAlign w:val="bottom"/>
          </w:tcPr>
          <w:p>
            <w:pPr>
              <w:jc w:val="right"/>
              <w:spacing w:after="0"/>
              <w:rPr>
                <w:sz w:val="20"/>
                <w:szCs w:val="20"/>
                <w:color w:val="auto"/>
              </w:rPr>
            </w:pPr>
            <w:r>
              <w:rPr>
                <w:rFonts w:ascii="Arial" w:cs="Arial" w:eastAsia="Arial" w:hAnsi="Arial"/>
                <w:sz w:val="14"/>
                <w:szCs w:val="14"/>
                <w:color w:val="auto"/>
              </w:rPr>
              <w:t>$16,234,374</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318"/>
        </w:trPr>
        <w:tc>
          <w:tcPr>
            <w:tcW w:w="2420" w:type="dxa"/>
            <w:vAlign w:val="bottom"/>
            <w:tcBorders>
              <w:bottom w:val="single" w:sz="8" w:color="017B52"/>
            </w:tcBorders>
          </w:tcPr>
          <w:p>
            <w:pPr>
              <w:spacing w:after="0"/>
              <w:rPr>
                <w:sz w:val="24"/>
                <w:szCs w:val="24"/>
                <w:color w:val="auto"/>
              </w:rPr>
            </w:pPr>
          </w:p>
        </w:tc>
        <w:tc>
          <w:tcPr>
            <w:tcW w:w="168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345"/>
        </w:trPr>
        <w:tc>
          <w:tcPr>
            <w:tcW w:w="2420" w:type="dxa"/>
            <w:vAlign w:val="bottom"/>
          </w:tcPr>
          <w:p>
            <w:pPr>
              <w:ind w:left="40"/>
              <w:spacing w:after="0"/>
              <w:rPr>
                <w:sz w:val="20"/>
                <w:szCs w:val="20"/>
                <w:color w:val="auto"/>
              </w:rPr>
            </w:pPr>
            <w:r>
              <w:rPr>
                <w:rFonts w:ascii="Arial" w:cs="Arial" w:eastAsia="Arial" w:hAnsi="Arial"/>
                <w:sz w:val="13"/>
                <w:szCs w:val="13"/>
                <w:b w:val="1"/>
                <w:bCs w:val="1"/>
                <w:color w:val="017B52"/>
              </w:rPr>
              <w:t>Scott A. Worthington</w:t>
            </w: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$362,174</w:t>
            </w:r>
          </w:p>
        </w:tc>
        <w:tc>
          <w:tcPr>
            <w:tcW w:w="12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$362,174</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$362,174</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$544,000</w:t>
            </w:r>
          </w:p>
        </w:tc>
      </w:tr>
      <w:tr>
        <w:trPr>
          <w:trHeight w:val="345"/>
        </w:trPr>
        <w:tc>
          <w:tcPr>
            <w:tcW w:w="2420" w:type="dxa"/>
            <w:vAlign w:val="bottom"/>
          </w:tcPr>
          <w:p>
            <w:pPr>
              <w:spacing w:after="0"/>
              <w:rPr>
                <w:sz w:val="24"/>
                <w:szCs w:val="24"/>
                <w:color w:val="auto"/>
              </w:rPr>
            </w:pP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$12,660,839</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$12,660,839</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$12,660,839</w:t>
            </w:r>
          </w:p>
        </w:tc>
        <w:tc>
          <w:tcPr>
            <w:tcW w:w="1540" w:type="dxa"/>
            <w:vAlign w:val="bottom"/>
          </w:tcPr>
          <w:p>
            <w:pPr>
              <w:jc w:val="right"/>
              <w:spacing w:after="0"/>
              <w:rPr>
                <w:sz w:val="20"/>
                <w:szCs w:val="20"/>
                <w:color w:val="auto"/>
              </w:rPr>
            </w:pPr>
            <w:r>
              <w:rPr>
                <w:rFonts w:ascii="Arial" w:cs="Arial" w:eastAsia="Arial" w:hAnsi="Arial"/>
                <w:sz w:val="14"/>
                <w:szCs w:val="14"/>
                <w:color w:val="auto"/>
              </w:rPr>
              <w:t>$12,660,839</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27"/>
        </w:trPr>
        <w:tc>
          <w:tcPr>
            <w:tcW w:w="2420" w:type="dxa"/>
            <w:vAlign w:val="bottom"/>
          </w:tcPr>
          <w:p>
            <w:pPr>
              <w:spacing w:after="0"/>
              <w:rPr>
                <w:sz w:val="19"/>
                <w:szCs w:val="19"/>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4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20" w:type="dxa"/>
            <w:vAlign w:val="bottom"/>
          </w:tcPr>
          <w:p>
            <w:pPr>
              <w:spacing w:after="0"/>
              <w:rPr>
                <w:sz w:val="16"/>
                <w:szCs w:val="16"/>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$13,059,013</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$13,059,013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$13,059,013</w:t>
            </w:r>
          </w:p>
        </w:tc>
        <w:tc>
          <w:tcPr>
            <w:tcW w:w="1540" w:type="dxa"/>
            <w:vAlign w:val="bottom"/>
          </w:tcPr>
          <w:p>
            <w:pPr>
              <w:jc w:val="right"/>
              <w:spacing w:after="0"/>
              <w:rPr>
                <w:sz w:val="20"/>
                <w:szCs w:val="20"/>
                <w:color w:val="auto"/>
              </w:rPr>
            </w:pPr>
            <w:r>
              <w:rPr>
                <w:rFonts w:ascii="Arial" w:cs="Arial" w:eastAsia="Arial" w:hAnsi="Arial"/>
                <w:sz w:val="14"/>
                <w:szCs w:val="14"/>
                <w:color w:val="auto"/>
              </w:rPr>
              <w:t>$13,240,839</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318"/>
        </w:trPr>
        <w:tc>
          <w:tcPr>
            <w:tcW w:w="2420" w:type="dxa"/>
            <w:vAlign w:val="bottom"/>
            <w:tcBorders>
              <w:bottom w:val="single" w:sz="8" w:color="017B52"/>
            </w:tcBorders>
          </w:tcPr>
          <w:p>
            <w:pPr>
              <w:spacing w:after="0"/>
              <w:rPr>
                <w:sz w:val="24"/>
                <w:szCs w:val="24"/>
                <w:color w:val="auto"/>
              </w:rPr>
            </w:pPr>
          </w:p>
        </w:tc>
        <w:tc>
          <w:tcPr>
            <w:tcW w:w="168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345"/>
        </w:trPr>
        <w:tc>
          <w:tcPr>
            <w:tcW w:w="2420" w:type="dxa"/>
            <w:vAlign w:val="bottom"/>
          </w:tcPr>
          <w:p>
            <w:pPr>
              <w:ind w:left="40"/>
              <w:spacing w:after="0"/>
              <w:rPr>
                <w:sz w:val="20"/>
                <w:szCs w:val="20"/>
                <w:color w:val="auto"/>
              </w:rPr>
            </w:pPr>
            <w:r>
              <w:rPr>
                <w:rFonts w:ascii="Arial" w:cs="Arial" w:eastAsia="Arial" w:hAnsi="Arial"/>
                <w:sz w:val="13"/>
                <w:szCs w:val="13"/>
                <w:b w:val="1"/>
                <w:bCs w:val="1"/>
                <w:color w:val="017B52"/>
              </w:rPr>
              <w:t>William D. Schwartz</w:t>
            </w: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(3)</w:t>
            </w:r>
          </w:p>
        </w:tc>
        <w:tc>
          <w:tcPr>
            <w:tcW w:w="126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$266,507</w:t>
            </w:r>
          </w:p>
        </w:tc>
        <w:tc>
          <w:tcPr>
            <w:tcW w:w="124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$266,507</w:t>
            </w:r>
          </w:p>
        </w:tc>
        <w:tc>
          <w:tcPr>
            <w:tcW w:w="1260" w:type="dxa"/>
            <w:vAlign w:val="bottom"/>
            <w:tcBorders>
              <w:bottom w:val="single" w:sz="8" w:color="017B52"/>
            </w:tcBorders>
          </w:tcPr>
          <w:p>
            <w:pPr>
              <w:jc w:val="right"/>
              <w:ind w:right="149"/>
              <w:spacing w:after="0"/>
              <w:rPr>
                <w:sz w:val="20"/>
                <w:szCs w:val="20"/>
                <w:color w:val="auto"/>
              </w:rPr>
            </w:pPr>
            <w:r>
              <w:rPr>
                <w:rFonts w:ascii="Arial" w:cs="Arial" w:eastAsia="Arial" w:hAnsi="Arial"/>
                <w:sz w:val="14"/>
                <w:szCs w:val="14"/>
                <w:color w:val="auto"/>
              </w:rPr>
              <w:t>$266,507</w:t>
            </w:r>
          </w:p>
        </w:tc>
        <w:tc>
          <w:tcPr>
            <w:tcW w:w="154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$465,534</w:t>
            </w:r>
          </w:p>
        </w:tc>
      </w:tr>
      <w:tr>
        <w:trPr>
          <w:trHeight w:val="344"/>
        </w:trPr>
        <w:tc>
          <w:tcPr>
            <w:tcW w:w="2420" w:type="dxa"/>
            <w:vAlign w:val="bottom"/>
          </w:tcPr>
          <w:p>
            <w:pPr>
              <w:spacing w:after="0"/>
              <w:rPr>
                <w:sz w:val="24"/>
                <w:szCs w:val="24"/>
                <w:color w:val="auto"/>
              </w:rPr>
            </w:pPr>
          </w:p>
        </w:tc>
        <w:tc>
          <w:tcPr>
            <w:tcW w:w="1680" w:type="dxa"/>
            <w:vAlign w:val="bottom"/>
            <w:tcBorders>
              <w:bottom w:val="single" w:sz="8" w:color="017B52"/>
            </w:tcBorders>
          </w:tcPr>
          <w:p>
            <w:pPr>
              <w:jc w:val="right"/>
              <w:ind w:right="169"/>
              <w:spacing w:after="0"/>
              <w:rPr>
                <w:sz w:val="20"/>
                <w:szCs w:val="20"/>
                <w:color w:val="auto"/>
              </w:rPr>
            </w:pPr>
            <w:r>
              <w:rPr>
                <w:rFonts w:ascii="Arial" w:cs="Arial" w:eastAsia="Arial" w:hAnsi="Arial"/>
                <w:sz w:val="14"/>
                <w:szCs w:val="14"/>
                <w:color w:val="auto"/>
              </w:rPr>
              <w:t>Equity:</w:t>
            </w:r>
            <w:r>
              <w:rPr>
                <w:rFonts w:ascii="Arial" w:cs="Arial" w:eastAsia="Arial" w:hAnsi="Arial"/>
                <w:sz w:val="23"/>
                <w:szCs w:val="23"/>
                <w:color w:val="auto"/>
                <w:vertAlign w:val="superscript"/>
              </w:rPr>
              <w:t>(4)</w:t>
            </w:r>
          </w:p>
        </w:tc>
        <w:tc>
          <w:tcPr>
            <w:tcW w:w="1260" w:type="dxa"/>
            <w:vAlign w:val="bottom"/>
            <w:tcBorders>
              <w:bottom w:val="single" w:sz="8" w:color="017B52"/>
            </w:tcBorders>
          </w:tcPr>
          <w:p>
            <w:pPr>
              <w:spacing w:after="0"/>
              <w:rPr>
                <w:sz w:val="24"/>
                <w:szCs w:val="24"/>
                <w:color w:val="auto"/>
              </w:rPr>
            </w:pPr>
          </w:p>
        </w:tc>
        <w:tc>
          <w:tcPr>
            <w:tcW w:w="1240" w:type="dxa"/>
            <w:vAlign w:val="bottom"/>
            <w:tcBorders>
              <w:bottom w:val="single" w:sz="8" w:color="017B52"/>
            </w:tcBorders>
          </w:tcPr>
          <w:p>
            <w:pPr>
              <w:spacing w:after="0"/>
              <w:rPr>
                <w:sz w:val="24"/>
                <w:szCs w:val="24"/>
                <w:color w:val="auto"/>
              </w:rPr>
            </w:pPr>
          </w:p>
        </w:tc>
        <w:tc>
          <w:tcPr>
            <w:tcW w:w="1260" w:type="dxa"/>
            <w:vAlign w:val="bottom"/>
            <w:tcBorders>
              <w:bottom w:val="single" w:sz="8" w:color="017B52"/>
            </w:tcBorders>
          </w:tcPr>
          <w:p>
            <w:pPr>
              <w:spacing w:after="0"/>
              <w:rPr>
                <w:sz w:val="24"/>
                <w:szCs w:val="24"/>
                <w:color w:val="auto"/>
              </w:rPr>
            </w:pPr>
          </w:p>
        </w:tc>
        <w:tc>
          <w:tcPr>
            <w:tcW w:w="1540" w:type="dxa"/>
            <w:vAlign w:val="bottom"/>
            <w:tcBorders>
              <w:bottom w:val="single" w:sz="8" w:color="017B52"/>
            </w:tcBorders>
          </w:tcPr>
          <w:p>
            <w:pPr>
              <w:spacing w:after="0"/>
              <w:rPr>
                <w:sz w:val="24"/>
                <w:szCs w:val="24"/>
                <w:color w:val="auto"/>
              </w:rPr>
            </w:pPr>
          </w:p>
        </w:tc>
      </w:tr>
      <w:tr>
        <w:trPr>
          <w:trHeight w:val="256"/>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 Restricted Stock</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$6,347,180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$6,347,180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$6,347,180</w:t>
            </w:r>
          </w:p>
        </w:tc>
        <w:tc>
          <w:tcPr>
            <w:tcW w:w="1540" w:type="dxa"/>
            <w:vAlign w:val="bottom"/>
          </w:tcPr>
          <w:p>
            <w:pPr>
              <w:jc w:val="right"/>
              <w:spacing w:after="0"/>
              <w:rPr>
                <w:sz w:val="20"/>
                <w:szCs w:val="20"/>
                <w:color w:val="auto"/>
              </w:rPr>
            </w:pPr>
            <w:r>
              <w:rPr>
                <w:rFonts w:ascii="Arial" w:cs="Arial" w:eastAsia="Arial" w:hAnsi="Arial"/>
                <w:sz w:val="14"/>
                <w:szCs w:val="14"/>
                <w:color w:val="auto"/>
              </w:rPr>
              <w:t>$6,347,180</w:t>
            </w: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27"/>
        </w:trPr>
        <w:tc>
          <w:tcPr>
            <w:tcW w:w="2420" w:type="dxa"/>
            <w:vAlign w:val="bottom"/>
          </w:tcPr>
          <w:p>
            <w:pPr>
              <w:spacing w:after="0"/>
              <w:rPr>
                <w:sz w:val="19"/>
                <w:szCs w:val="19"/>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Health and</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$36,000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$36,000</w:t>
            </w:r>
          </w:p>
        </w:tc>
        <w:tc>
          <w:tcPr>
            <w:tcW w:w="154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90"/>
        </w:trPr>
        <w:tc>
          <w:tcPr>
            <w:tcW w:w="2420" w:type="dxa"/>
            <w:vAlign w:val="bottom"/>
          </w:tcPr>
          <w:p>
            <w:pPr>
              <w:spacing w:after="0"/>
              <w:rPr>
                <w:sz w:val="16"/>
                <w:szCs w:val="16"/>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Welfare</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
        </w:trPr>
        <w:tc>
          <w:tcPr>
            <w:tcW w:w="2420" w:type="dxa"/>
            <w:vAlign w:val="bottom"/>
          </w:tcPr>
          <w:p>
            <w:pPr>
              <w:spacing w:after="0"/>
              <w:rPr>
                <w:sz w:val="5"/>
                <w:szCs w:val="5"/>
                <w:color w:val="auto"/>
              </w:rPr>
            </w:pPr>
          </w:p>
        </w:tc>
        <w:tc>
          <w:tcPr>
            <w:tcW w:w="168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240" w:type="dxa"/>
            <w:vAlign w:val="bottom"/>
            <w:tcBorders>
              <w:bottom w:val="single" w:sz="8" w:color="017B52"/>
            </w:tcBorders>
          </w:tcPr>
          <w:p>
            <w:pPr>
              <w:spacing w:after="0"/>
              <w:rPr>
                <w:sz w:val="5"/>
                <w:szCs w:val="5"/>
                <w:color w:val="auto"/>
              </w:rPr>
            </w:pPr>
          </w:p>
        </w:tc>
        <w:tc>
          <w:tcPr>
            <w:tcW w:w="1260" w:type="dxa"/>
            <w:vAlign w:val="bottom"/>
            <w:tcBorders>
              <w:bottom w:val="single" w:sz="8" w:color="017B52"/>
            </w:tcBorders>
          </w:tcPr>
          <w:p>
            <w:pPr>
              <w:spacing w:after="0"/>
              <w:rPr>
                <w:sz w:val="5"/>
                <w:szCs w:val="5"/>
                <w:color w:val="auto"/>
              </w:rPr>
            </w:pPr>
          </w:p>
        </w:tc>
        <w:tc>
          <w:tcPr>
            <w:tcW w:w="1540" w:type="dxa"/>
            <w:vAlign w:val="bottom"/>
            <w:tcBorders>
              <w:bottom w:val="single" w:sz="8" w:color="017B52"/>
            </w:tcBorders>
          </w:tcPr>
          <w:p>
            <w:pPr>
              <w:spacing w:after="0"/>
              <w:rPr>
                <w:sz w:val="5"/>
                <w:szCs w:val="5"/>
                <w:color w:val="auto"/>
              </w:rPr>
            </w:pPr>
          </w:p>
        </w:tc>
      </w:tr>
      <w:tr>
        <w:trPr>
          <w:trHeight w:val="255"/>
        </w:trPr>
        <w:tc>
          <w:tcPr>
            <w:tcW w:w="2420" w:type="dxa"/>
            <w:vAlign w:val="bottom"/>
          </w:tcPr>
          <w:p>
            <w:pPr>
              <w:spacing w:after="0"/>
              <w:rPr>
                <w:sz w:val="22"/>
                <w:szCs w:val="22"/>
                <w:color w:val="auto"/>
              </w:rPr>
            </w:pP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$6,649,687</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$6,649,687</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$6,649,687</w:t>
            </w:r>
          </w:p>
        </w:tc>
        <w:tc>
          <w:tcPr>
            <w:tcW w:w="1540" w:type="dxa"/>
            <w:vAlign w:val="bottom"/>
          </w:tcPr>
          <w:p>
            <w:pPr>
              <w:jc w:val="right"/>
              <w:spacing w:after="0"/>
              <w:rPr>
                <w:sz w:val="20"/>
                <w:szCs w:val="20"/>
                <w:color w:val="auto"/>
              </w:rPr>
            </w:pPr>
            <w:r>
              <w:rPr>
                <w:rFonts w:ascii="Arial" w:cs="Arial" w:eastAsia="Arial" w:hAnsi="Arial"/>
                <w:sz w:val="14"/>
                <w:szCs w:val="14"/>
                <w:color w:val="auto"/>
              </w:rPr>
              <w:t>$6,848,714</w:t>
            </w:r>
          </w:p>
        </w:tc>
      </w:tr>
      <w:tr>
        <w:trPr>
          <w:trHeight w:val="143"/>
        </w:trPr>
        <w:tc>
          <w:tcPr>
            <w:tcW w:w="2420" w:type="dxa"/>
            <w:vAlign w:val="bottom"/>
            <w:tcBorders>
              <w:bottom w:val="single" w:sz="8" w:color="017B52"/>
            </w:tcBorders>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r>
    </w:tbl>
    <w:p>
      <w:pPr>
        <w:spacing w:after="0" w:line="185" w:lineRule="exact"/>
        <w:rPr>
          <w:sz w:val="20"/>
          <w:szCs w:val="20"/>
          <w:color w:val="auto"/>
        </w:rPr>
      </w:pPr>
    </w:p>
    <w:p>
      <w:pPr>
        <w:ind w:left="360" w:hanging="354"/>
        <w:spacing w:after="0"/>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Accounts of the Named Executives in deferred compensation plans and 401(k) plans are not included.</w:t>
      </w:r>
    </w:p>
    <w:p>
      <w:pPr>
        <w:spacing w:after="0" w:line="80" w:lineRule="exact"/>
        <w:rPr>
          <w:rFonts w:ascii="Arial" w:cs="Arial" w:eastAsia="Arial" w:hAnsi="Arial"/>
          <w:sz w:val="13"/>
          <w:szCs w:val="13"/>
          <w:color w:val="333333"/>
        </w:rPr>
      </w:pPr>
    </w:p>
    <w:p>
      <w:pPr>
        <w:ind w:left="360" w:right="140" w:hanging="354"/>
        <w:spacing w:after="0" w:line="243" w:lineRule="auto"/>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In the event of a change in control and his actual or constructive termination of employment, Mr. Missad would receive three years of salary, while Messrs. Cole, Benton and Worthington would each receive two years of salary.</w:t>
      </w:r>
    </w:p>
    <w:p>
      <w:pPr>
        <w:spacing w:after="0" w:line="48" w:lineRule="exact"/>
        <w:rPr>
          <w:rFonts w:ascii="Arial" w:cs="Arial" w:eastAsia="Arial" w:hAnsi="Arial"/>
          <w:sz w:val="13"/>
          <w:szCs w:val="13"/>
          <w:color w:val="333333"/>
        </w:rPr>
      </w:pPr>
    </w:p>
    <w:p>
      <w:pPr>
        <w:ind w:left="360" w:hanging="354"/>
        <w:spacing w:after="0" w:line="238" w:lineRule="auto"/>
        <w:tabs>
          <w:tab w:leader="none" w:pos="360" w:val="left"/>
        </w:tabs>
        <w:numPr>
          <w:ilvl w:val="0"/>
          <w:numId w:val="37"/>
        </w:numPr>
        <w:rPr>
          <w:rFonts w:ascii="Arial" w:cs="Arial" w:eastAsia="Arial" w:hAnsi="Arial"/>
          <w:sz w:val="12"/>
          <w:szCs w:val="12"/>
          <w:color w:val="333333"/>
        </w:rPr>
      </w:pPr>
      <w:r>
        <w:rPr>
          <w:rFonts w:ascii="Arial" w:cs="Arial" w:eastAsia="Arial" w:hAnsi="Arial"/>
          <w:sz w:val="12"/>
          <w:szCs w:val="12"/>
          <w:color w:val="333333"/>
        </w:rPr>
        <w:t>None of our Named Executives has an employment agreement with the Company. In lieu of severance, our Board has approved an executive retirement plan (“ERP”) for officers who have been employed by the Company for at least twenty years and have been officers for at least ten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w:t>
      </w:r>
    </w:p>
    <w:p>
      <w:pPr>
        <w:spacing w:after="0" w:line="2" w:lineRule="exact"/>
        <w:rPr>
          <w:rFonts w:ascii="Arial" w:cs="Arial" w:eastAsia="Arial" w:hAnsi="Arial"/>
          <w:sz w:val="12"/>
          <w:szCs w:val="12"/>
          <w:color w:val="333333"/>
        </w:rPr>
      </w:pPr>
    </w:p>
    <w:p>
      <w:pPr>
        <w:ind w:left="360" w:right="80"/>
        <w:spacing w:after="0" w:line="226" w:lineRule="auto"/>
        <w:rPr>
          <w:rFonts w:ascii="Arial" w:cs="Arial" w:eastAsia="Arial" w:hAnsi="Arial"/>
          <w:sz w:val="12"/>
          <w:szCs w:val="12"/>
          <w:color w:val="333333"/>
        </w:rPr>
      </w:pPr>
      <w:r>
        <w:rPr>
          <w:rFonts w:ascii="Arial" w:cs="Arial" w:eastAsia="Arial" w:hAnsi="Arial"/>
          <w:sz w:val="13"/>
          <w:szCs w:val="13"/>
          <w:color w:val="333333"/>
        </w:rPr>
        <w:t>age 62. Benefits under the ERP are forfeited if the Named Executive competes with the Company while employed by the Company or any time while benefits are due. Each of the Named Executives has met the service requirements of the ERP. In addition to the benefits provided under the ERP, the Named Executives are eligible for a stipend for health care.</w:t>
      </w:r>
    </w:p>
    <w:p>
      <w:pPr>
        <w:spacing w:after="0" w:line="65" w:lineRule="exact"/>
        <w:rPr>
          <w:rFonts w:ascii="Arial" w:cs="Arial" w:eastAsia="Arial" w:hAnsi="Arial"/>
          <w:sz w:val="12"/>
          <w:szCs w:val="12"/>
          <w:color w:val="333333"/>
        </w:rPr>
      </w:pPr>
    </w:p>
    <w:p>
      <w:pPr>
        <w:ind w:left="360" w:hanging="354"/>
        <w:spacing w:after="0"/>
        <w:tabs>
          <w:tab w:leader="none" w:pos="360" w:val="left"/>
        </w:tabs>
        <w:numPr>
          <w:ilvl w:val="0"/>
          <w:numId w:val="37"/>
        </w:numPr>
        <w:rPr>
          <w:rFonts w:ascii="Arial" w:cs="Arial" w:eastAsia="Arial" w:hAnsi="Arial"/>
          <w:sz w:val="13"/>
          <w:szCs w:val="13"/>
          <w:color w:val="333333"/>
        </w:rPr>
      </w:pPr>
      <w:r>
        <w:rPr>
          <w:rFonts w:ascii="Arial" w:cs="Arial" w:eastAsia="Arial" w:hAnsi="Arial"/>
          <w:sz w:val="13"/>
          <w:szCs w:val="13"/>
          <w:color w:val="333333"/>
        </w:rPr>
        <w:t>Stock awards that have already vested are not included in the table.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41</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504"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versus Performance</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and certain Company financial performance metrics. For further information concerning our pay-for-performance philosophy and how we align executive compensation with Company financial performance, refer to the Compensation Discussion and Analysis.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following table provides information showing the relationship during 2023, 2022, 2021 and 2020 between (1) executive “compensation actually paid” (as defined by SEC rule) to (a) each person serving as our CEO and (b) our non-CEO named executive officers (also referred to as other NEOs below), on an average basis, and (2) the company’s financial performance. The company’s selected performance measure is Pre-Bonus Operating Profit (PBOP), as reflected in the chart below. Information presented in this section will not be deemed to be incorporated by reference into any of our filings under the Securities Act of 1933, as amended, or the Exchange Act, except as we may specifically do so.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VALUE OF INITIAL FIXED</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7"/>
              </w:rPr>
              <w:t>$100 INVESTMENT</w:t>
            </w: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SUMMARY</w:t>
            </w:r>
          </w:p>
        </w:tc>
        <w:tc>
          <w:tcPr>
            <w:tcW w:w="1060" w:type="dxa"/>
            <w:vAlign w:val="bottom"/>
          </w:tcPr>
          <w:p>
            <w:pPr>
              <w:spacing w:after="0"/>
              <w:rPr>
                <w:sz w:val="10"/>
                <w:szCs w:val="10"/>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AVERAGE SUMMARY</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AVERAGE</w:t>
            </w:r>
          </w:p>
        </w:tc>
        <w:tc>
          <w:tcPr>
            <w:tcW w:w="1720" w:type="dxa"/>
            <w:vAlign w:val="bottom"/>
            <w:gridSpan w:val="2"/>
          </w:tcPr>
          <w:p>
            <w:pPr>
              <w:jc w:val="center"/>
              <w:spacing w:after="0" w:line="122" w:lineRule="exact"/>
              <w:rPr>
                <w:sz w:val="20"/>
                <w:szCs w:val="20"/>
                <w:color w:val="auto"/>
              </w:rPr>
            </w:pPr>
            <w:r>
              <w:rPr>
                <w:rFonts w:ascii="Arial" w:cs="Arial" w:eastAsia="Arial" w:hAnsi="Arial"/>
                <w:sz w:val="10"/>
                <w:szCs w:val="10"/>
                <w:b w:val="1"/>
                <w:bCs w:val="1"/>
                <w:color w:val="auto"/>
              </w:rPr>
              <w:t>BASED ON:</w:t>
            </w:r>
            <w:r>
              <w:rPr>
                <w:rFonts w:ascii="Arial" w:cs="Arial" w:eastAsia="Arial" w:hAnsi="Arial"/>
                <w:sz w:val="14"/>
                <w:szCs w:val="14"/>
                <w:b w:val="1"/>
                <w:bCs w:val="1"/>
                <w:color w:val="auto"/>
                <w:vertAlign w:val="superscript"/>
              </w:rPr>
              <w:t>(3)</w:t>
            </w:r>
          </w:p>
        </w:tc>
        <w:tc>
          <w:tcPr>
            <w:tcW w:w="102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COMPANY</w:t>
            </w: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COMPENSATION TABLE</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COMPENSATION</w:t>
            </w:r>
          </w:p>
        </w:tc>
        <w:tc>
          <w:tcPr>
            <w:tcW w:w="780" w:type="dxa"/>
            <w:vAlign w:val="bottom"/>
            <w:tcBorders>
              <w:bottom w:val="single" w:sz="8" w:color="017B52"/>
            </w:tcBorders>
          </w:tcPr>
          <w:p>
            <w:pPr>
              <w:spacing w:after="0"/>
              <w:rPr>
                <w:sz w:val="11"/>
                <w:szCs w:val="11"/>
                <w:color w:val="auto"/>
              </w:rPr>
            </w:pPr>
          </w:p>
        </w:tc>
        <w:tc>
          <w:tcPr>
            <w:tcW w:w="940" w:type="dxa"/>
            <w:vAlign w:val="bottom"/>
            <w:tcBorders>
              <w:bottom w:val="single" w:sz="8" w:color="017B52"/>
            </w:tcBorders>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SELECTED</w:t>
            </w: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10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COMPENSATION</w:t>
            </w:r>
          </w:p>
        </w:tc>
        <w:tc>
          <w:tcPr>
            <w:tcW w:w="10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COMPENSATION</w:t>
            </w:r>
          </w:p>
        </w:tc>
        <w:tc>
          <w:tcPr>
            <w:tcW w:w="14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TOTAL FOR NON-CEO</w:t>
            </w:r>
          </w:p>
        </w:tc>
        <w:tc>
          <w:tcPr>
            <w:tcW w:w="146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ACTUALLY PAID TO</w:t>
            </w: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jc w:val="center"/>
              <w:ind w:left="19"/>
              <w:spacing w:after="0" w:line="95" w:lineRule="exact"/>
              <w:rPr>
                <w:sz w:val="20"/>
                <w:szCs w:val="20"/>
                <w:color w:val="auto"/>
              </w:rPr>
            </w:pPr>
            <w:r>
              <w:rPr>
                <w:rFonts w:ascii="Arial" w:cs="Arial" w:eastAsia="Arial" w:hAnsi="Arial"/>
                <w:sz w:val="10"/>
                <w:szCs w:val="10"/>
                <w:b w:val="1"/>
                <w:bCs w:val="1"/>
                <w:color w:val="auto"/>
              </w:rPr>
              <w:t>PERFORMANCE</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TABLE TOTAL</w:t>
            </w:r>
          </w:p>
        </w:tc>
        <w:tc>
          <w:tcPr>
            <w:tcW w:w="10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ACTUALLY PAID</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NAMED EXECUTIVE</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NON-CEO NAMED</w:t>
            </w:r>
          </w:p>
        </w:tc>
        <w:tc>
          <w:tcPr>
            <w:tcW w:w="780" w:type="dxa"/>
            <w:vAlign w:val="bottom"/>
          </w:tcPr>
          <w:p>
            <w:pPr>
              <w:jc w:val="right"/>
              <w:ind w:right="79"/>
              <w:spacing w:after="0" w:line="108" w:lineRule="exact"/>
              <w:rPr>
                <w:sz w:val="20"/>
                <w:szCs w:val="20"/>
                <w:color w:val="auto"/>
              </w:rPr>
            </w:pPr>
            <w:r>
              <w:rPr>
                <w:rFonts w:ascii="Arial" w:cs="Arial" w:eastAsia="Arial" w:hAnsi="Arial"/>
                <w:sz w:val="11"/>
                <w:szCs w:val="11"/>
                <w:b w:val="1"/>
                <w:bCs w:val="1"/>
                <w:color w:val="auto"/>
              </w:rPr>
              <w:t>COMPANY</w:t>
            </w:r>
          </w:p>
        </w:tc>
        <w:tc>
          <w:tcPr>
            <w:tcW w:w="940" w:type="dxa"/>
            <w:vAlign w:val="bottom"/>
          </w:tcPr>
          <w:p>
            <w:pPr>
              <w:jc w:val="right"/>
              <w:ind w:right="74"/>
              <w:spacing w:after="0" w:line="108" w:lineRule="exact"/>
              <w:rPr>
                <w:sz w:val="20"/>
                <w:szCs w:val="20"/>
                <w:color w:val="auto"/>
              </w:rPr>
            </w:pPr>
            <w:r>
              <w:rPr>
                <w:rFonts w:ascii="Arial" w:cs="Arial" w:eastAsia="Arial" w:hAnsi="Arial"/>
                <w:sz w:val="11"/>
                <w:szCs w:val="11"/>
                <w:b w:val="1"/>
                <w:bCs w:val="1"/>
                <w:color w:val="auto"/>
              </w:rPr>
              <w:t>PEER GROUP</w:t>
            </w:r>
          </w:p>
        </w:tc>
        <w:tc>
          <w:tcPr>
            <w:tcW w:w="1020" w:type="dxa"/>
            <w:vAlign w:val="bottom"/>
          </w:tcPr>
          <w:p>
            <w:pPr>
              <w:jc w:val="right"/>
              <w:ind w:right="114"/>
              <w:spacing w:after="0" w:line="108" w:lineRule="exact"/>
              <w:rPr>
                <w:sz w:val="20"/>
                <w:szCs w:val="20"/>
                <w:color w:val="auto"/>
              </w:rPr>
            </w:pPr>
            <w:r>
              <w:rPr>
                <w:rFonts w:ascii="Arial" w:cs="Arial" w:eastAsia="Arial" w:hAnsi="Arial"/>
                <w:sz w:val="11"/>
                <w:szCs w:val="11"/>
                <w:b w:val="1"/>
                <w:bCs w:val="1"/>
                <w:color w:val="auto"/>
              </w:rPr>
              <w:t>NET INCOME</w:t>
            </w: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MEASURE (PBOP)</w:t>
            </w:r>
          </w:p>
        </w:tc>
        <w:tc>
          <w:tcPr>
            <w:tcW w:w="0" w:type="dxa"/>
            <w:vAlign w:val="bottom"/>
          </w:tcPr>
          <w:p>
            <w:pPr>
              <w:spacing w:after="0"/>
              <w:rPr>
                <w:sz w:val="1"/>
                <w:szCs w:val="1"/>
                <w:color w:val="auto"/>
              </w:rPr>
            </w:pPr>
          </w:p>
        </w:tc>
      </w:tr>
      <w:tr>
        <w:trPr>
          <w:trHeight w:val="221"/>
        </w:trPr>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YEAR</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1"/>
              </w:rPr>
              <w:t>FOR CEO</w:t>
            </w:r>
            <w:r>
              <w:rPr>
                <w:rFonts w:ascii="Arial" w:cs="Arial" w:eastAsia="Arial" w:hAnsi="Arial"/>
                <w:sz w:val="16"/>
                <w:szCs w:val="16"/>
                <w:b w:val="1"/>
                <w:bCs w:val="1"/>
                <w:color w:val="auto"/>
                <w:w w:val="91"/>
                <w:vertAlign w:val="superscript"/>
              </w:rPr>
              <w:t>(1)</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0"/>
              </w:rPr>
              <w:t>TO CEO</w:t>
            </w:r>
            <w:r>
              <w:rPr>
                <w:rFonts w:ascii="Arial" w:cs="Arial" w:eastAsia="Arial" w:hAnsi="Arial"/>
                <w:sz w:val="16"/>
                <w:szCs w:val="16"/>
                <w:b w:val="1"/>
                <w:bCs w:val="1"/>
                <w:color w:val="auto"/>
                <w:w w:val="90"/>
                <w:vertAlign w:val="superscript"/>
              </w:rPr>
              <w:t>(1)</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3"/>
              </w:rPr>
              <w:t>OFFICERS</w:t>
            </w:r>
            <w:r>
              <w:rPr>
                <w:rFonts w:ascii="Arial" w:cs="Arial" w:eastAsia="Arial" w:hAnsi="Arial"/>
                <w:sz w:val="16"/>
                <w:szCs w:val="16"/>
                <w:b w:val="1"/>
                <w:bCs w:val="1"/>
                <w:color w:val="auto"/>
                <w:w w:val="93"/>
                <w:vertAlign w:val="superscript"/>
              </w:rPr>
              <w:t>(2)</w:t>
            </w:r>
          </w:p>
        </w:tc>
        <w:tc>
          <w:tcPr>
            <w:tcW w:w="1460" w:type="dxa"/>
            <w:vAlign w:val="bottom"/>
          </w:tcPr>
          <w:p>
            <w:pPr>
              <w:jc w:val="right"/>
              <w:ind w:right="19"/>
              <w:spacing w:after="0"/>
              <w:rPr>
                <w:sz w:val="20"/>
                <w:szCs w:val="20"/>
                <w:color w:val="auto"/>
              </w:rPr>
            </w:pPr>
            <w:r>
              <w:rPr>
                <w:rFonts w:ascii="Arial" w:cs="Arial" w:eastAsia="Arial" w:hAnsi="Arial"/>
                <w:sz w:val="11"/>
                <w:szCs w:val="11"/>
                <w:b w:val="1"/>
                <w:bCs w:val="1"/>
                <w:color w:val="auto"/>
              </w:rPr>
              <w:t>EXECUTIVE OFFICERS</w:t>
            </w:r>
            <w:r>
              <w:rPr>
                <w:rFonts w:ascii="Arial" w:cs="Arial" w:eastAsia="Arial" w:hAnsi="Arial"/>
                <w:sz w:val="16"/>
                <w:szCs w:val="16"/>
                <w:b w:val="1"/>
                <w:bCs w:val="1"/>
                <w:color w:val="auto"/>
                <w:vertAlign w:val="superscript"/>
              </w:rPr>
              <w:t>(2)</w:t>
            </w:r>
          </w:p>
        </w:tc>
        <w:tc>
          <w:tcPr>
            <w:tcW w:w="780" w:type="dxa"/>
            <w:vAlign w:val="bottom"/>
          </w:tcPr>
          <w:p>
            <w:pPr>
              <w:jc w:val="right"/>
              <w:ind w:right="219"/>
              <w:spacing w:after="0"/>
              <w:rPr>
                <w:sz w:val="20"/>
                <w:szCs w:val="20"/>
                <w:color w:val="auto"/>
              </w:rPr>
            </w:pPr>
            <w:r>
              <w:rPr>
                <w:rFonts w:ascii="Arial" w:cs="Arial" w:eastAsia="Arial" w:hAnsi="Arial"/>
                <w:sz w:val="11"/>
                <w:szCs w:val="11"/>
                <w:b w:val="1"/>
                <w:bCs w:val="1"/>
                <w:color w:val="auto"/>
              </w:rPr>
              <w:t>TSR</w:t>
            </w:r>
          </w:p>
        </w:tc>
        <w:tc>
          <w:tcPr>
            <w:tcW w:w="940" w:type="dxa"/>
            <w:vAlign w:val="bottom"/>
          </w:tcPr>
          <w:p>
            <w:pPr>
              <w:jc w:val="right"/>
              <w:ind w:right="254"/>
              <w:spacing w:after="0"/>
              <w:rPr>
                <w:sz w:val="20"/>
                <w:szCs w:val="20"/>
                <w:color w:val="auto"/>
              </w:rPr>
            </w:pPr>
            <w:r>
              <w:rPr>
                <w:rFonts w:ascii="Arial" w:cs="Arial" w:eastAsia="Arial" w:hAnsi="Arial"/>
                <w:sz w:val="11"/>
                <w:szCs w:val="11"/>
                <w:b w:val="1"/>
                <w:bCs w:val="1"/>
                <w:color w:val="auto"/>
              </w:rPr>
              <w:t>TSR</w:t>
            </w:r>
            <w:r>
              <w:rPr>
                <w:rFonts w:ascii="Arial" w:cs="Arial" w:eastAsia="Arial" w:hAnsi="Arial"/>
                <w:sz w:val="16"/>
                <w:szCs w:val="16"/>
                <w:b w:val="1"/>
                <w:bCs w:val="1"/>
                <w:color w:val="auto"/>
                <w:vertAlign w:val="superscript"/>
              </w:rPr>
              <w:t>(4)</w:t>
            </w:r>
          </w:p>
        </w:tc>
        <w:tc>
          <w:tcPr>
            <w:tcW w:w="1020" w:type="dxa"/>
            <w:vAlign w:val="bottom"/>
          </w:tcPr>
          <w:p>
            <w:pPr>
              <w:jc w:val="right"/>
              <w:ind w:right="34"/>
              <w:spacing w:after="0"/>
              <w:rPr>
                <w:sz w:val="20"/>
                <w:szCs w:val="20"/>
                <w:color w:val="auto"/>
              </w:rPr>
            </w:pPr>
            <w:r>
              <w:rPr>
                <w:rFonts w:ascii="Arial" w:cs="Arial" w:eastAsia="Arial" w:hAnsi="Arial"/>
                <w:sz w:val="11"/>
                <w:szCs w:val="11"/>
                <w:b w:val="1"/>
                <w:bCs w:val="1"/>
                <w:color w:val="auto"/>
              </w:rPr>
              <w:t>(IN MILLIONS)</w:t>
            </w:r>
            <w:r>
              <w:rPr>
                <w:rFonts w:ascii="Arial" w:cs="Arial" w:eastAsia="Arial" w:hAnsi="Arial"/>
                <w:sz w:val="16"/>
                <w:szCs w:val="16"/>
                <w:b w:val="1"/>
                <w:bCs w:val="1"/>
                <w:color w:val="auto"/>
                <w:vertAlign w:val="superscript"/>
              </w:rPr>
              <w:t>(5)</w:t>
            </w:r>
          </w:p>
        </w:tc>
        <w:tc>
          <w:tcPr>
            <w:tcW w:w="1080" w:type="dxa"/>
            <w:vAlign w:val="bottom"/>
          </w:tcPr>
          <w:p>
            <w:pPr>
              <w:jc w:val="center"/>
              <w:ind w:left="39"/>
              <w:spacing w:after="0"/>
              <w:rPr>
                <w:sz w:val="20"/>
                <w:szCs w:val="20"/>
                <w:color w:val="auto"/>
              </w:rPr>
            </w:pPr>
            <w:r>
              <w:rPr>
                <w:rFonts w:ascii="Arial" w:cs="Arial" w:eastAsia="Arial" w:hAnsi="Arial"/>
                <w:sz w:val="11"/>
                <w:szCs w:val="11"/>
                <w:b w:val="1"/>
                <w:bCs w:val="1"/>
                <w:color w:val="auto"/>
                <w:w w:val="94"/>
              </w:rPr>
              <w:t>(IN MILLIONS)</w:t>
            </w:r>
            <w:r>
              <w:rPr>
                <w:rFonts w:ascii="Arial" w:cs="Arial" w:eastAsia="Arial" w:hAnsi="Arial"/>
                <w:sz w:val="16"/>
                <w:szCs w:val="16"/>
                <w:b w:val="1"/>
                <w:bCs w:val="1"/>
                <w:color w:val="auto"/>
                <w:w w:val="94"/>
                <w:vertAlign w:val="superscript"/>
              </w:rPr>
              <w:t>(6)</w:t>
            </w:r>
          </w:p>
        </w:tc>
        <w:tc>
          <w:tcPr>
            <w:tcW w:w="0" w:type="dxa"/>
            <w:vAlign w:val="bottom"/>
          </w:tcPr>
          <w:p>
            <w:pPr>
              <w:spacing w:after="0"/>
              <w:rPr>
                <w:sz w:val="1"/>
                <w:szCs w:val="1"/>
                <w:color w:val="auto"/>
              </w:rPr>
            </w:pPr>
          </w:p>
        </w:tc>
      </w:tr>
      <w:tr>
        <w:trPr>
          <w:trHeight w:val="35"/>
        </w:trPr>
        <w:tc>
          <w:tcPr>
            <w:tcW w:w="520" w:type="dxa"/>
            <w:vAlign w:val="bottom"/>
            <w:tcBorders>
              <w:bottom w:val="single" w:sz="8" w:color="017B52"/>
            </w:tcBorders>
          </w:tcPr>
          <w:p>
            <w:pPr>
              <w:spacing w:after="0"/>
              <w:rPr>
                <w:sz w:val="3"/>
                <w:szCs w:val="3"/>
                <w:color w:val="auto"/>
              </w:rPr>
            </w:pPr>
          </w:p>
        </w:tc>
        <w:tc>
          <w:tcPr>
            <w:tcW w:w="1080" w:type="dxa"/>
            <w:vAlign w:val="bottom"/>
            <w:tcBorders>
              <w:bottom w:val="single" w:sz="8" w:color="017B52"/>
            </w:tcBorders>
          </w:tcPr>
          <w:p>
            <w:pPr>
              <w:spacing w:after="0"/>
              <w:rPr>
                <w:sz w:val="3"/>
                <w:szCs w:val="3"/>
                <w:color w:val="auto"/>
              </w:rPr>
            </w:pPr>
          </w:p>
        </w:tc>
        <w:tc>
          <w:tcPr>
            <w:tcW w:w="10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1460" w:type="dxa"/>
            <w:vAlign w:val="bottom"/>
            <w:tcBorders>
              <w:bottom w:val="single" w:sz="8" w:color="017B52"/>
            </w:tcBorders>
          </w:tcPr>
          <w:p>
            <w:pPr>
              <w:spacing w:after="0"/>
              <w:rPr>
                <w:sz w:val="3"/>
                <w:szCs w:val="3"/>
                <w:color w:val="auto"/>
              </w:rPr>
            </w:pPr>
          </w:p>
        </w:tc>
        <w:tc>
          <w:tcPr>
            <w:tcW w:w="780" w:type="dxa"/>
            <w:vAlign w:val="bottom"/>
            <w:tcBorders>
              <w:bottom w:val="single" w:sz="8" w:color="017B52"/>
            </w:tcBorders>
          </w:tcPr>
          <w:p>
            <w:pPr>
              <w:spacing w:after="0"/>
              <w:rPr>
                <w:sz w:val="3"/>
                <w:szCs w:val="3"/>
                <w:color w:val="auto"/>
              </w:rPr>
            </w:pPr>
          </w:p>
        </w:tc>
        <w:tc>
          <w:tcPr>
            <w:tcW w:w="940" w:type="dxa"/>
            <w:vAlign w:val="bottom"/>
            <w:tcBorders>
              <w:bottom w:val="single" w:sz="8" w:color="017B52"/>
            </w:tcBorders>
          </w:tcPr>
          <w:p>
            <w:pPr>
              <w:spacing w:after="0"/>
              <w:rPr>
                <w:sz w:val="3"/>
                <w:szCs w:val="3"/>
                <w:color w:val="auto"/>
              </w:rPr>
            </w:pPr>
          </w:p>
        </w:tc>
        <w:tc>
          <w:tcPr>
            <w:tcW w:w="1020" w:type="dxa"/>
            <w:vAlign w:val="bottom"/>
            <w:tcBorders>
              <w:bottom w:val="single" w:sz="8" w:color="017B52"/>
            </w:tcBorders>
          </w:tcPr>
          <w:p>
            <w:pPr>
              <w:spacing w:after="0"/>
              <w:rPr>
                <w:sz w:val="3"/>
                <w:szCs w:val="3"/>
                <w:color w:val="auto"/>
              </w:rPr>
            </w:pPr>
          </w:p>
        </w:tc>
        <w:tc>
          <w:tcPr>
            <w:tcW w:w="1080" w:type="dxa"/>
            <w:vAlign w:val="bottom"/>
            <w:tcBorders>
              <w:bottom w:val="single" w:sz="8" w:color="017B52"/>
            </w:tcBorders>
          </w:tcPr>
          <w:p>
            <w:pPr>
              <w:spacing w:after="0"/>
              <w:rPr>
                <w:sz w:val="3"/>
                <w:szCs w:val="3"/>
                <w:color w:val="auto"/>
              </w:rPr>
            </w:pPr>
          </w:p>
        </w:tc>
        <w:tc>
          <w:tcPr>
            <w:tcW w:w="0" w:type="dxa"/>
            <w:vAlign w:val="bottom"/>
          </w:tcPr>
          <w:p>
            <w:pPr>
              <w:spacing w:after="0"/>
              <w:rPr>
                <w:sz w:val="1"/>
                <w:szCs w:val="1"/>
                <w:color w:val="auto"/>
              </w:rPr>
            </w:pPr>
          </w:p>
        </w:tc>
      </w:tr>
      <w:tr>
        <w:trPr>
          <w:trHeight w:val="381"/>
        </w:trPr>
        <w:tc>
          <w:tcPr>
            <w:tcW w:w="52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2023</w:t>
            </w:r>
            <w:r>
              <w:rPr>
                <w:rFonts w:ascii="Arial" w:cs="Arial" w:eastAsia="Arial" w:hAnsi="Arial"/>
                <w:sz w:val="20"/>
                <w:szCs w:val="20"/>
                <w:b w:val="1"/>
                <w:bCs w:val="1"/>
                <w:color w:val="017B52"/>
                <w:vertAlign w:val="superscript"/>
              </w:rPr>
              <w:t>(7)</w:t>
            </w:r>
          </w:p>
        </w:tc>
        <w:tc>
          <w:tcPr>
            <w:tcW w:w="1080" w:type="dxa"/>
            <w:vAlign w:val="bottom"/>
            <w:tcBorders>
              <w:bottom w:val="single" w:sz="8" w:color="017B52"/>
            </w:tcBorders>
          </w:tcPr>
          <w:p>
            <w:pPr>
              <w:jc w:val="right"/>
              <w:ind w:right="18"/>
              <w:spacing w:after="0"/>
              <w:rPr>
                <w:sz w:val="20"/>
                <w:szCs w:val="20"/>
                <w:color w:val="auto"/>
              </w:rPr>
            </w:pPr>
            <w:r>
              <w:rPr>
                <w:rFonts w:ascii="Arial" w:cs="Arial" w:eastAsia="Arial" w:hAnsi="Arial"/>
                <w:sz w:val="14"/>
                <w:szCs w:val="14"/>
                <w:color w:val="auto"/>
              </w:rPr>
              <w:t>$8,454,535</w:t>
            </w:r>
          </w:p>
        </w:tc>
        <w:tc>
          <w:tcPr>
            <w:tcW w:w="106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$25,887,887</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$2,972,776</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$8,562,233</w:t>
            </w:r>
          </w:p>
        </w:tc>
        <w:tc>
          <w:tcPr>
            <w:tcW w:w="780" w:type="dxa"/>
            <w:vAlign w:val="bottom"/>
            <w:tcBorders>
              <w:bottom w:val="single" w:sz="8" w:color="017B52"/>
            </w:tcBorders>
          </w:tcPr>
          <w:p>
            <w:pPr>
              <w:jc w:val="right"/>
              <w:ind w:right="39"/>
              <w:spacing w:after="0"/>
              <w:rPr>
                <w:sz w:val="20"/>
                <w:szCs w:val="20"/>
                <w:color w:val="auto"/>
              </w:rPr>
            </w:pPr>
            <w:r>
              <w:rPr>
                <w:rFonts w:ascii="Arial" w:cs="Arial" w:eastAsia="Arial" w:hAnsi="Arial"/>
                <w:sz w:val="14"/>
                <w:szCs w:val="14"/>
                <w:color w:val="auto"/>
              </w:rPr>
              <w:t>$268</w:t>
            </w:r>
          </w:p>
        </w:tc>
        <w:tc>
          <w:tcPr>
            <w:tcW w:w="94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$198</w:t>
            </w:r>
          </w:p>
        </w:tc>
        <w:tc>
          <w:tcPr>
            <w:tcW w:w="102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$514</w:t>
            </w:r>
          </w:p>
        </w:tc>
        <w:tc>
          <w:tcPr>
            <w:tcW w:w="10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385"/>
        </w:trPr>
        <w:tc>
          <w:tcPr>
            <w:tcW w:w="52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2022</w:t>
            </w:r>
            <w:r>
              <w:rPr>
                <w:rFonts w:ascii="Arial" w:cs="Arial" w:eastAsia="Arial" w:hAnsi="Arial"/>
                <w:sz w:val="20"/>
                <w:szCs w:val="20"/>
                <w:b w:val="1"/>
                <w:bCs w:val="1"/>
                <w:color w:val="017B52"/>
                <w:vertAlign w:val="superscript"/>
              </w:rPr>
              <w:t>(7)</w:t>
            </w:r>
          </w:p>
        </w:tc>
        <w:tc>
          <w:tcPr>
            <w:tcW w:w="1080" w:type="dxa"/>
            <w:vAlign w:val="bottom"/>
            <w:tcBorders>
              <w:bottom w:val="single" w:sz="8" w:color="017B52"/>
            </w:tcBorders>
          </w:tcPr>
          <w:p>
            <w:pPr>
              <w:jc w:val="right"/>
              <w:ind w:right="18"/>
              <w:spacing w:after="0"/>
              <w:rPr>
                <w:sz w:val="20"/>
                <w:szCs w:val="20"/>
                <w:color w:val="auto"/>
              </w:rPr>
            </w:pPr>
            <w:r>
              <w:rPr>
                <w:rFonts w:ascii="Arial" w:cs="Arial" w:eastAsia="Arial" w:hAnsi="Arial"/>
                <w:sz w:val="14"/>
                <w:szCs w:val="14"/>
                <w:color w:val="auto"/>
              </w:rPr>
              <w:t>$10,299,274</w:t>
            </w:r>
          </w:p>
        </w:tc>
        <w:tc>
          <w:tcPr>
            <w:tcW w:w="106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$8,172,530</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$4,761,045</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$4,448,741</w:t>
            </w:r>
          </w:p>
        </w:tc>
        <w:tc>
          <w:tcPr>
            <w:tcW w:w="780" w:type="dxa"/>
            <w:vAlign w:val="bottom"/>
            <w:tcBorders>
              <w:bottom w:val="single" w:sz="8" w:color="017B52"/>
            </w:tcBorders>
          </w:tcPr>
          <w:p>
            <w:pPr>
              <w:jc w:val="right"/>
              <w:ind w:right="39"/>
              <w:spacing w:after="0"/>
              <w:rPr>
                <w:sz w:val="20"/>
                <w:szCs w:val="20"/>
                <w:color w:val="auto"/>
              </w:rPr>
            </w:pPr>
            <w:r>
              <w:rPr>
                <w:rFonts w:ascii="Arial" w:cs="Arial" w:eastAsia="Arial" w:hAnsi="Arial"/>
                <w:sz w:val="14"/>
                <w:szCs w:val="14"/>
                <w:color w:val="auto"/>
              </w:rPr>
              <w:t>$167</w:t>
            </w:r>
          </w:p>
        </w:tc>
        <w:tc>
          <w:tcPr>
            <w:tcW w:w="94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$119</w:t>
            </w:r>
          </w:p>
        </w:tc>
        <w:tc>
          <w:tcPr>
            <w:tcW w:w="102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$693</w:t>
            </w:r>
          </w:p>
        </w:tc>
        <w:tc>
          <w:tcPr>
            <w:tcW w:w="10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385"/>
        </w:trPr>
        <w:tc>
          <w:tcPr>
            <w:tcW w:w="52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2021</w:t>
            </w:r>
            <w:r>
              <w:rPr>
                <w:rFonts w:ascii="Arial" w:cs="Arial" w:eastAsia="Arial" w:hAnsi="Arial"/>
                <w:sz w:val="20"/>
                <w:szCs w:val="20"/>
                <w:b w:val="1"/>
                <w:bCs w:val="1"/>
                <w:color w:val="017B52"/>
                <w:vertAlign w:val="superscript"/>
              </w:rPr>
              <w:t>(7)</w:t>
            </w:r>
          </w:p>
        </w:tc>
        <w:tc>
          <w:tcPr>
            <w:tcW w:w="1080" w:type="dxa"/>
            <w:vAlign w:val="bottom"/>
            <w:tcBorders>
              <w:bottom w:val="single" w:sz="8" w:color="017B52"/>
            </w:tcBorders>
          </w:tcPr>
          <w:p>
            <w:pPr>
              <w:jc w:val="right"/>
              <w:ind w:right="18"/>
              <w:spacing w:after="0"/>
              <w:rPr>
                <w:sz w:val="20"/>
                <w:szCs w:val="20"/>
                <w:color w:val="auto"/>
              </w:rPr>
            </w:pPr>
            <w:r>
              <w:rPr>
                <w:rFonts w:ascii="Arial" w:cs="Arial" w:eastAsia="Arial" w:hAnsi="Arial"/>
                <w:sz w:val="14"/>
                <w:szCs w:val="14"/>
                <w:color w:val="auto"/>
              </w:rPr>
              <w:t>$9,757,808</w:t>
            </w:r>
          </w:p>
        </w:tc>
        <w:tc>
          <w:tcPr>
            <w:tcW w:w="106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$16,098,142</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$4,728,970</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$7,399,581</w:t>
            </w:r>
          </w:p>
        </w:tc>
        <w:tc>
          <w:tcPr>
            <w:tcW w:w="780" w:type="dxa"/>
            <w:vAlign w:val="bottom"/>
            <w:tcBorders>
              <w:bottom w:val="single" w:sz="8" w:color="017B52"/>
            </w:tcBorders>
          </w:tcPr>
          <w:p>
            <w:pPr>
              <w:jc w:val="right"/>
              <w:ind w:right="39"/>
              <w:spacing w:after="0"/>
              <w:rPr>
                <w:sz w:val="20"/>
                <w:szCs w:val="20"/>
                <w:color w:val="auto"/>
              </w:rPr>
            </w:pPr>
            <w:r>
              <w:rPr>
                <w:rFonts w:ascii="Arial" w:cs="Arial" w:eastAsia="Arial" w:hAnsi="Arial"/>
                <w:sz w:val="14"/>
                <w:szCs w:val="14"/>
                <w:color w:val="auto"/>
              </w:rPr>
              <w:t>$183</w:t>
            </w:r>
          </w:p>
        </w:tc>
        <w:tc>
          <w:tcPr>
            <w:tcW w:w="94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$163</w:t>
            </w:r>
          </w:p>
        </w:tc>
        <w:tc>
          <w:tcPr>
            <w:tcW w:w="102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$536</w:t>
            </w:r>
          </w:p>
        </w:tc>
        <w:tc>
          <w:tcPr>
            <w:tcW w:w="10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385"/>
        </w:trPr>
        <w:tc>
          <w:tcPr>
            <w:tcW w:w="520" w:type="dxa"/>
            <w:vAlign w:val="bottom"/>
            <w:tcBorders>
              <w:bottom w:val="single" w:sz="8" w:color="017B52"/>
            </w:tcBorders>
          </w:tcPr>
          <w:p>
            <w:pPr>
              <w:ind w:left="40"/>
              <w:spacing w:after="0"/>
              <w:rPr>
                <w:sz w:val="20"/>
                <w:szCs w:val="20"/>
                <w:color w:val="auto"/>
              </w:rPr>
            </w:pPr>
            <w:r>
              <w:rPr>
                <w:rFonts w:ascii="Arial" w:cs="Arial" w:eastAsia="Arial" w:hAnsi="Arial"/>
                <w:sz w:val="13"/>
                <w:szCs w:val="13"/>
                <w:b w:val="1"/>
                <w:bCs w:val="1"/>
                <w:color w:val="017B52"/>
              </w:rPr>
              <w:t>2020</w:t>
            </w:r>
            <w:r>
              <w:rPr>
                <w:rFonts w:ascii="Arial" w:cs="Arial" w:eastAsia="Arial" w:hAnsi="Arial"/>
                <w:sz w:val="20"/>
                <w:szCs w:val="20"/>
                <w:b w:val="1"/>
                <w:bCs w:val="1"/>
                <w:color w:val="017B52"/>
                <w:vertAlign w:val="superscript"/>
              </w:rPr>
              <w:t>(7)</w:t>
            </w:r>
          </w:p>
        </w:tc>
        <w:tc>
          <w:tcPr>
            <w:tcW w:w="1080" w:type="dxa"/>
            <w:vAlign w:val="bottom"/>
            <w:tcBorders>
              <w:bottom w:val="single" w:sz="8" w:color="017B52"/>
            </w:tcBorders>
          </w:tcPr>
          <w:p>
            <w:pPr>
              <w:jc w:val="right"/>
              <w:ind w:right="18"/>
              <w:spacing w:after="0"/>
              <w:rPr>
                <w:sz w:val="20"/>
                <w:szCs w:val="20"/>
                <w:color w:val="auto"/>
              </w:rPr>
            </w:pPr>
            <w:r>
              <w:rPr>
                <w:rFonts w:ascii="Arial" w:cs="Arial" w:eastAsia="Arial" w:hAnsi="Arial"/>
                <w:sz w:val="14"/>
                <w:szCs w:val="14"/>
                <w:color w:val="auto"/>
              </w:rPr>
              <w:t>$6,220,661</w:t>
            </w:r>
          </w:p>
        </w:tc>
        <w:tc>
          <w:tcPr>
            <w:tcW w:w="1060" w:type="dxa"/>
            <w:vAlign w:val="bottom"/>
            <w:tcBorders>
              <w:bottom w:val="single" w:sz="8" w:color="017B52"/>
            </w:tcBorders>
          </w:tcPr>
          <w:p>
            <w:pPr>
              <w:jc w:val="right"/>
              <w:ind w:right="17"/>
              <w:spacing w:after="0"/>
              <w:rPr>
                <w:sz w:val="20"/>
                <w:szCs w:val="20"/>
                <w:color w:val="auto"/>
              </w:rPr>
            </w:pPr>
            <w:r>
              <w:rPr>
                <w:rFonts w:ascii="Arial" w:cs="Arial" w:eastAsia="Arial" w:hAnsi="Arial"/>
                <w:sz w:val="14"/>
                <w:szCs w:val="14"/>
                <w:color w:val="auto"/>
              </w:rPr>
              <w:t>$6,430,626</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$3,029,958</w:t>
            </w:r>
          </w:p>
        </w:tc>
        <w:tc>
          <w:tcPr>
            <w:tcW w:w="1460" w:type="dxa"/>
            <w:vAlign w:val="bottom"/>
            <w:tcBorders>
              <w:bottom w:val="single" w:sz="8" w:color="017B52"/>
            </w:tcBorders>
          </w:tcPr>
          <w:p>
            <w:pPr>
              <w:jc w:val="right"/>
              <w:ind w:right="19"/>
              <w:spacing w:after="0"/>
              <w:rPr>
                <w:sz w:val="20"/>
                <w:szCs w:val="20"/>
                <w:color w:val="auto"/>
              </w:rPr>
            </w:pPr>
            <w:r>
              <w:rPr>
                <w:rFonts w:ascii="Arial" w:cs="Arial" w:eastAsia="Arial" w:hAnsi="Arial"/>
                <w:sz w:val="14"/>
                <w:szCs w:val="14"/>
                <w:color w:val="auto"/>
              </w:rPr>
              <w:t>$3,431,864</w:t>
            </w:r>
          </w:p>
        </w:tc>
        <w:tc>
          <w:tcPr>
            <w:tcW w:w="780" w:type="dxa"/>
            <w:vAlign w:val="bottom"/>
            <w:tcBorders>
              <w:bottom w:val="single" w:sz="8" w:color="017B52"/>
            </w:tcBorders>
          </w:tcPr>
          <w:p>
            <w:pPr>
              <w:jc w:val="right"/>
              <w:ind w:right="39"/>
              <w:spacing w:after="0"/>
              <w:rPr>
                <w:sz w:val="20"/>
                <w:szCs w:val="20"/>
                <w:color w:val="auto"/>
              </w:rPr>
            </w:pPr>
            <w:r>
              <w:rPr>
                <w:rFonts w:ascii="Arial" w:cs="Arial" w:eastAsia="Arial" w:hAnsi="Arial"/>
                <w:sz w:val="14"/>
                <w:szCs w:val="14"/>
                <w:color w:val="auto"/>
              </w:rPr>
              <w:t>$117</w:t>
            </w:r>
          </w:p>
        </w:tc>
        <w:tc>
          <w:tcPr>
            <w:tcW w:w="94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$125</w:t>
            </w:r>
          </w:p>
        </w:tc>
        <w:tc>
          <w:tcPr>
            <w:tcW w:w="1020" w:type="dxa"/>
            <w:vAlign w:val="bottom"/>
            <w:tcBorders>
              <w:bottom w:val="single" w:sz="8" w:color="017B52"/>
            </w:tcBorders>
          </w:tcPr>
          <w:p>
            <w:pPr>
              <w:jc w:val="right"/>
              <w:ind w:right="34"/>
              <w:spacing w:after="0"/>
              <w:rPr>
                <w:sz w:val="20"/>
                <w:szCs w:val="20"/>
                <w:color w:val="auto"/>
              </w:rPr>
            </w:pPr>
            <w:r>
              <w:rPr>
                <w:rFonts w:ascii="Arial" w:cs="Arial" w:eastAsia="Arial" w:hAnsi="Arial"/>
                <w:sz w:val="14"/>
                <w:szCs w:val="14"/>
                <w:color w:val="auto"/>
              </w:rPr>
              <w:t>$247</w:t>
            </w:r>
          </w:p>
        </w:tc>
        <w:tc>
          <w:tcPr>
            <w:tcW w:w="108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hanging="354"/>
        <w:spacing w:after="0"/>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Matthew Missad served as our CEO for the entirety of 2023, 2022, 2021 and 2020.</w:t>
      </w:r>
    </w:p>
    <w:p>
      <w:pPr>
        <w:spacing w:after="0" w:line="80" w:lineRule="exact"/>
        <w:rPr>
          <w:rFonts w:ascii="Arial" w:cs="Arial" w:eastAsia="Arial" w:hAnsi="Arial"/>
          <w:sz w:val="13"/>
          <w:szCs w:val="13"/>
          <w:color w:val="333333"/>
        </w:rPr>
      </w:pPr>
    </w:p>
    <w:p>
      <w:pPr>
        <w:ind w:left="360" w:hanging="354"/>
        <w:spacing w:after="0"/>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The NEOs included in this calculation for each year are:</w:t>
      </w:r>
    </w:p>
    <w:p>
      <w:pPr>
        <w:spacing w:after="0" w:line="134" w:lineRule="exact"/>
        <w:rPr>
          <w:rFonts w:ascii="Arial" w:cs="Arial" w:eastAsia="Arial" w:hAnsi="Arial"/>
          <w:sz w:val="13"/>
          <w:szCs w:val="13"/>
          <w:color w:val="333333"/>
        </w:rPr>
      </w:pPr>
    </w:p>
    <w:p>
      <w:pPr>
        <w:jc w:val="both"/>
        <w:ind w:left="360" w:right="4680"/>
        <w:spacing w:after="0" w:line="422" w:lineRule="auto"/>
        <w:rPr>
          <w:rFonts w:ascii="Arial" w:cs="Arial" w:eastAsia="Arial" w:hAnsi="Arial"/>
          <w:sz w:val="13"/>
          <w:szCs w:val="13"/>
          <w:color w:val="333333"/>
        </w:rPr>
      </w:pPr>
      <w:r>
        <w:rPr>
          <w:rFonts w:ascii="Arial" w:cs="Arial" w:eastAsia="Arial" w:hAnsi="Arial"/>
          <w:sz w:val="12"/>
          <w:szCs w:val="12"/>
          <w:color w:val="333333"/>
        </w:rPr>
        <w:t>2023 – Patrick Benton, Michael Cole, Scott Worthington and William Schwartz 2022 – Patrick Benton, Michael Cole, Patrick Webster, and Scott Worthington 2021 – Patrick Benton, Michael Cole, Patrick Webster, and Scott Worthington</w:t>
      </w:r>
    </w:p>
    <w:p>
      <w:pPr>
        <w:spacing w:after="0" w:line="1" w:lineRule="exact"/>
        <w:rPr>
          <w:rFonts w:ascii="Arial" w:cs="Arial" w:eastAsia="Arial" w:hAnsi="Arial"/>
          <w:sz w:val="13"/>
          <w:szCs w:val="13"/>
          <w:color w:val="333333"/>
        </w:rPr>
      </w:pPr>
    </w:p>
    <w:p>
      <w:pPr>
        <w:ind w:left="360" w:hanging="354"/>
        <w:spacing w:after="0"/>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This comparison assumes $100 was invested on Dec 28, 2019 in our common stock and in an index of our peers.</w:t>
      </w:r>
    </w:p>
    <w:p>
      <w:pPr>
        <w:spacing w:after="0" w:line="53" w:lineRule="exact"/>
        <w:rPr>
          <w:rFonts w:ascii="Arial" w:cs="Arial" w:eastAsia="Arial" w:hAnsi="Arial"/>
          <w:sz w:val="13"/>
          <w:szCs w:val="13"/>
          <w:color w:val="333333"/>
        </w:rPr>
      </w:pPr>
    </w:p>
    <w:p>
      <w:pPr>
        <w:ind w:left="360" w:hanging="354"/>
        <w:spacing w:after="0" w:line="229" w:lineRule="auto"/>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Represents the weighted peer group TSR, weighted according to the respective companies’ stock market capitalization as of December 28, 2019. The peer group used for this purpose is our self-determined industry peer group as disclosed in our annual report. This peer group is as follows: American Woodmark Corporation, Louisiana-Pacific Corporation, Masco Corporation, Boise Cascade Company, Patrick Industries, Inc., Builders FirstSource, Inc., Simpson Manufacturing Company, Inc., Sonoco Products Company, Gibraltar Industries, Inc., Trex Company, Inc., Greif, Inc., and WestRock Company.</w:t>
      </w:r>
    </w:p>
    <w:p>
      <w:pPr>
        <w:spacing w:after="0" w:line="63" w:lineRule="exact"/>
        <w:rPr>
          <w:rFonts w:ascii="Arial" w:cs="Arial" w:eastAsia="Arial" w:hAnsi="Arial"/>
          <w:sz w:val="13"/>
          <w:szCs w:val="13"/>
          <w:color w:val="333333"/>
        </w:rPr>
      </w:pPr>
    </w:p>
    <w:p>
      <w:pPr>
        <w:ind w:left="360" w:hanging="354"/>
        <w:spacing w:after="0"/>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The dollar amounts reported represent the net income reflected in the company’s audited consolidated financial statements for the applicable year.</w:t>
      </w:r>
    </w:p>
    <w:p>
      <w:pPr>
        <w:spacing w:after="0" w:line="80" w:lineRule="exact"/>
        <w:rPr>
          <w:rFonts w:ascii="Arial" w:cs="Arial" w:eastAsia="Arial" w:hAnsi="Arial"/>
          <w:sz w:val="13"/>
          <w:szCs w:val="13"/>
          <w:color w:val="333333"/>
        </w:rPr>
      </w:pPr>
    </w:p>
    <w:p>
      <w:pPr>
        <w:ind w:left="360" w:right="140" w:hanging="354"/>
        <w:spacing w:after="0" w:line="229" w:lineRule="auto"/>
        <w:tabs>
          <w:tab w:leader="none" w:pos="360" w:val="left"/>
        </w:tabs>
        <w:numPr>
          <w:ilvl w:val="0"/>
          <w:numId w:val="38"/>
        </w:numPr>
        <w:rPr>
          <w:rFonts w:ascii="Arial" w:cs="Arial" w:eastAsia="Arial" w:hAnsi="Arial"/>
          <w:sz w:val="13"/>
          <w:szCs w:val="13"/>
          <w:color w:val="333333"/>
        </w:rPr>
      </w:pPr>
      <w:r>
        <w:rPr>
          <w:rFonts w:ascii="Arial" w:cs="Arial" w:eastAsia="Arial" w:hAnsi="Arial"/>
          <w:sz w:val="13"/>
          <w:szCs w:val="13"/>
          <w:color w:val="333333"/>
        </w:rPr>
        <w:t>PBOP represents pre-incentive compensation operating profit of each plant, region/business unit, segment as well as Corporate. 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50" w:lineRule="exact"/>
        <w:rPr>
          <w:rFonts w:ascii="Arial" w:cs="Arial" w:eastAsia="Arial" w:hAnsi="Arial"/>
          <w:sz w:val="13"/>
          <w:szCs w:val="13"/>
          <w:color w:val="333333"/>
        </w:rPr>
      </w:pPr>
    </w:p>
    <w:p>
      <w:pPr>
        <w:ind w:left="360" w:right="160" w:hanging="354"/>
        <w:spacing w:after="0" w:line="251" w:lineRule="auto"/>
        <w:tabs>
          <w:tab w:leader="none" w:pos="360" w:val="left"/>
        </w:tabs>
        <w:numPr>
          <w:ilvl w:val="0"/>
          <w:numId w:val="38"/>
        </w:numPr>
        <w:rPr>
          <w:rFonts w:ascii="Arial" w:cs="Arial" w:eastAsia="Arial" w:hAnsi="Arial"/>
          <w:sz w:val="12"/>
          <w:szCs w:val="12"/>
          <w:color w:val="333333"/>
        </w:rPr>
      </w:pPr>
      <w:r>
        <w:rPr>
          <w:rFonts w:ascii="Arial" w:cs="Arial" w:eastAsia="Arial" w:hAnsi="Arial"/>
          <w:sz w:val="12"/>
          <w:szCs w:val="12"/>
          <w:color w:val="333333"/>
        </w:rPr>
        <w:t>The table below sets forth each of the amounts required by SEC rule to be deducted from and added to the amount of total compensation as reflected in the Summary Compensation Table, to calculate Compensation Actually Paid. Because the PSUs are earned based on specified performance-criteria, in computing these amounts with respect to PSUs, total fair value (FV) as of year-end is based on the expected payout of the PSUs using data through year-end. There were no other assumptions made in the valuation of equity awards that differs materially from those disclosed as of the grant date of such equity awards.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42</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9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9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95"/>
        </w:trPr>
        <w:tc>
          <w:tcPr>
            <w:tcW w:w="800" w:type="dxa"/>
            <w:vAlign w:val="bottom"/>
          </w:tcPr>
          <w:p>
            <w:pPr>
              <w:spacing w:after="0"/>
              <w:rPr>
                <w:sz w:val="8"/>
                <w:szCs w:val="8"/>
                <w:color w:val="auto"/>
              </w:rPr>
            </w:pPr>
          </w:p>
        </w:tc>
        <w:tc>
          <w:tcPr>
            <w:tcW w:w="3020" w:type="dxa"/>
            <w:vAlign w:val="bottom"/>
            <w:tcBorders>
              <w:bottom w:val="single" w:sz="8" w:color="017B52"/>
            </w:tcBorders>
          </w:tcPr>
          <w:p>
            <w:pPr>
              <w:spacing w:after="0"/>
              <w:rPr>
                <w:sz w:val="8"/>
                <w:szCs w:val="8"/>
                <w:color w:val="auto"/>
              </w:rPr>
            </w:pPr>
          </w:p>
        </w:tc>
        <w:tc>
          <w:tcPr>
            <w:tcW w:w="1240" w:type="dxa"/>
            <w:vAlign w:val="bottom"/>
            <w:tcBorders>
              <w:bottom w:val="single" w:sz="8" w:color="017B52"/>
            </w:tcBorders>
          </w:tcPr>
          <w:p>
            <w:pPr>
              <w:spacing w:after="0"/>
              <w:rPr>
                <w:sz w:val="8"/>
                <w:szCs w:val="8"/>
                <w:color w:val="auto"/>
              </w:rPr>
            </w:pPr>
          </w:p>
        </w:tc>
        <w:tc>
          <w:tcPr>
            <w:tcW w:w="920" w:type="dxa"/>
            <w:vAlign w:val="bottom"/>
            <w:tcBorders>
              <w:bottom w:val="single" w:sz="8" w:color="017B52"/>
            </w:tcBorders>
          </w:tcPr>
          <w:p>
            <w:pPr>
              <w:spacing w:after="0"/>
              <w:rPr>
                <w:sz w:val="8"/>
                <w:szCs w:val="8"/>
                <w:color w:val="auto"/>
              </w:rPr>
            </w:pPr>
          </w:p>
        </w:tc>
        <w:tc>
          <w:tcPr>
            <w:tcW w:w="1240" w:type="dxa"/>
            <w:vAlign w:val="bottom"/>
            <w:tcBorders>
              <w:bottom w:val="single" w:sz="8" w:color="017B52"/>
            </w:tcBorders>
          </w:tcPr>
          <w:p>
            <w:pPr>
              <w:spacing w:after="0"/>
              <w:rPr>
                <w:sz w:val="8"/>
                <w:szCs w:val="8"/>
                <w:color w:val="auto"/>
              </w:rPr>
            </w:pPr>
          </w:p>
        </w:tc>
        <w:tc>
          <w:tcPr>
            <w:tcW w:w="940" w:type="dxa"/>
            <w:vAlign w:val="bottom"/>
            <w:tcBorders>
              <w:bottom w:val="single" w:sz="8" w:color="017B52"/>
            </w:tcBorders>
          </w:tcPr>
          <w:p>
            <w:pPr>
              <w:spacing w:after="0"/>
              <w:rPr>
                <w:sz w:val="8"/>
                <w:szCs w:val="8"/>
                <w:color w:val="auto"/>
              </w:rPr>
            </w:pPr>
          </w:p>
        </w:tc>
        <w:tc>
          <w:tcPr>
            <w:tcW w:w="1260" w:type="dxa"/>
            <w:vAlign w:val="bottom"/>
            <w:tcBorders>
              <w:bottom w:val="single" w:sz="8" w:color="017B52"/>
            </w:tcBorders>
          </w:tcPr>
          <w:p>
            <w:pPr>
              <w:spacing w:after="0"/>
              <w:rPr>
                <w:sz w:val="8"/>
                <w:szCs w:val="8"/>
                <w:color w:val="auto"/>
              </w:rPr>
            </w:pPr>
          </w:p>
        </w:tc>
        <w:tc>
          <w:tcPr>
            <w:tcW w:w="780" w:type="dxa"/>
            <w:vAlign w:val="bottom"/>
            <w:tcBorders>
              <w:bottom w:val="single" w:sz="8" w:color="017B52"/>
            </w:tcBorders>
          </w:tcPr>
          <w:p>
            <w:pPr>
              <w:spacing w:after="0"/>
              <w:rPr>
                <w:sz w:val="8"/>
                <w:szCs w:val="8"/>
                <w:color w:val="auto"/>
              </w:rPr>
            </w:pPr>
          </w:p>
        </w:tc>
        <w:tc>
          <w:tcPr>
            <w:tcW w:w="820" w:type="dxa"/>
            <w:vAlign w:val="bottom"/>
          </w:tcPr>
          <w:p>
            <w:pPr>
              <w:spacing w:after="0"/>
              <w:rPr>
                <w:sz w:val="8"/>
                <w:szCs w:val="8"/>
                <w:color w:val="auto"/>
              </w:rPr>
            </w:pPr>
          </w:p>
        </w:tc>
      </w:tr>
      <w:tr>
        <w:trPr>
          <w:trHeight w:val="210"/>
        </w:trPr>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1"/>
                <w:szCs w:val="11"/>
                <w:b w:val="1"/>
                <w:bCs w:val="1"/>
                <w:color w:val="auto"/>
              </w:rPr>
              <w:t>OTHER NEOS</w:t>
            </w:r>
          </w:p>
        </w:tc>
        <w:tc>
          <w:tcPr>
            <w:tcW w:w="124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1"/>
                <w:szCs w:val="11"/>
                <w:b w:val="1"/>
                <w:bCs w:val="1"/>
                <w:color w:val="auto"/>
              </w:rPr>
              <w:t>OTHER NEOS</w:t>
            </w:r>
          </w:p>
        </w:tc>
        <w:tc>
          <w:tcPr>
            <w:tcW w:w="126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1"/>
                <w:szCs w:val="11"/>
                <w:b w:val="1"/>
                <w:bCs w:val="1"/>
                <w:color w:val="auto"/>
              </w:rPr>
              <w:t>OTHER NEOS</w:t>
            </w:r>
          </w:p>
        </w:tc>
      </w:tr>
      <w:tr>
        <w:trPr>
          <w:trHeight w:val="148"/>
        </w:trPr>
        <w:tc>
          <w:tcPr>
            <w:tcW w:w="8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40" w:type="dxa"/>
            <w:vAlign w:val="bottom"/>
          </w:tcPr>
          <w:p>
            <w:pPr>
              <w:jc w:val="right"/>
              <w:ind w:right="491"/>
              <w:spacing w:after="0"/>
              <w:rPr>
                <w:sz w:val="20"/>
                <w:szCs w:val="20"/>
                <w:color w:val="auto"/>
              </w:rPr>
            </w:pPr>
            <w:r>
              <w:rPr>
                <w:rFonts w:ascii="Arial" w:cs="Arial" w:eastAsia="Arial" w:hAnsi="Arial"/>
                <w:sz w:val="11"/>
                <w:szCs w:val="11"/>
                <w:b w:val="1"/>
                <w:bCs w:val="1"/>
                <w:color w:val="auto"/>
              </w:rPr>
              <w:t>CEO</w:t>
            </w:r>
          </w:p>
        </w:tc>
        <w:tc>
          <w:tcPr>
            <w:tcW w:w="920" w:type="dxa"/>
            <w:vAlign w:val="bottom"/>
          </w:tcPr>
          <w:p>
            <w:pPr>
              <w:jc w:val="right"/>
              <w:ind w:right="191"/>
              <w:spacing w:after="0"/>
              <w:rPr>
                <w:sz w:val="20"/>
                <w:szCs w:val="20"/>
                <w:color w:val="auto"/>
              </w:rPr>
            </w:pPr>
            <w:r>
              <w:rPr>
                <w:rFonts w:ascii="Arial" w:cs="Arial" w:eastAsia="Arial" w:hAnsi="Arial"/>
                <w:sz w:val="11"/>
                <w:szCs w:val="11"/>
                <w:b w:val="1"/>
                <w:bCs w:val="1"/>
                <w:color w:val="auto"/>
              </w:rPr>
              <w:t>AVERAGE</w:t>
            </w:r>
          </w:p>
        </w:tc>
        <w:tc>
          <w:tcPr>
            <w:tcW w:w="1240" w:type="dxa"/>
            <w:vAlign w:val="bottom"/>
          </w:tcPr>
          <w:p>
            <w:pPr>
              <w:jc w:val="right"/>
              <w:ind w:right="491"/>
              <w:spacing w:after="0"/>
              <w:rPr>
                <w:sz w:val="20"/>
                <w:szCs w:val="20"/>
                <w:color w:val="auto"/>
              </w:rPr>
            </w:pPr>
            <w:r>
              <w:rPr>
                <w:rFonts w:ascii="Arial" w:cs="Arial" w:eastAsia="Arial" w:hAnsi="Arial"/>
                <w:sz w:val="11"/>
                <w:szCs w:val="11"/>
                <w:b w:val="1"/>
                <w:bCs w:val="1"/>
                <w:color w:val="auto"/>
              </w:rPr>
              <w:t>CEO</w:t>
            </w:r>
          </w:p>
        </w:tc>
        <w:tc>
          <w:tcPr>
            <w:tcW w:w="940" w:type="dxa"/>
            <w:vAlign w:val="bottom"/>
          </w:tcPr>
          <w:p>
            <w:pPr>
              <w:jc w:val="right"/>
              <w:ind w:right="191"/>
              <w:spacing w:after="0"/>
              <w:rPr>
                <w:sz w:val="20"/>
                <w:szCs w:val="20"/>
                <w:color w:val="auto"/>
              </w:rPr>
            </w:pPr>
            <w:r>
              <w:rPr>
                <w:rFonts w:ascii="Arial" w:cs="Arial" w:eastAsia="Arial" w:hAnsi="Arial"/>
                <w:sz w:val="11"/>
                <w:szCs w:val="11"/>
                <w:b w:val="1"/>
                <w:bCs w:val="1"/>
                <w:color w:val="auto"/>
              </w:rPr>
              <w:t>AVERAGE</w:t>
            </w:r>
          </w:p>
        </w:tc>
        <w:tc>
          <w:tcPr>
            <w:tcW w:w="1260" w:type="dxa"/>
            <w:vAlign w:val="bottom"/>
          </w:tcPr>
          <w:p>
            <w:pPr>
              <w:jc w:val="right"/>
              <w:ind w:right="511"/>
              <w:spacing w:after="0"/>
              <w:rPr>
                <w:sz w:val="20"/>
                <w:szCs w:val="20"/>
                <w:color w:val="auto"/>
              </w:rPr>
            </w:pPr>
            <w:r>
              <w:rPr>
                <w:rFonts w:ascii="Arial" w:cs="Arial" w:eastAsia="Arial" w:hAnsi="Arial"/>
                <w:sz w:val="11"/>
                <w:szCs w:val="11"/>
                <w:b w:val="1"/>
                <w:bCs w:val="1"/>
                <w:color w:val="auto"/>
              </w:rPr>
              <w:t>CEO</w:t>
            </w:r>
          </w:p>
        </w:tc>
        <w:tc>
          <w:tcPr>
            <w:tcW w:w="160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AVERAGE</w:t>
            </w:r>
          </w:p>
        </w:tc>
      </w:tr>
      <w:tr>
        <w:trPr>
          <w:trHeight w:val="95"/>
        </w:trPr>
        <w:tc>
          <w:tcPr>
            <w:tcW w:w="800" w:type="dxa"/>
            <w:vAlign w:val="bottom"/>
          </w:tcPr>
          <w:p>
            <w:pPr>
              <w:spacing w:after="0"/>
              <w:rPr>
                <w:sz w:val="8"/>
                <w:szCs w:val="8"/>
                <w:color w:val="auto"/>
              </w:rPr>
            </w:pPr>
          </w:p>
        </w:tc>
        <w:tc>
          <w:tcPr>
            <w:tcW w:w="3020" w:type="dxa"/>
            <w:vAlign w:val="bottom"/>
            <w:tcBorders>
              <w:bottom w:val="single" w:sz="8" w:color="017B52"/>
            </w:tcBorders>
          </w:tcPr>
          <w:p>
            <w:pPr>
              <w:spacing w:after="0"/>
              <w:rPr>
                <w:sz w:val="8"/>
                <w:szCs w:val="8"/>
                <w:color w:val="auto"/>
              </w:rPr>
            </w:pPr>
          </w:p>
        </w:tc>
        <w:tc>
          <w:tcPr>
            <w:tcW w:w="1240" w:type="dxa"/>
            <w:vAlign w:val="bottom"/>
            <w:tcBorders>
              <w:bottom w:val="single" w:sz="8" w:color="017B52"/>
            </w:tcBorders>
          </w:tcPr>
          <w:p>
            <w:pPr>
              <w:spacing w:after="0"/>
              <w:rPr>
                <w:sz w:val="8"/>
                <w:szCs w:val="8"/>
                <w:color w:val="auto"/>
              </w:rPr>
            </w:pPr>
          </w:p>
        </w:tc>
        <w:tc>
          <w:tcPr>
            <w:tcW w:w="920" w:type="dxa"/>
            <w:vAlign w:val="bottom"/>
            <w:tcBorders>
              <w:bottom w:val="single" w:sz="8" w:color="017B52"/>
            </w:tcBorders>
          </w:tcPr>
          <w:p>
            <w:pPr>
              <w:spacing w:after="0"/>
              <w:rPr>
                <w:sz w:val="8"/>
                <w:szCs w:val="8"/>
                <w:color w:val="auto"/>
              </w:rPr>
            </w:pPr>
          </w:p>
        </w:tc>
        <w:tc>
          <w:tcPr>
            <w:tcW w:w="1240" w:type="dxa"/>
            <w:vAlign w:val="bottom"/>
            <w:tcBorders>
              <w:bottom w:val="single" w:sz="8" w:color="017B52"/>
            </w:tcBorders>
          </w:tcPr>
          <w:p>
            <w:pPr>
              <w:spacing w:after="0"/>
              <w:rPr>
                <w:sz w:val="8"/>
                <w:szCs w:val="8"/>
                <w:color w:val="auto"/>
              </w:rPr>
            </w:pPr>
          </w:p>
        </w:tc>
        <w:tc>
          <w:tcPr>
            <w:tcW w:w="940" w:type="dxa"/>
            <w:vAlign w:val="bottom"/>
            <w:tcBorders>
              <w:bottom w:val="single" w:sz="8" w:color="017B52"/>
            </w:tcBorders>
          </w:tcPr>
          <w:p>
            <w:pPr>
              <w:spacing w:after="0"/>
              <w:rPr>
                <w:sz w:val="8"/>
                <w:szCs w:val="8"/>
                <w:color w:val="auto"/>
              </w:rPr>
            </w:pPr>
          </w:p>
        </w:tc>
        <w:tc>
          <w:tcPr>
            <w:tcW w:w="1260" w:type="dxa"/>
            <w:vAlign w:val="bottom"/>
            <w:tcBorders>
              <w:bottom w:val="single" w:sz="8" w:color="017B52"/>
            </w:tcBorders>
          </w:tcPr>
          <w:p>
            <w:pPr>
              <w:spacing w:after="0"/>
              <w:rPr>
                <w:sz w:val="8"/>
                <w:szCs w:val="8"/>
                <w:color w:val="auto"/>
              </w:rPr>
            </w:pPr>
          </w:p>
        </w:tc>
        <w:tc>
          <w:tcPr>
            <w:tcW w:w="780" w:type="dxa"/>
            <w:vAlign w:val="bottom"/>
            <w:tcBorders>
              <w:bottom w:val="single" w:sz="8" w:color="017B52"/>
            </w:tcBorders>
          </w:tcPr>
          <w:p>
            <w:pPr>
              <w:spacing w:after="0"/>
              <w:rPr>
                <w:sz w:val="8"/>
                <w:szCs w:val="8"/>
                <w:color w:val="auto"/>
              </w:rPr>
            </w:pPr>
          </w:p>
        </w:tc>
        <w:tc>
          <w:tcPr>
            <w:tcW w:w="820" w:type="dxa"/>
            <w:vAlign w:val="bottom"/>
          </w:tcPr>
          <w:p>
            <w:pPr>
              <w:spacing w:after="0"/>
              <w:rPr>
                <w:sz w:val="8"/>
                <w:szCs w:val="8"/>
                <w:color w:val="auto"/>
              </w:rPr>
            </w:pPr>
          </w:p>
        </w:tc>
      </w:tr>
      <w:tr>
        <w:trPr>
          <w:trHeight w:val="276"/>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Total Compensation for covered</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$8,454,535</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$2,972,776</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$10,299,274</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$4,761,045</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$9,757,808</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$4,728,970</w:t>
            </w:r>
          </w:p>
        </w:tc>
      </w:tr>
      <w:tr>
        <w:trPr>
          <w:trHeight w:val="189"/>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fiscal year (FY) from Summary</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3"/>
        </w:trPr>
        <w:tc>
          <w:tcPr>
            <w:tcW w:w="80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Compensation Table (SCT)</w:t>
            </w: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88"/>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grant date fair value (GDFV) of</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$​5,795,703</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$1,713,776</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$7,697,308</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$3,477,611</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$7,244,629</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$3,579,830</w:t>
            </w: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equity awards reported in SCT</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FV as of FY-end of equity awards</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$11,087,446</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$3,272,452</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$7,108,725</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$3,860,576</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$6,491,406</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$2,900,557</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granted during the year that are outstanding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and unvested as of FY-end</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change as of end of FY in FV of</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$11,526,107</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$3,861,284</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(​$1,647,461)</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($725,974)</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$5,254,494</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$2,603,131</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awards granted in any prior year that are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outstanding and unvested as of FY-end</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change as of the vesting date (from</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$153,440</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$53,592</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($256,368)</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($127,302)</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$1,546,200</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$638,919</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end of prior FY) in FV for any equity awards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granted in any prior year that vested at the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end of or during FY</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FV as of the vesting date for awards</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$91,081</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$89,500</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$22,375</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$135,718</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$33,930</w:t>
            </w: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that are granted and vest in the same FY</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Dividends or other earnings paid on</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$370,981</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$115,905</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$276,168</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$135,631</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$157,145</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$73,904</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stock or option awards in the covered FYY</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prior to the vesting date that are not</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otherwise included in the total compensation</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for the covered FY</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FV at the end of the prior FY for</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awards granted in any prior year that failed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to meet applicable vesting conditions during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FY</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DEDUCT: </w:t>
            </w:r>
            <w:r>
              <w:rPr>
                <w:rFonts w:ascii="Arial" w:cs="Arial" w:eastAsia="Arial" w:hAnsi="Arial"/>
                <w:sz w:val="14"/>
                <w:szCs w:val="14"/>
                <w:color w:val="auto"/>
              </w:rPr>
              <w:t>change in actuarial present</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value of the accumulated benefit under all</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defined benefit and actuarial pension plans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reported in SCT</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81"/>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 xml:space="preserve">ADD: </w:t>
            </w:r>
            <w:r>
              <w:rPr>
                <w:rFonts w:ascii="Arial" w:cs="Arial" w:eastAsia="Arial" w:hAnsi="Arial"/>
                <w:sz w:val="14"/>
                <w:szCs w:val="14"/>
                <w:color w:val="auto"/>
              </w:rPr>
              <w:t>aggregate of (i) pension service cost</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attributable to services rendered during the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FY and (ii) any prior service cost attributable</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to services rendered in prior periods, as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determined under Accounting Standards</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80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rPr>
              <w:t>Codification (ASC) 715</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276"/>
        </w:trPr>
        <w:tc>
          <w:tcPr>
            <w:tcW w:w="80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Compensation Actually Paid (as</w:t>
            </w:r>
          </w:p>
        </w:tc>
        <w:tc>
          <w:tcPr>
            <w:tcW w:w="1240" w:type="dxa"/>
            <w:vAlign w:val="bottom"/>
          </w:tcPr>
          <w:p>
            <w:pPr>
              <w:jc w:val="right"/>
              <w:ind w:right="211"/>
              <w:spacing w:after="0"/>
              <w:rPr>
                <w:sz w:val="20"/>
                <w:szCs w:val="20"/>
                <w:color w:val="auto"/>
              </w:rPr>
            </w:pPr>
            <w:r>
              <w:rPr>
                <w:rFonts w:ascii="Arial" w:cs="Arial" w:eastAsia="Arial" w:hAnsi="Arial"/>
                <w:sz w:val="14"/>
                <w:szCs w:val="14"/>
                <w:color w:val="auto"/>
              </w:rPr>
              <w:t>$​25,887,887</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$8,562,233</w:t>
            </w:r>
          </w:p>
        </w:tc>
        <w:tc>
          <w:tcPr>
            <w:tcW w:w="1240" w:type="dxa"/>
            <w:vAlign w:val="bottom"/>
          </w:tcPr>
          <w:p>
            <w:pPr>
              <w:jc w:val="right"/>
              <w:ind w:right="191"/>
              <w:spacing w:after="0"/>
              <w:rPr>
                <w:sz w:val="20"/>
                <w:szCs w:val="20"/>
                <w:color w:val="auto"/>
              </w:rPr>
            </w:pPr>
            <w:r>
              <w:rPr>
                <w:rFonts w:ascii="Arial" w:cs="Arial" w:eastAsia="Arial" w:hAnsi="Arial"/>
                <w:sz w:val="14"/>
                <w:szCs w:val="14"/>
                <w:color w:val="auto"/>
              </w:rPr>
              <w:t>$8,172,530</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$4,448,741</w:t>
            </w:r>
          </w:p>
        </w:tc>
        <w:tc>
          <w:tcPr>
            <w:tcW w:w="1260" w:type="dxa"/>
            <w:vAlign w:val="bottom"/>
          </w:tcPr>
          <w:p>
            <w:pPr>
              <w:jc w:val="right"/>
              <w:ind w:right="211"/>
              <w:spacing w:after="0"/>
              <w:rPr>
                <w:sz w:val="20"/>
                <w:szCs w:val="20"/>
                <w:color w:val="auto"/>
              </w:rPr>
            </w:pPr>
            <w:r>
              <w:rPr>
                <w:rFonts w:ascii="Arial" w:cs="Arial" w:eastAsia="Arial" w:hAnsi="Arial"/>
                <w:sz w:val="14"/>
                <w:szCs w:val="14"/>
                <w:color w:val="auto"/>
              </w:rPr>
              <w:t>$16,098,142</w:t>
            </w:r>
          </w:p>
        </w:tc>
        <w:tc>
          <w:tcPr>
            <w:tcW w:w="1600" w:type="dxa"/>
            <w:vAlign w:val="bottom"/>
            <w:gridSpan w:val="2"/>
          </w:tcPr>
          <w:p>
            <w:pPr>
              <w:jc w:val="right"/>
              <w:ind w:right="820"/>
              <w:spacing w:after="0"/>
              <w:rPr>
                <w:sz w:val="20"/>
                <w:szCs w:val="20"/>
                <w:color w:val="auto"/>
              </w:rPr>
            </w:pPr>
            <w:r>
              <w:rPr>
                <w:rFonts w:ascii="Arial" w:cs="Arial" w:eastAsia="Arial" w:hAnsi="Arial"/>
                <w:sz w:val="14"/>
                <w:szCs w:val="14"/>
                <w:color w:val="auto"/>
              </w:rPr>
              <w:t>$7,399,581</w:t>
            </w:r>
          </w:p>
        </w:tc>
      </w:tr>
      <w:tr>
        <w:trPr>
          <w:trHeight w:val="223"/>
        </w:trPr>
        <w:tc>
          <w:tcPr>
            <w:tcW w:w="80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defined by SEC rule)</w:t>
            </w: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89"/>
        </w:trPr>
        <w:tc>
          <w:tcPr>
            <w:tcW w:w="800" w:type="dxa"/>
            <w:vAlign w:val="bottom"/>
          </w:tcPr>
          <w:p>
            <w:pPr>
              <w:spacing w:after="0"/>
              <w:rPr>
                <w:sz w:val="7"/>
                <w:szCs w:val="7"/>
                <w:color w:val="auto"/>
              </w:rPr>
            </w:pPr>
          </w:p>
        </w:tc>
        <w:tc>
          <w:tcPr>
            <w:tcW w:w="3020" w:type="dxa"/>
            <w:vAlign w:val="bottom"/>
            <w:tcBorders>
              <w:bottom w:val="single" w:sz="8" w:color="017B52"/>
            </w:tcBorders>
          </w:tcPr>
          <w:p>
            <w:pPr>
              <w:spacing w:after="0"/>
              <w:rPr>
                <w:sz w:val="7"/>
                <w:szCs w:val="7"/>
                <w:color w:val="auto"/>
              </w:rPr>
            </w:pPr>
          </w:p>
        </w:tc>
        <w:tc>
          <w:tcPr>
            <w:tcW w:w="1240" w:type="dxa"/>
            <w:vAlign w:val="bottom"/>
            <w:tcBorders>
              <w:bottom w:val="single" w:sz="8" w:color="017B52"/>
            </w:tcBorders>
          </w:tcPr>
          <w:p>
            <w:pPr>
              <w:spacing w:after="0"/>
              <w:rPr>
                <w:sz w:val="7"/>
                <w:szCs w:val="7"/>
                <w:color w:val="auto"/>
              </w:rPr>
            </w:pPr>
          </w:p>
        </w:tc>
        <w:tc>
          <w:tcPr>
            <w:tcW w:w="2160" w:type="dxa"/>
            <w:vAlign w:val="bottom"/>
            <w:tcBorders>
              <w:bottom w:val="single" w:sz="8" w:color="017B52"/>
            </w:tcBorders>
            <w:gridSpan w:val="2"/>
          </w:tcPr>
          <w:p>
            <w:pPr>
              <w:spacing w:after="0"/>
              <w:rPr>
                <w:sz w:val="7"/>
                <w:szCs w:val="7"/>
                <w:color w:val="auto"/>
              </w:rPr>
            </w:pPr>
          </w:p>
        </w:tc>
        <w:tc>
          <w:tcPr>
            <w:tcW w:w="940" w:type="dxa"/>
            <w:vAlign w:val="bottom"/>
            <w:tcBorders>
              <w:bottom w:val="single" w:sz="8" w:color="017B52"/>
            </w:tcBorders>
          </w:tcPr>
          <w:p>
            <w:pPr>
              <w:spacing w:after="0"/>
              <w:rPr>
                <w:sz w:val="7"/>
                <w:szCs w:val="7"/>
                <w:color w:val="auto"/>
              </w:rPr>
            </w:pPr>
          </w:p>
        </w:tc>
        <w:tc>
          <w:tcPr>
            <w:tcW w:w="1260" w:type="dxa"/>
            <w:vAlign w:val="bottom"/>
            <w:tcBorders>
              <w:bottom w:val="single" w:sz="8" w:color="017B52"/>
            </w:tcBorders>
          </w:tcPr>
          <w:p>
            <w:pPr>
              <w:spacing w:after="0"/>
              <w:rPr>
                <w:sz w:val="7"/>
                <w:szCs w:val="7"/>
                <w:color w:val="auto"/>
              </w:rPr>
            </w:pPr>
          </w:p>
        </w:tc>
        <w:tc>
          <w:tcPr>
            <w:tcW w:w="780" w:type="dxa"/>
            <w:vAlign w:val="bottom"/>
            <w:tcBorders>
              <w:bottom w:val="single" w:sz="8" w:color="017B52"/>
            </w:tcBorders>
          </w:tcPr>
          <w:p>
            <w:pPr>
              <w:spacing w:after="0"/>
              <w:rPr>
                <w:sz w:val="7"/>
                <w:szCs w:val="7"/>
                <w:color w:val="auto"/>
              </w:rPr>
            </w:pPr>
          </w:p>
        </w:tc>
        <w:tc>
          <w:tcPr>
            <w:tcW w:w="820" w:type="dxa"/>
            <w:vAlign w:val="bottom"/>
          </w:tcPr>
          <w:p>
            <w:pPr>
              <w:spacing w:after="0"/>
              <w:rPr>
                <w:sz w:val="7"/>
                <w:szCs w:val="7"/>
                <w:color w:val="auto"/>
              </w:rPr>
            </w:pPr>
          </w:p>
        </w:tc>
      </w:tr>
      <w:tr>
        <w:trPr>
          <w:trHeight w:val="363"/>
        </w:trPr>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UFP Industries </w:t>
            </w:r>
          </w:p>
        </w:tc>
        <w:tc>
          <w:tcPr>
            <w:tcW w:w="2160" w:type="dxa"/>
            <w:vAlign w:val="bottom"/>
            <w:gridSpan w:val="2"/>
          </w:tcPr>
          <w:p>
            <w:pPr>
              <w:jc w:val="right"/>
              <w:ind w:right="251"/>
              <w:spacing w:after="0"/>
              <w:rPr>
                <w:sz w:val="20"/>
                <w:szCs w:val="20"/>
                <w:color w:val="auto"/>
              </w:rPr>
            </w:pPr>
            <w:r>
              <w:rPr>
                <w:rFonts w:ascii="Arial" w:cs="Arial" w:eastAsia="Arial" w:hAnsi="Arial"/>
                <w:sz w:val="13"/>
                <w:szCs w:val="13"/>
                <w:b w:val="1"/>
                <w:bCs w:val="1"/>
                <w:color w:val="auto"/>
                <w:w w:val="98"/>
              </w:rPr>
              <w:t>   43</w:t>
            </w:r>
            <w:r>
              <w:rPr>
                <w:rFonts w:ascii="Arial" w:cs="Arial" w:eastAsia="Arial" w:hAnsi="Arial"/>
                <w:sz w:val="13"/>
                <w:szCs w:val="13"/>
                <w:color w:val="auto"/>
                <w:w w:val="98"/>
              </w:rPr>
              <w:t xml:space="preserve">      2024 Proxy Statement</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Financial Performance Measures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discussed in the Compensation Discussion and Analysis, our executive compensation program and compensation decisions reflect a pay-for-performance philosophy. The metrics used within our incentive plans are selected to support these objectives. As explained in the Compensation Discuss and Analysis, the most important financial performance measure used by the Company to link executive compensation actually paid to the Company’s NEOs for the most recently completed fiscal year to the Company’s performance is pre-bonus operating profit relative to target levels of return on investment.</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graphs below describe the relationship between pay and performance by comparing compensation actually paid to our Chief Executive Officer as well as average actual compensation paid to our non-Chief Executive Officer, Named Executives in relation to our cumulative TSR, peer group TSR, net income and PBOP, as defined in footnote six (6) to the Pay versus Performance table above.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208280</wp:posOffset>
            </wp:positionV>
            <wp:extent cx="5057775" cy="24174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577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216535</wp:posOffset>
            </wp:positionV>
            <wp:extent cx="4817745" cy="2400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177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UFP Industries      44</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Actually Paid and Pre-Bonus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199390</wp:posOffset>
            </wp:positionV>
            <wp:extent cx="4723130" cy="2631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2313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UFP Industries      45</w:t>
      </w:r>
      <w:r>
        <w:rPr>
          <w:rFonts w:ascii="Arial" w:cs="Arial" w:eastAsia="Arial" w:hAnsi="Arial"/>
          <w:sz w:val="12"/>
          <w:szCs w:val="12"/>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129540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Director Compensation</w:t>
      </w:r>
    </w:p>
    <w:p>
      <w:pPr>
        <w:spacing w:after="0" w:line="7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For 2023, each non-employee director received a $60,000 annual cash retainer fee and a $135,000 annual stock retainer fee. In addition, each member of the Audit Committee received $10,000 for serving on that committee, and each member of the Nominating and Corporate Governance Committee and the Personnel and Compensation Committee received $5,000 for serving on those committees. In addition to these committee service fees, the chairperson of the Audit Committee received $20,000, and the chairpersons of the Nominating and Corporate Governance Committee and the Personnel and Compensation Committee each received $10,000. No fees are payable for attendance at either Board or Committee meetings.</w:t>
      </w:r>
    </w:p>
    <w:p>
      <w:pPr>
        <w:spacing w:after="0" w:line="14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Each independent director may participate in the Director Compensation Plan (the “Director Plan”). The annual retainer amounts, both cash (including committee retainers and chairperson fees) and stock consideration, are paid quarterly and either or both (in total or in part) may be deferred in accordance with the Director Plan. Under the terms of the Director Plan, deferred cash is used to purchase Company common stock on a deferred basis at the rate of 110% of the deferred cash amount. No such credit applies to the deferral of the stock portion of the retainer. For 2023, Messrs. Rhodes and Wooldridge, and Ms. Budden participated in the Director Plan and were allocated shares of Company common stock, in lieu of cash fees, in the following amounts:</w:t>
      </w:r>
    </w:p>
    <w:p>
      <w:pPr>
        <w:spacing w:after="0"/>
        <w:rPr>
          <w:sz w:val="20"/>
          <w:szCs w:val="20"/>
          <w:color w:val="auto"/>
        </w:rPr>
      </w:pPr>
      <w:r>
        <w:rPr>
          <w:rFonts w:ascii="Arial" w:cs="Arial" w:eastAsia="Arial" w:hAnsi="Arial"/>
          <w:sz w:val="16"/>
          <w:szCs w:val="16"/>
          <w:color w:val="auto"/>
        </w:rPr>
        <w:t>1,098 shares; 948 shares; and 830 shares, respectively.</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for their service on our Board in 2023.</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Pr>
          <w:p>
            <w:pPr>
              <w:ind w:left="40"/>
              <w:spacing w:after="0"/>
              <w:rPr>
                <w:sz w:val="20"/>
                <w:szCs w:val="20"/>
                <w:color w:val="auto"/>
              </w:rPr>
            </w:pPr>
            <w:r>
              <w:rPr>
                <w:rFonts w:ascii="Arial" w:cs="Arial" w:eastAsia="Arial" w:hAnsi="Arial"/>
                <w:sz w:val="11"/>
                <w:szCs w:val="11"/>
                <w:b w:val="1"/>
                <w:bCs w:val="1"/>
                <w:color w:val="auto"/>
              </w:rPr>
              <w:t>NAMES</w:t>
            </w:r>
          </w:p>
        </w:tc>
        <w:tc>
          <w:tcPr>
            <w:tcW w:w="3480" w:type="dxa"/>
            <w:vAlign w:val="bottom"/>
          </w:tcPr>
          <w:p>
            <w:pPr>
              <w:jc w:val="right"/>
              <w:ind w:right="430"/>
              <w:spacing w:after="0"/>
              <w:rPr>
                <w:sz w:val="20"/>
                <w:szCs w:val="20"/>
                <w:color w:val="auto"/>
              </w:rPr>
            </w:pPr>
            <w:r>
              <w:rPr>
                <w:rFonts w:ascii="Arial" w:cs="Arial" w:eastAsia="Arial" w:hAnsi="Arial"/>
                <w:sz w:val="11"/>
                <w:szCs w:val="11"/>
                <w:b w:val="1"/>
                <w:bCs w:val="1"/>
                <w:color w:val="auto"/>
              </w:rPr>
              <w:t>FEES EARNED OR PAID IN CASH</w:t>
            </w:r>
            <w:r>
              <w:rPr>
                <w:rFonts w:ascii="Arial" w:cs="Arial" w:eastAsia="Arial" w:hAnsi="Arial"/>
                <w:sz w:val="16"/>
                <w:szCs w:val="16"/>
                <w:b w:val="1"/>
                <w:bCs w:val="1"/>
                <w:color w:val="auto"/>
                <w:vertAlign w:val="superscript"/>
              </w:rPr>
              <w:t>(1)</w:t>
            </w:r>
          </w:p>
        </w:tc>
        <w:tc>
          <w:tcPr>
            <w:tcW w:w="1900" w:type="dxa"/>
            <w:vAlign w:val="bottom"/>
          </w:tcPr>
          <w:p>
            <w:pPr>
              <w:jc w:val="right"/>
              <w:ind w:right="450"/>
              <w:spacing w:after="0"/>
              <w:rPr>
                <w:sz w:val="20"/>
                <w:szCs w:val="20"/>
                <w:color w:val="auto"/>
              </w:rPr>
            </w:pPr>
            <w:r>
              <w:rPr>
                <w:rFonts w:ascii="Arial" w:cs="Arial" w:eastAsia="Arial" w:hAnsi="Arial"/>
                <w:sz w:val="11"/>
                <w:szCs w:val="11"/>
                <w:b w:val="1"/>
                <w:bCs w:val="1"/>
                <w:color w:val="auto"/>
              </w:rPr>
              <w:t>STOCK AWARDS</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r>
      <w:tr>
        <w:trPr>
          <w:trHeight w:val="36"/>
        </w:trPr>
        <w:tc>
          <w:tcPr>
            <w:tcW w:w="2900" w:type="dxa"/>
            <w:vAlign w:val="bottom"/>
            <w:tcBorders>
              <w:bottom w:val="single" w:sz="8" w:color="017B52"/>
            </w:tcBorders>
          </w:tcPr>
          <w:p>
            <w:pPr>
              <w:spacing w:after="0"/>
              <w:rPr>
                <w:sz w:val="3"/>
                <w:szCs w:val="3"/>
                <w:color w:val="auto"/>
              </w:rPr>
            </w:pPr>
          </w:p>
        </w:tc>
        <w:tc>
          <w:tcPr>
            <w:tcW w:w="3480" w:type="dxa"/>
            <w:vAlign w:val="bottom"/>
            <w:tcBorders>
              <w:bottom w:val="single" w:sz="8" w:color="017B52"/>
            </w:tcBorders>
          </w:tcPr>
          <w:p>
            <w:pPr>
              <w:spacing w:after="0"/>
              <w:rPr>
                <w:sz w:val="3"/>
                <w:szCs w:val="3"/>
                <w:color w:val="auto"/>
              </w:rPr>
            </w:pPr>
          </w:p>
        </w:tc>
        <w:tc>
          <w:tcPr>
            <w:tcW w:w="1900" w:type="dxa"/>
            <w:vAlign w:val="bottom"/>
            <w:tcBorders>
              <w:bottom w:val="single" w:sz="8" w:color="017B52"/>
            </w:tcBorders>
          </w:tcPr>
          <w:p>
            <w:pPr>
              <w:spacing w:after="0"/>
              <w:rPr>
                <w:sz w:val="3"/>
                <w:szCs w:val="3"/>
                <w:color w:val="auto"/>
              </w:rPr>
            </w:pPr>
          </w:p>
        </w:tc>
        <w:tc>
          <w:tcPr>
            <w:tcW w:w="1120" w:type="dxa"/>
            <w:vAlign w:val="bottom"/>
            <w:tcBorders>
              <w:bottom w:val="single" w:sz="8" w:color="017B52"/>
            </w:tcBorders>
          </w:tcPr>
          <w:p>
            <w:pPr>
              <w:spacing w:after="0"/>
              <w:rPr>
                <w:sz w:val="3"/>
                <w:szCs w:val="3"/>
                <w:color w:val="auto"/>
              </w:rPr>
            </w:pPr>
          </w:p>
        </w:tc>
      </w:tr>
      <w:tr>
        <w:trPr>
          <w:trHeight w:val="288"/>
        </w:trPr>
        <w:tc>
          <w:tcPr>
            <w:tcW w:w="2900" w:type="dxa"/>
            <w:vAlign w:val="bottom"/>
          </w:tcPr>
          <w:p>
            <w:pPr>
              <w:ind w:left="40"/>
              <w:spacing w:after="0"/>
              <w:rPr>
                <w:sz w:val="20"/>
                <w:szCs w:val="20"/>
                <w:color w:val="auto"/>
              </w:rPr>
            </w:pPr>
            <w:r>
              <w:rPr>
                <w:rFonts w:ascii="Arial" w:cs="Arial" w:eastAsia="Arial" w:hAnsi="Arial"/>
                <w:sz w:val="14"/>
                <w:szCs w:val="14"/>
                <w:b w:val="1"/>
                <w:bCs w:val="1"/>
                <w:color w:val="017B52"/>
              </w:rPr>
              <w:t>Joan A. Budden</w:t>
            </w:r>
          </w:p>
        </w:tc>
        <w:tc>
          <w:tcPr>
            <w:tcW w:w="3480" w:type="dxa"/>
            <w:vAlign w:val="bottom"/>
          </w:tcPr>
          <w:p>
            <w:pPr>
              <w:jc w:val="right"/>
              <w:ind w:right="430"/>
              <w:spacing w:after="0"/>
              <w:rPr>
                <w:sz w:val="20"/>
                <w:szCs w:val="20"/>
                <w:color w:val="auto"/>
              </w:rPr>
            </w:pPr>
            <w:r>
              <w:rPr>
                <w:rFonts w:ascii="Arial" w:cs="Arial" w:eastAsia="Arial" w:hAnsi="Arial"/>
                <w:sz w:val="14"/>
                <w:szCs w:val="14"/>
                <w:color w:val="auto"/>
              </w:rPr>
              <w:t>$70,000</w:t>
            </w:r>
          </w:p>
        </w:tc>
        <w:tc>
          <w:tcPr>
            <w:tcW w:w="1900" w:type="dxa"/>
            <w:vAlign w:val="bottom"/>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Pr>
          <w:p>
            <w:pPr>
              <w:jc w:val="right"/>
              <w:spacing w:after="0"/>
              <w:rPr>
                <w:sz w:val="20"/>
                <w:szCs w:val="20"/>
                <w:color w:val="auto"/>
              </w:rPr>
            </w:pPr>
            <w:r>
              <w:rPr>
                <w:rFonts w:ascii="Arial" w:cs="Arial" w:eastAsia="Arial" w:hAnsi="Arial"/>
                <w:sz w:val="14"/>
                <w:szCs w:val="14"/>
                <w:color w:val="auto"/>
              </w:rPr>
              <w:t>$205,000</w:t>
            </w:r>
          </w:p>
        </w:tc>
      </w:tr>
      <w:tr>
        <w:trPr>
          <w:trHeight w:val="83"/>
        </w:trPr>
        <w:tc>
          <w:tcPr>
            <w:tcW w:w="2900" w:type="dxa"/>
            <w:vAlign w:val="bottom"/>
            <w:tcBorders>
              <w:bottom w:val="single" w:sz="8" w:color="017B52"/>
            </w:tcBorders>
          </w:tcPr>
          <w:p>
            <w:pPr>
              <w:spacing w:after="0"/>
              <w:rPr>
                <w:sz w:val="7"/>
                <w:szCs w:val="7"/>
                <w:color w:val="auto"/>
              </w:rPr>
            </w:pPr>
          </w:p>
        </w:tc>
        <w:tc>
          <w:tcPr>
            <w:tcW w:w="3480" w:type="dxa"/>
            <w:vAlign w:val="bottom"/>
            <w:tcBorders>
              <w:bottom w:val="single" w:sz="8" w:color="017B52"/>
            </w:tcBorders>
          </w:tcPr>
          <w:p>
            <w:pPr>
              <w:spacing w:after="0"/>
              <w:rPr>
                <w:sz w:val="7"/>
                <w:szCs w:val="7"/>
                <w:color w:val="auto"/>
              </w:rPr>
            </w:pPr>
          </w:p>
        </w:tc>
        <w:tc>
          <w:tcPr>
            <w:tcW w:w="1900" w:type="dxa"/>
            <w:vAlign w:val="bottom"/>
            <w:tcBorders>
              <w:bottom w:val="single" w:sz="8" w:color="017B52"/>
            </w:tcBorders>
          </w:tcPr>
          <w:p>
            <w:pPr>
              <w:spacing w:after="0"/>
              <w:rPr>
                <w:sz w:val="7"/>
                <w:szCs w:val="7"/>
                <w:color w:val="auto"/>
              </w:rPr>
            </w:pPr>
          </w:p>
        </w:tc>
        <w:tc>
          <w:tcPr>
            <w:tcW w:w="1120" w:type="dxa"/>
            <w:vAlign w:val="bottom"/>
            <w:tcBorders>
              <w:bottom w:val="single" w:sz="8" w:color="017B52"/>
            </w:tcBorders>
          </w:tcPr>
          <w:p>
            <w:pPr>
              <w:spacing w:after="0"/>
              <w:rPr>
                <w:sz w:val="7"/>
                <w:szCs w:val="7"/>
                <w:color w:val="auto"/>
              </w:rPr>
            </w:pPr>
          </w:p>
        </w:tc>
      </w:tr>
      <w:tr>
        <w:trPr>
          <w:trHeight w:val="288"/>
        </w:trPr>
        <w:tc>
          <w:tcPr>
            <w:tcW w:w="2900" w:type="dxa"/>
            <w:vAlign w:val="bottom"/>
          </w:tcPr>
          <w:p>
            <w:pPr>
              <w:ind w:left="40"/>
              <w:spacing w:after="0"/>
              <w:rPr>
                <w:sz w:val="20"/>
                <w:szCs w:val="20"/>
                <w:color w:val="auto"/>
              </w:rPr>
            </w:pPr>
            <w:r>
              <w:rPr>
                <w:rFonts w:ascii="Arial" w:cs="Arial" w:eastAsia="Arial" w:hAnsi="Arial"/>
                <w:sz w:val="14"/>
                <w:szCs w:val="14"/>
                <w:b w:val="1"/>
                <w:bCs w:val="1"/>
                <w:color w:val="017B52"/>
              </w:rPr>
              <w:t>William G. Currie</w:t>
            </w:r>
          </w:p>
        </w:tc>
        <w:tc>
          <w:tcPr>
            <w:tcW w:w="3480" w:type="dxa"/>
            <w:vAlign w:val="bottom"/>
          </w:tcPr>
          <w:p>
            <w:pPr>
              <w:jc w:val="right"/>
              <w:ind w:right="430"/>
              <w:spacing w:after="0"/>
              <w:rPr>
                <w:sz w:val="20"/>
                <w:szCs w:val="20"/>
                <w:color w:val="auto"/>
              </w:rPr>
            </w:pPr>
            <w:r>
              <w:rPr>
                <w:rFonts w:ascii="Arial" w:cs="Arial" w:eastAsia="Arial" w:hAnsi="Arial"/>
                <w:sz w:val="14"/>
                <w:szCs w:val="14"/>
                <w:color w:val="auto"/>
              </w:rPr>
              <w:t>$60,000</w:t>
            </w:r>
          </w:p>
        </w:tc>
        <w:tc>
          <w:tcPr>
            <w:tcW w:w="1900" w:type="dxa"/>
            <w:vAlign w:val="bottom"/>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Pr>
          <w:p>
            <w:pPr>
              <w:jc w:val="right"/>
              <w:spacing w:after="0"/>
              <w:rPr>
                <w:sz w:val="20"/>
                <w:szCs w:val="20"/>
                <w:color w:val="auto"/>
              </w:rPr>
            </w:pPr>
            <w:r>
              <w:rPr>
                <w:rFonts w:ascii="Arial" w:cs="Arial" w:eastAsia="Arial" w:hAnsi="Arial"/>
                <w:sz w:val="14"/>
                <w:szCs w:val="14"/>
                <w:color w:val="auto"/>
              </w:rPr>
              <w:t>$195,000</w:t>
            </w:r>
          </w:p>
        </w:tc>
      </w:tr>
      <w:tr>
        <w:trPr>
          <w:trHeight w:val="83"/>
        </w:trPr>
        <w:tc>
          <w:tcPr>
            <w:tcW w:w="2900" w:type="dxa"/>
            <w:vAlign w:val="bottom"/>
            <w:tcBorders>
              <w:bottom w:val="single" w:sz="8" w:color="017B52"/>
            </w:tcBorders>
          </w:tcPr>
          <w:p>
            <w:pPr>
              <w:spacing w:after="0"/>
              <w:rPr>
                <w:sz w:val="7"/>
                <w:szCs w:val="7"/>
                <w:color w:val="auto"/>
              </w:rPr>
            </w:pPr>
          </w:p>
        </w:tc>
        <w:tc>
          <w:tcPr>
            <w:tcW w:w="3480" w:type="dxa"/>
            <w:vAlign w:val="bottom"/>
            <w:tcBorders>
              <w:bottom w:val="single" w:sz="8" w:color="017B52"/>
            </w:tcBorders>
          </w:tcPr>
          <w:p>
            <w:pPr>
              <w:spacing w:after="0"/>
              <w:rPr>
                <w:sz w:val="7"/>
                <w:szCs w:val="7"/>
                <w:color w:val="auto"/>
              </w:rPr>
            </w:pPr>
          </w:p>
        </w:tc>
        <w:tc>
          <w:tcPr>
            <w:tcW w:w="1900" w:type="dxa"/>
            <w:vAlign w:val="bottom"/>
            <w:tcBorders>
              <w:bottom w:val="single" w:sz="8" w:color="017B52"/>
            </w:tcBorders>
          </w:tcPr>
          <w:p>
            <w:pPr>
              <w:spacing w:after="0"/>
              <w:rPr>
                <w:sz w:val="7"/>
                <w:szCs w:val="7"/>
                <w:color w:val="auto"/>
              </w:rPr>
            </w:pPr>
          </w:p>
        </w:tc>
        <w:tc>
          <w:tcPr>
            <w:tcW w:w="1120" w:type="dxa"/>
            <w:vAlign w:val="bottom"/>
            <w:tcBorders>
              <w:bottom w:val="single" w:sz="8" w:color="017B52"/>
            </w:tcBorders>
          </w:tcPr>
          <w:p>
            <w:pPr>
              <w:spacing w:after="0"/>
              <w:rPr>
                <w:sz w:val="7"/>
                <w:szCs w:val="7"/>
                <w:color w:val="auto"/>
              </w:rPr>
            </w:pPr>
          </w:p>
        </w:tc>
      </w:tr>
      <w:tr>
        <w:trPr>
          <w:trHeight w:val="288"/>
        </w:trPr>
        <w:tc>
          <w:tcPr>
            <w:tcW w:w="2900" w:type="dxa"/>
            <w:vAlign w:val="bottom"/>
          </w:tcPr>
          <w:p>
            <w:pPr>
              <w:ind w:left="40"/>
              <w:spacing w:after="0"/>
              <w:rPr>
                <w:sz w:val="20"/>
                <w:szCs w:val="20"/>
                <w:color w:val="auto"/>
              </w:rPr>
            </w:pPr>
            <w:r>
              <w:rPr>
                <w:rFonts w:ascii="Arial" w:cs="Arial" w:eastAsia="Arial" w:hAnsi="Arial"/>
                <w:sz w:val="14"/>
                <w:szCs w:val="14"/>
                <w:b w:val="1"/>
                <w:bCs w:val="1"/>
                <w:color w:val="017B52"/>
              </w:rPr>
              <w:t>Benjamin J. McLean</w:t>
            </w:r>
          </w:p>
        </w:tc>
        <w:tc>
          <w:tcPr>
            <w:tcW w:w="3480" w:type="dxa"/>
            <w:vAlign w:val="bottom"/>
          </w:tcPr>
          <w:p>
            <w:pPr>
              <w:jc w:val="right"/>
              <w:ind w:right="430"/>
              <w:spacing w:after="0"/>
              <w:rPr>
                <w:sz w:val="20"/>
                <w:szCs w:val="20"/>
                <w:color w:val="auto"/>
              </w:rPr>
            </w:pPr>
            <w:r>
              <w:rPr>
                <w:rFonts w:ascii="Arial" w:cs="Arial" w:eastAsia="Arial" w:hAnsi="Arial"/>
                <w:sz w:val="14"/>
                <w:szCs w:val="14"/>
                <w:color w:val="auto"/>
              </w:rPr>
              <w:t>$70,000</w:t>
            </w:r>
          </w:p>
        </w:tc>
        <w:tc>
          <w:tcPr>
            <w:tcW w:w="1900" w:type="dxa"/>
            <w:vAlign w:val="bottom"/>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Pr>
          <w:p>
            <w:pPr>
              <w:jc w:val="right"/>
              <w:spacing w:after="0"/>
              <w:rPr>
                <w:sz w:val="20"/>
                <w:szCs w:val="20"/>
                <w:color w:val="auto"/>
              </w:rPr>
            </w:pPr>
            <w:r>
              <w:rPr>
                <w:rFonts w:ascii="Arial" w:cs="Arial" w:eastAsia="Arial" w:hAnsi="Arial"/>
                <w:sz w:val="14"/>
                <w:szCs w:val="14"/>
                <w:color w:val="auto"/>
              </w:rPr>
              <w:t>$205,000</w:t>
            </w:r>
          </w:p>
        </w:tc>
      </w:tr>
      <w:tr>
        <w:trPr>
          <w:trHeight w:val="83"/>
        </w:trPr>
        <w:tc>
          <w:tcPr>
            <w:tcW w:w="2900" w:type="dxa"/>
            <w:vAlign w:val="bottom"/>
            <w:tcBorders>
              <w:bottom w:val="single" w:sz="8" w:color="017B52"/>
            </w:tcBorders>
          </w:tcPr>
          <w:p>
            <w:pPr>
              <w:spacing w:after="0"/>
              <w:rPr>
                <w:sz w:val="7"/>
                <w:szCs w:val="7"/>
                <w:color w:val="auto"/>
              </w:rPr>
            </w:pPr>
          </w:p>
        </w:tc>
        <w:tc>
          <w:tcPr>
            <w:tcW w:w="3480" w:type="dxa"/>
            <w:vAlign w:val="bottom"/>
            <w:tcBorders>
              <w:bottom w:val="single" w:sz="8" w:color="017B52"/>
            </w:tcBorders>
          </w:tcPr>
          <w:p>
            <w:pPr>
              <w:spacing w:after="0"/>
              <w:rPr>
                <w:sz w:val="7"/>
                <w:szCs w:val="7"/>
                <w:color w:val="auto"/>
              </w:rPr>
            </w:pPr>
          </w:p>
        </w:tc>
        <w:tc>
          <w:tcPr>
            <w:tcW w:w="1900" w:type="dxa"/>
            <w:vAlign w:val="bottom"/>
            <w:tcBorders>
              <w:bottom w:val="single" w:sz="8" w:color="017B52"/>
            </w:tcBorders>
          </w:tcPr>
          <w:p>
            <w:pPr>
              <w:spacing w:after="0"/>
              <w:rPr>
                <w:sz w:val="7"/>
                <w:szCs w:val="7"/>
                <w:color w:val="auto"/>
              </w:rPr>
            </w:pPr>
          </w:p>
        </w:tc>
        <w:tc>
          <w:tcPr>
            <w:tcW w:w="1120" w:type="dxa"/>
            <w:vAlign w:val="bottom"/>
            <w:tcBorders>
              <w:bottom w:val="single" w:sz="8" w:color="017B52"/>
            </w:tcBorders>
          </w:tcPr>
          <w:p>
            <w:pPr>
              <w:spacing w:after="0"/>
              <w:rPr>
                <w:sz w:val="7"/>
                <w:szCs w:val="7"/>
                <w:color w:val="auto"/>
              </w:rPr>
            </w:pPr>
          </w:p>
        </w:tc>
      </w:tr>
      <w:tr>
        <w:trPr>
          <w:trHeight w:val="288"/>
        </w:trPr>
        <w:tc>
          <w:tcPr>
            <w:tcW w:w="2900" w:type="dxa"/>
            <w:vAlign w:val="bottom"/>
          </w:tcPr>
          <w:p>
            <w:pPr>
              <w:ind w:left="40"/>
              <w:spacing w:after="0"/>
              <w:rPr>
                <w:sz w:val="20"/>
                <w:szCs w:val="20"/>
                <w:color w:val="auto"/>
              </w:rPr>
            </w:pPr>
            <w:r>
              <w:rPr>
                <w:rFonts w:ascii="Arial" w:cs="Arial" w:eastAsia="Arial" w:hAnsi="Arial"/>
                <w:sz w:val="14"/>
                <w:szCs w:val="14"/>
                <w:b w:val="1"/>
                <w:bCs w:val="1"/>
                <w:color w:val="017B52"/>
              </w:rPr>
              <w:t>Bruce A. Merino</w:t>
            </w:r>
          </w:p>
        </w:tc>
        <w:tc>
          <w:tcPr>
            <w:tcW w:w="3480" w:type="dxa"/>
            <w:vAlign w:val="bottom"/>
          </w:tcPr>
          <w:p>
            <w:pPr>
              <w:jc w:val="right"/>
              <w:ind w:right="430"/>
              <w:spacing w:after="0"/>
              <w:rPr>
                <w:sz w:val="20"/>
                <w:szCs w:val="20"/>
                <w:color w:val="auto"/>
              </w:rPr>
            </w:pPr>
            <w:r>
              <w:rPr>
                <w:rFonts w:ascii="Arial" w:cs="Arial" w:eastAsia="Arial" w:hAnsi="Arial"/>
                <w:sz w:val="14"/>
                <w:szCs w:val="14"/>
                <w:color w:val="auto"/>
              </w:rPr>
              <w:t>$70,000</w:t>
            </w:r>
          </w:p>
        </w:tc>
        <w:tc>
          <w:tcPr>
            <w:tcW w:w="1900" w:type="dxa"/>
            <w:vAlign w:val="bottom"/>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Pr>
          <w:p>
            <w:pPr>
              <w:jc w:val="right"/>
              <w:spacing w:after="0"/>
              <w:rPr>
                <w:sz w:val="20"/>
                <w:szCs w:val="20"/>
                <w:color w:val="auto"/>
              </w:rPr>
            </w:pPr>
            <w:r>
              <w:rPr>
                <w:rFonts w:ascii="Arial" w:cs="Arial" w:eastAsia="Arial" w:hAnsi="Arial"/>
                <w:sz w:val="14"/>
                <w:szCs w:val="14"/>
                <w:color w:val="auto"/>
              </w:rPr>
              <w:t>$205,000</w:t>
            </w:r>
          </w:p>
        </w:tc>
      </w:tr>
      <w:tr>
        <w:trPr>
          <w:trHeight w:val="83"/>
        </w:trPr>
        <w:tc>
          <w:tcPr>
            <w:tcW w:w="2900" w:type="dxa"/>
            <w:vAlign w:val="bottom"/>
            <w:tcBorders>
              <w:bottom w:val="single" w:sz="8" w:color="017B52"/>
            </w:tcBorders>
          </w:tcPr>
          <w:p>
            <w:pPr>
              <w:spacing w:after="0"/>
              <w:rPr>
                <w:sz w:val="7"/>
                <w:szCs w:val="7"/>
                <w:color w:val="auto"/>
              </w:rPr>
            </w:pPr>
          </w:p>
        </w:tc>
        <w:tc>
          <w:tcPr>
            <w:tcW w:w="3480" w:type="dxa"/>
            <w:vAlign w:val="bottom"/>
            <w:tcBorders>
              <w:bottom w:val="single" w:sz="8" w:color="017B52"/>
            </w:tcBorders>
          </w:tcPr>
          <w:p>
            <w:pPr>
              <w:spacing w:after="0"/>
              <w:rPr>
                <w:sz w:val="7"/>
                <w:szCs w:val="7"/>
                <w:color w:val="auto"/>
              </w:rPr>
            </w:pPr>
          </w:p>
        </w:tc>
        <w:tc>
          <w:tcPr>
            <w:tcW w:w="1900" w:type="dxa"/>
            <w:vAlign w:val="bottom"/>
            <w:tcBorders>
              <w:bottom w:val="single" w:sz="8" w:color="017B52"/>
            </w:tcBorders>
          </w:tcPr>
          <w:p>
            <w:pPr>
              <w:spacing w:after="0"/>
              <w:rPr>
                <w:sz w:val="7"/>
                <w:szCs w:val="7"/>
                <w:color w:val="auto"/>
              </w:rPr>
            </w:pPr>
          </w:p>
        </w:tc>
        <w:tc>
          <w:tcPr>
            <w:tcW w:w="1120" w:type="dxa"/>
            <w:vAlign w:val="bottom"/>
            <w:tcBorders>
              <w:bottom w:val="single" w:sz="8" w:color="017B52"/>
            </w:tcBorders>
          </w:tcPr>
          <w:p>
            <w:pPr>
              <w:spacing w:after="0"/>
              <w:rPr>
                <w:sz w:val="7"/>
                <w:szCs w:val="7"/>
                <w:color w:val="auto"/>
              </w:rPr>
            </w:pPr>
          </w:p>
        </w:tc>
      </w:tr>
      <w:tr>
        <w:trPr>
          <w:trHeight w:val="398"/>
        </w:trPr>
        <w:tc>
          <w:tcPr>
            <w:tcW w:w="2900" w:type="dxa"/>
            <w:vAlign w:val="bottom"/>
            <w:tcBorders>
              <w:bottom w:val="single" w:sz="8" w:color="017B52"/>
            </w:tcBorders>
          </w:tcPr>
          <w:p>
            <w:pPr>
              <w:ind w:left="40"/>
              <w:spacing w:after="0"/>
              <w:rPr>
                <w:sz w:val="20"/>
                <w:szCs w:val="20"/>
                <w:color w:val="auto"/>
              </w:rPr>
            </w:pPr>
            <w:r>
              <w:rPr>
                <w:rFonts w:ascii="Arial" w:cs="Arial" w:eastAsia="Arial" w:hAnsi="Arial"/>
                <w:sz w:val="14"/>
                <w:szCs w:val="14"/>
                <w:b w:val="1"/>
                <w:bCs w:val="1"/>
                <w:color w:val="017B52"/>
              </w:rPr>
              <w:t>Thomas W. Rhodes</w:t>
            </w:r>
            <w:r>
              <w:rPr>
                <w:rFonts w:ascii="Arial" w:cs="Arial" w:eastAsia="Arial" w:hAnsi="Arial"/>
                <w:sz w:val="23"/>
                <w:szCs w:val="23"/>
                <w:b w:val="1"/>
                <w:bCs w:val="1"/>
                <w:color w:val="017B52"/>
                <w:vertAlign w:val="superscript"/>
              </w:rPr>
              <w:t>(2)</w:t>
            </w:r>
          </w:p>
        </w:tc>
        <w:tc>
          <w:tcPr>
            <w:tcW w:w="3480" w:type="dxa"/>
            <w:vAlign w:val="bottom"/>
            <w:tcBorders>
              <w:bottom w:val="single" w:sz="8" w:color="017B52"/>
            </w:tcBorders>
          </w:tcPr>
          <w:p>
            <w:pPr>
              <w:jc w:val="right"/>
              <w:ind w:right="430"/>
              <w:spacing w:after="0"/>
              <w:rPr>
                <w:sz w:val="20"/>
                <w:szCs w:val="20"/>
                <w:color w:val="auto"/>
              </w:rPr>
            </w:pPr>
            <w:r>
              <w:rPr>
                <w:rFonts w:ascii="Arial" w:cs="Arial" w:eastAsia="Arial" w:hAnsi="Arial"/>
                <w:sz w:val="14"/>
                <w:szCs w:val="14"/>
                <w:color w:val="auto"/>
              </w:rPr>
              <w:t>$85,000</w:t>
            </w:r>
          </w:p>
        </w:tc>
        <w:tc>
          <w:tcPr>
            <w:tcW w:w="1900" w:type="dxa"/>
            <w:vAlign w:val="bottom"/>
            <w:tcBorders>
              <w:bottom w:val="single" w:sz="8" w:color="017B52"/>
            </w:tcBorders>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$220,000</w:t>
            </w:r>
          </w:p>
        </w:tc>
      </w:tr>
      <w:tr>
        <w:trPr>
          <w:trHeight w:val="289"/>
        </w:trPr>
        <w:tc>
          <w:tcPr>
            <w:tcW w:w="2900" w:type="dxa"/>
            <w:vAlign w:val="bottom"/>
          </w:tcPr>
          <w:p>
            <w:pPr>
              <w:ind w:left="40"/>
              <w:spacing w:after="0"/>
              <w:rPr>
                <w:sz w:val="20"/>
                <w:szCs w:val="20"/>
                <w:color w:val="auto"/>
              </w:rPr>
            </w:pPr>
            <w:r>
              <w:rPr>
                <w:rFonts w:ascii="Arial" w:cs="Arial" w:eastAsia="Arial" w:hAnsi="Arial"/>
                <w:sz w:val="14"/>
                <w:szCs w:val="14"/>
                <w:b w:val="1"/>
                <w:bCs w:val="1"/>
                <w:color w:val="017B52"/>
              </w:rPr>
              <w:t>Mary Tuuk Kuras</w:t>
            </w:r>
          </w:p>
        </w:tc>
        <w:tc>
          <w:tcPr>
            <w:tcW w:w="3480" w:type="dxa"/>
            <w:vAlign w:val="bottom"/>
          </w:tcPr>
          <w:p>
            <w:pPr>
              <w:jc w:val="right"/>
              <w:ind w:right="430"/>
              <w:spacing w:after="0"/>
              <w:rPr>
                <w:sz w:val="20"/>
                <w:szCs w:val="20"/>
                <w:color w:val="auto"/>
              </w:rPr>
            </w:pPr>
            <w:r>
              <w:rPr>
                <w:rFonts w:ascii="Arial" w:cs="Arial" w:eastAsia="Arial" w:hAnsi="Arial"/>
                <w:sz w:val="14"/>
                <w:szCs w:val="14"/>
                <w:color w:val="auto"/>
              </w:rPr>
              <w:t>$75,000</w:t>
            </w:r>
          </w:p>
        </w:tc>
        <w:tc>
          <w:tcPr>
            <w:tcW w:w="1900" w:type="dxa"/>
            <w:vAlign w:val="bottom"/>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Pr>
          <w:p>
            <w:pPr>
              <w:jc w:val="right"/>
              <w:spacing w:after="0"/>
              <w:rPr>
                <w:sz w:val="20"/>
                <w:szCs w:val="20"/>
                <w:color w:val="auto"/>
              </w:rPr>
            </w:pPr>
            <w:r>
              <w:rPr>
                <w:rFonts w:ascii="Arial" w:cs="Arial" w:eastAsia="Arial" w:hAnsi="Arial"/>
                <w:sz w:val="14"/>
                <w:szCs w:val="14"/>
                <w:color w:val="auto"/>
              </w:rPr>
              <w:t>$210,000</w:t>
            </w:r>
          </w:p>
        </w:tc>
      </w:tr>
      <w:tr>
        <w:trPr>
          <w:trHeight w:val="83"/>
        </w:trPr>
        <w:tc>
          <w:tcPr>
            <w:tcW w:w="2900" w:type="dxa"/>
            <w:vAlign w:val="bottom"/>
            <w:tcBorders>
              <w:bottom w:val="single" w:sz="8" w:color="017B52"/>
            </w:tcBorders>
          </w:tcPr>
          <w:p>
            <w:pPr>
              <w:spacing w:after="0"/>
              <w:rPr>
                <w:sz w:val="7"/>
                <w:szCs w:val="7"/>
                <w:color w:val="auto"/>
              </w:rPr>
            </w:pPr>
          </w:p>
        </w:tc>
        <w:tc>
          <w:tcPr>
            <w:tcW w:w="3480" w:type="dxa"/>
            <w:vAlign w:val="bottom"/>
            <w:tcBorders>
              <w:bottom w:val="single" w:sz="8" w:color="017B52"/>
            </w:tcBorders>
          </w:tcPr>
          <w:p>
            <w:pPr>
              <w:spacing w:after="0"/>
              <w:rPr>
                <w:sz w:val="7"/>
                <w:szCs w:val="7"/>
                <w:color w:val="auto"/>
              </w:rPr>
            </w:pPr>
          </w:p>
        </w:tc>
        <w:tc>
          <w:tcPr>
            <w:tcW w:w="1900" w:type="dxa"/>
            <w:vAlign w:val="bottom"/>
            <w:tcBorders>
              <w:bottom w:val="single" w:sz="8" w:color="017B52"/>
            </w:tcBorders>
          </w:tcPr>
          <w:p>
            <w:pPr>
              <w:spacing w:after="0"/>
              <w:rPr>
                <w:sz w:val="7"/>
                <w:szCs w:val="7"/>
                <w:color w:val="auto"/>
              </w:rPr>
            </w:pPr>
          </w:p>
        </w:tc>
        <w:tc>
          <w:tcPr>
            <w:tcW w:w="1120" w:type="dxa"/>
            <w:vAlign w:val="bottom"/>
            <w:tcBorders>
              <w:bottom w:val="single" w:sz="8" w:color="017B52"/>
            </w:tcBorders>
          </w:tcPr>
          <w:p>
            <w:pPr>
              <w:spacing w:after="0"/>
              <w:rPr>
                <w:sz w:val="7"/>
                <w:szCs w:val="7"/>
                <w:color w:val="auto"/>
              </w:rPr>
            </w:pPr>
          </w:p>
        </w:tc>
      </w:tr>
      <w:tr>
        <w:trPr>
          <w:trHeight w:val="398"/>
        </w:trPr>
        <w:tc>
          <w:tcPr>
            <w:tcW w:w="2900" w:type="dxa"/>
            <w:vAlign w:val="bottom"/>
            <w:tcBorders>
              <w:bottom w:val="single" w:sz="8" w:color="017B52"/>
            </w:tcBorders>
          </w:tcPr>
          <w:p>
            <w:pPr>
              <w:ind w:left="40"/>
              <w:spacing w:after="0"/>
              <w:rPr>
                <w:sz w:val="20"/>
                <w:szCs w:val="20"/>
                <w:color w:val="auto"/>
              </w:rPr>
            </w:pPr>
            <w:r>
              <w:rPr>
                <w:rFonts w:ascii="Arial" w:cs="Arial" w:eastAsia="Arial" w:hAnsi="Arial"/>
                <w:sz w:val="14"/>
                <w:szCs w:val="14"/>
                <w:b w:val="1"/>
                <w:bCs w:val="1"/>
                <w:color w:val="017B52"/>
              </w:rPr>
              <w:t>Brian C. Walker</w:t>
            </w:r>
            <w:r>
              <w:rPr>
                <w:rFonts w:ascii="Arial" w:cs="Arial" w:eastAsia="Arial" w:hAnsi="Arial"/>
                <w:sz w:val="23"/>
                <w:szCs w:val="23"/>
                <w:b w:val="1"/>
                <w:bCs w:val="1"/>
                <w:color w:val="017B52"/>
                <w:vertAlign w:val="superscript"/>
              </w:rPr>
              <w:t>(2)</w:t>
            </w:r>
          </w:p>
        </w:tc>
        <w:tc>
          <w:tcPr>
            <w:tcW w:w="3480" w:type="dxa"/>
            <w:vAlign w:val="bottom"/>
            <w:tcBorders>
              <w:bottom w:val="single" w:sz="8" w:color="017B52"/>
            </w:tcBorders>
          </w:tcPr>
          <w:p>
            <w:pPr>
              <w:jc w:val="right"/>
              <w:ind w:right="430"/>
              <w:spacing w:after="0"/>
              <w:rPr>
                <w:sz w:val="20"/>
                <w:szCs w:val="20"/>
                <w:color w:val="auto"/>
              </w:rPr>
            </w:pPr>
            <w:r>
              <w:rPr>
                <w:rFonts w:ascii="Arial" w:cs="Arial" w:eastAsia="Arial" w:hAnsi="Arial"/>
                <w:sz w:val="14"/>
                <w:szCs w:val="14"/>
                <w:color w:val="auto"/>
              </w:rPr>
              <w:t>$90,000</w:t>
            </w:r>
          </w:p>
        </w:tc>
        <w:tc>
          <w:tcPr>
            <w:tcW w:w="1900" w:type="dxa"/>
            <w:vAlign w:val="bottom"/>
            <w:tcBorders>
              <w:bottom w:val="single" w:sz="8" w:color="017B52"/>
            </w:tcBorders>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$225,000</w:t>
            </w:r>
          </w:p>
        </w:tc>
      </w:tr>
      <w:tr>
        <w:trPr>
          <w:trHeight w:val="398"/>
        </w:trPr>
        <w:tc>
          <w:tcPr>
            <w:tcW w:w="2900" w:type="dxa"/>
            <w:vAlign w:val="bottom"/>
            <w:tcBorders>
              <w:bottom w:val="single" w:sz="8" w:color="017B52"/>
            </w:tcBorders>
          </w:tcPr>
          <w:p>
            <w:pPr>
              <w:ind w:left="40"/>
              <w:spacing w:after="0"/>
              <w:rPr>
                <w:sz w:val="20"/>
                <w:szCs w:val="20"/>
                <w:color w:val="auto"/>
              </w:rPr>
            </w:pPr>
            <w:r>
              <w:rPr>
                <w:rFonts w:ascii="Arial" w:cs="Arial" w:eastAsia="Arial" w:hAnsi="Arial"/>
                <w:sz w:val="14"/>
                <w:szCs w:val="14"/>
                <w:b w:val="1"/>
                <w:bCs w:val="1"/>
                <w:color w:val="017B52"/>
              </w:rPr>
              <w:t>Michael G. Wooldridge</w:t>
            </w:r>
            <w:r>
              <w:rPr>
                <w:rFonts w:ascii="Arial" w:cs="Arial" w:eastAsia="Arial" w:hAnsi="Arial"/>
                <w:sz w:val="23"/>
                <w:szCs w:val="23"/>
                <w:b w:val="1"/>
                <w:bCs w:val="1"/>
                <w:color w:val="017B52"/>
                <w:vertAlign w:val="superscript"/>
              </w:rPr>
              <w:t>(2)</w:t>
            </w:r>
          </w:p>
        </w:tc>
        <w:tc>
          <w:tcPr>
            <w:tcW w:w="3480" w:type="dxa"/>
            <w:vAlign w:val="bottom"/>
            <w:tcBorders>
              <w:bottom w:val="single" w:sz="8" w:color="017B52"/>
            </w:tcBorders>
          </w:tcPr>
          <w:p>
            <w:pPr>
              <w:jc w:val="right"/>
              <w:ind w:right="430"/>
              <w:spacing w:after="0"/>
              <w:rPr>
                <w:sz w:val="20"/>
                <w:szCs w:val="20"/>
                <w:color w:val="auto"/>
              </w:rPr>
            </w:pPr>
            <w:r>
              <w:rPr>
                <w:rFonts w:ascii="Arial" w:cs="Arial" w:eastAsia="Arial" w:hAnsi="Arial"/>
                <w:sz w:val="14"/>
                <w:szCs w:val="14"/>
                <w:color w:val="auto"/>
              </w:rPr>
              <w:t>$80,000</w:t>
            </w:r>
          </w:p>
        </w:tc>
        <w:tc>
          <w:tcPr>
            <w:tcW w:w="1900" w:type="dxa"/>
            <w:vAlign w:val="bottom"/>
            <w:tcBorders>
              <w:bottom w:val="single" w:sz="8" w:color="017B52"/>
            </w:tcBorders>
          </w:tcPr>
          <w:p>
            <w:pPr>
              <w:jc w:val="right"/>
              <w:ind w:right="450"/>
              <w:spacing w:after="0"/>
              <w:rPr>
                <w:sz w:val="20"/>
                <w:szCs w:val="20"/>
                <w:color w:val="auto"/>
              </w:rPr>
            </w:pPr>
            <w:r>
              <w:rPr>
                <w:rFonts w:ascii="Arial" w:cs="Arial" w:eastAsia="Arial" w:hAnsi="Arial"/>
                <w:sz w:val="14"/>
                <w:szCs w:val="14"/>
                <w:color w:val="auto"/>
              </w:rPr>
              <w:t>$135,000</w:t>
            </w:r>
          </w:p>
        </w:tc>
        <w:tc>
          <w:tcPr>
            <w:tcW w:w="1120" w:type="dxa"/>
            <w:vAlign w:val="bottom"/>
            <w:tcBorders>
              <w:bottom w:val="single" w:sz="8" w:color="017B52"/>
            </w:tcBorders>
          </w:tcPr>
          <w:p>
            <w:pPr>
              <w:jc w:val="right"/>
              <w:spacing w:after="0"/>
              <w:rPr>
                <w:sz w:val="20"/>
                <w:szCs w:val="20"/>
                <w:color w:val="auto"/>
              </w:rPr>
            </w:pPr>
            <w:r>
              <w:rPr>
                <w:rFonts w:ascii="Arial" w:cs="Arial" w:eastAsia="Arial" w:hAnsi="Arial"/>
                <w:sz w:val="14"/>
                <w:szCs w:val="14"/>
                <w:color w:val="auto"/>
              </w:rPr>
              <w:t>$215,000</w:t>
            </w:r>
          </w:p>
        </w:tc>
      </w:tr>
    </w:tbl>
    <w:p>
      <w:pPr>
        <w:spacing w:after="0" w:line="185"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3"/>
          <w:szCs w:val="13"/>
          <w:color w:val="333333"/>
        </w:rPr>
      </w:pPr>
      <w:r>
        <w:rPr>
          <w:rFonts w:ascii="Arial" w:cs="Arial" w:eastAsia="Arial" w:hAnsi="Arial"/>
          <w:sz w:val="13"/>
          <w:szCs w:val="13"/>
          <w:color w:val="333333"/>
        </w:rPr>
        <w:t>Includes amounts that may be deferred under our Director Plan and used to purchase shares of our common stock.</w:t>
      </w:r>
    </w:p>
    <w:p>
      <w:pPr>
        <w:spacing w:after="0" w:line="66" w:lineRule="exact"/>
        <w:rPr>
          <w:rFonts w:ascii="Arial" w:cs="Arial" w:eastAsia="Arial" w:hAnsi="Arial"/>
          <w:sz w:val="13"/>
          <w:szCs w:val="13"/>
          <w:color w:val="333333"/>
        </w:rPr>
      </w:pPr>
    </w:p>
    <w:p>
      <w:pPr>
        <w:ind w:left="360" w:right="300" w:hanging="354"/>
        <w:spacing w:after="0" w:line="245" w:lineRule="auto"/>
        <w:tabs>
          <w:tab w:leader="none" w:pos="360" w:val="left"/>
        </w:tabs>
        <w:numPr>
          <w:ilvl w:val="0"/>
          <w:numId w:val="39"/>
        </w:numPr>
        <w:rPr>
          <w:rFonts w:ascii="Arial" w:cs="Arial" w:eastAsia="Arial" w:hAnsi="Arial"/>
          <w:sz w:val="12"/>
          <w:szCs w:val="12"/>
          <w:color w:val="333333"/>
        </w:rPr>
      </w:pPr>
      <w:r>
        <w:rPr>
          <w:rFonts w:ascii="Arial" w:cs="Arial" w:eastAsia="Arial" w:hAnsi="Arial"/>
          <w:sz w:val="12"/>
          <w:szCs w:val="12"/>
          <w:color w:val="333333"/>
        </w:rPr>
        <w:t>Mr. Rhodes was Chairman of the Personnel and Compensation Committee and received an additional $10,000 per year for serving in that capacity as well as $15,000 for serving as Lead Director. Mr. Walker was Chairman of the Audit Committee and received an additional $20,000 for serving in that capacity.</w:t>
      </w:r>
    </w:p>
    <w:p>
      <w:pPr>
        <w:ind w:left="360"/>
        <w:spacing w:after="0"/>
        <w:rPr>
          <w:rFonts w:ascii="Arial" w:cs="Arial" w:eastAsia="Arial" w:hAnsi="Arial"/>
          <w:sz w:val="12"/>
          <w:szCs w:val="12"/>
          <w:color w:val="333333"/>
        </w:rPr>
      </w:pPr>
      <w:r>
        <w:rPr>
          <w:rFonts w:ascii="Arial" w:cs="Arial" w:eastAsia="Arial" w:hAnsi="Arial"/>
          <w:sz w:val="13"/>
          <w:szCs w:val="13"/>
          <w:color w:val="333333"/>
        </w:rPr>
        <w:t>Mr. Wooldridge was Chairman of the Nominating and Corporate Governance Committee and received an additional $10,000 for serving in that capacity.</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Mr. Missad, our Chief Executive Officer, receives no additional compensation for his service as a Director or as Chairman of the Board of Directors. Each independent director is also entitled to reimbursement for his or her reasonable out-of-pocket expenses incurred in connection with travel to and from, and attendance at, meetings of our Board or its committees and related activities, including director education courses. Each independent director is required to own a minimum of 7,500 shares of our Company stock within two years of joining our Boar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UFP Industries      46</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274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our Company and is in the best interest of our shareholders. During 2023, our Company paid Ruan Transportation Management Systems (“Ruan”), the company for which our director Mr. McLean serves as Chief Executive Officer, $5,054,996 for services provided by Ruan. These were arm’s length transactions, on terms generally available to third parties under the same or similar circumstances. The transactions are not deemed material to Mr. McLean, and Mr. McLean did not participate or take part in discussions or negotiations in connection with the services provided by Ruan.</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Availability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 www.ufpi.com. For more information, contact our Investor Relations Department at 2801 East Beltline NE, Grand Rapids, MI 49525.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UFP Industries      47</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274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Shareholders who intend to submit a proposal for inclusion in our proxy materials for our 2025 Annual Meeting of Shareholders may do so by following the procedures described in SEC Rule 14a-8. To be eligible for inclusion, shareholder proposals must be received by our Secretary no later than November       , 2024. Proposals of shareholders should be addressed to UFP Industries, Inc., Attention: Secretary, 2801 East Beltline NE, Grand Rapids, MI 49525.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-151765</wp:posOffset>
            </wp:positionV>
            <wp:extent cx="3086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our Bylaws about the shareholder and the proposed action), not less than 90 days nor more than 120 days prior to the date of the first anniversary of the preceding year’s annual meeting of shareholders. If our 2025 Annual Meeting of Shareholders is held more than 30 days before or more than 60 days after the first anniversary of our 2024 Annual Meeting,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4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As of the date of this Proxy Statement, we have not received any proposals from any shareholders to be presented at the 2024 Annual Meeting.</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017B52"/>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274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UFP Industries, Inc., Attention: Investor Relations Department, 2801 East Beltline NE, Grand Rapids, MI 49525, or call 800-598-9663.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March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-4445</wp:posOffset>
            </wp:positionV>
            <wp:extent cx="3086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97790</wp:posOffset>
            </wp:positionV>
            <wp:extent cx="1148715"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David A. Tutas,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UFP Industries      48</w:t>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upperLetter"/>
      <w:start w:val="17"/>
    </w:lvl>
  </w:abstractNum>
  <w:abstractNum w:abstractNumId="2">
    <w:nsid w:val="628C895D"/>
    <w:multiLevelType w:val="hybridMultilevel"/>
    <w:lvl w:ilvl="0">
      <w:lvlJc w:val="left"/>
      <w:lvlText w:val="%1:"/>
      <w:numFmt w:val="upperLetter"/>
      <w:start w:val="1"/>
    </w:lvl>
  </w:abstractNum>
  <w:abstractNum w:abstractNumId="3">
    <w:nsid w:val="333AB105"/>
    <w:multiLevelType w:val="hybridMultilevel"/>
    <w:lvl w:ilvl="0">
      <w:lvlJc w:val="left"/>
      <w:lvlText w:val="%1:"/>
      <w:numFmt w:val="upperLetter"/>
      <w:start w:val="17"/>
    </w:lvl>
  </w:abstractNum>
  <w:abstractNum w:abstractNumId="4">
    <w:nsid w:val="721DA317"/>
    <w:multiLevelType w:val="hybridMultilevel"/>
    <w:lvl w:ilvl="0">
      <w:lvlJc w:val="left"/>
      <w:lvlText w:val="%1:"/>
      <w:numFmt w:val="upperLetter"/>
      <w:start w:val="1"/>
    </w:lvl>
  </w:abstractNum>
  <w:abstractNum w:abstractNumId="5">
    <w:nsid w:val="2443A858"/>
    <w:multiLevelType w:val="hybridMultilevel"/>
    <w:lvl w:ilvl="0">
      <w:lvlJc w:val="left"/>
      <w:lvlText w:val="%1:"/>
      <w:numFmt w:val="upperLetter"/>
      <w:start w:val="17"/>
    </w:lvl>
  </w:abstractNum>
  <w:abstractNum w:abstractNumId="6">
    <w:nsid w:val="2D1D5AE9"/>
    <w:multiLevelType w:val="hybridMultilevel"/>
    <w:lvl w:ilvl="0">
      <w:lvlJc w:val="left"/>
      <w:lvlText w:val="%1:"/>
      <w:numFmt w:val="upperLetter"/>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upperLetter"/>
      <w:start w:val="17"/>
    </w:lvl>
  </w:abstractNum>
  <w:abstractNum w:abstractNumId="9">
    <w:nsid w:val="8EDBDAB"/>
    <w:multiLevelType w:val="hybridMultilevel"/>
    <w:lvl w:ilvl="0">
      <w:lvlJc w:val="left"/>
      <w:lvlText w:val="%1:"/>
      <w:numFmt w:val="upperLetter"/>
      <w:start w:val="1"/>
    </w:lvl>
  </w:abstractNum>
  <w:abstractNum w:abstractNumId="10">
    <w:nsid w:val="79838CB2"/>
    <w:multiLevelType w:val="hybridMultilevel"/>
    <w:lvl w:ilvl="0">
      <w:lvlJc w:val="left"/>
      <w:lvlText w:val="%1:"/>
      <w:numFmt w:val="upperLetter"/>
      <w:start w:val="17"/>
    </w:lvl>
  </w:abstractNum>
  <w:abstractNum w:abstractNumId="11">
    <w:nsid w:val="4353D0CD"/>
    <w:multiLevelType w:val="hybridMultilevel"/>
    <w:lvl w:ilvl="0">
      <w:lvlJc w:val="left"/>
      <w:lvlText w:val="%1:"/>
      <w:numFmt w:val="upperLetter"/>
      <w:start w:val="1"/>
    </w:lvl>
  </w:abstractNum>
  <w:abstractNum w:abstractNumId="12">
    <w:nsid w:val="B03E0C6"/>
    <w:multiLevelType w:val="hybridMultilevel"/>
    <w:lvl w:ilvl="0">
      <w:lvlJc w:val="left"/>
      <w:lvlText w:val="%1:"/>
      <w:numFmt w:val="upperLetter"/>
      <w:start w:val="17"/>
    </w:lvl>
  </w:abstractNum>
  <w:abstractNum w:abstractNumId="13">
    <w:nsid w:val="189A769B"/>
    <w:multiLevelType w:val="hybridMultilevel"/>
    <w:lvl w:ilvl="0">
      <w:lvlJc w:val="left"/>
      <w:lvlText w:val="%1:"/>
      <w:numFmt w:val="upperLetter"/>
      <w:start w:val="1"/>
    </w:lvl>
  </w:abstractNum>
  <w:abstractNum w:abstractNumId="14">
    <w:nsid w:val="54E49EB4"/>
    <w:multiLevelType w:val="hybridMultilevel"/>
    <w:lvl w:ilvl="0">
      <w:lvlJc w:val="left"/>
      <w:lvlText w:val="%1:"/>
      <w:numFmt w:val="upperLetter"/>
      <w:start w:val="17"/>
    </w:lvl>
  </w:abstractNum>
  <w:abstractNum w:abstractNumId="15">
    <w:nsid w:val="71F32454"/>
    <w:multiLevelType w:val="hybridMultilevel"/>
    <w:lvl w:ilvl="0">
      <w:lvlJc w:val="left"/>
      <w:lvlText w:val="%1:"/>
      <w:numFmt w:val="upperLetter"/>
      <w:start w:val="1"/>
    </w:lvl>
  </w:abstractNum>
  <w:abstractNum w:abstractNumId="16">
    <w:nsid w:val="2CA88611"/>
    <w:multiLevelType w:val="hybridMultilevel"/>
    <w:lvl w:ilvl="0">
      <w:lvlJc w:val="left"/>
      <w:lvlText w:val="%1:"/>
      <w:numFmt w:val="upperLetter"/>
      <w:start w:val="17"/>
    </w:lvl>
  </w:abstractNum>
  <w:abstractNum w:abstractNumId="17">
    <w:nsid w:val="836C40E"/>
    <w:multiLevelType w:val="hybridMultilevel"/>
    <w:lvl w:ilvl="0">
      <w:lvlJc w:val="left"/>
      <w:lvlText w:val="%1:"/>
      <w:numFmt w:val="upperLetter"/>
      <w:start w:val="1"/>
    </w:lvl>
  </w:abstractNum>
  <w:abstractNum w:abstractNumId="18">
    <w:nsid w:val="2901D82"/>
    <w:multiLevelType w:val="hybridMultilevel"/>
    <w:lvl w:ilvl="0">
      <w:lvlJc w:val="left"/>
      <w:lvlText w:val="%1:"/>
      <w:numFmt w:val="upperLetter"/>
      <w:start w:val="17"/>
    </w:lvl>
  </w:abstractNum>
  <w:abstractNum w:abstractNumId="19">
    <w:nsid w:val="3A95F874"/>
    <w:multiLevelType w:val="hybridMultilevel"/>
    <w:lvl w:ilvl="0">
      <w:lvlJc w:val="left"/>
      <w:lvlText w:val="%1:"/>
      <w:numFmt w:val="upperLetter"/>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2024-03-04T08:30:54Z</dcterms:created>
  <dcterms:modified xsi:type="dcterms:W3CDTF">2024-03-04T08:30:54Z</dcterms:modified>
</cp:coreProperties>
</file>