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76200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102235</wp:posOffset>
            </wp:positionV>
            <wp:extent cx="124460" cy="124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-403860</wp:posOffset>
            </wp:positionV>
            <wp:extent cx="124460" cy="12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746760</wp:posOffset>
            </wp:positionV>
            <wp:extent cx="7045960" cy="47942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9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UFP Packaging,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112.19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Individual transactions were reported correctly, but the number of derivative securities beneficially owned was overstated on the form 4 filed 2.21.2024 and forward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-7620</wp:posOffset>
            </wp:positionV>
            <wp:extent cx="967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1884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5422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5" Type="http://schemas.openxmlformats.org/officeDocument/2006/relationships/hyperlink" Target="http://www.sec.gov/cgi-bin/browse-edgar?action=getcompany&amp;CIK=0001799151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2025-02-10T11:27:17Z</dcterms:created>
  <dcterms:modified xsi:type="dcterms:W3CDTF">2025-02-10T11:27:17Z</dcterms:modified>
</cp:coreProperties>
</file>