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374650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96"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27, 2020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3860" w:right="1280" w:hanging="3850"/>
        <w:spacing w:after="0" w:line="397" w:lineRule="auto"/>
        <w:tabs>
          <w:tab w:leader="none" w:pos="27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UFP INDUSTRIES,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320" w:type="dxa"/>
            <w:vAlign w:val="bottom"/>
            <w:gridSpan w:val="4"/>
          </w:tcPr>
          <w:p>
            <w:pPr>
              <w:jc w:val="center"/>
              <w:ind w:right="1260"/>
              <w:spacing w:after="0"/>
              <w:rPr>
                <w:sz w:val="20"/>
                <w:szCs w:val="20"/>
                <w:color w:val="auto"/>
              </w:rPr>
            </w:pPr>
            <w:r>
              <w:rPr>
                <w:rFonts w:ascii="Arial" w:cs="Arial" w:eastAsia="Arial" w:hAnsi="Arial"/>
                <w:sz w:val="18"/>
                <w:szCs w:val="18"/>
                <w:color w:val="auto"/>
                <w:w w:val="97"/>
              </w:rPr>
              <w:t>Michigan</w:t>
            </w:r>
          </w:p>
        </w:tc>
        <w:tc>
          <w:tcPr>
            <w:tcW w:w="3920" w:type="dxa"/>
            <w:vAlign w:val="bottom"/>
          </w:tcPr>
          <w:p>
            <w:pPr>
              <w:jc w:val="right"/>
              <w:ind w:right="1570"/>
              <w:spacing w:after="0"/>
              <w:rPr>
                <w:sz w:val="20"/>
                <w:szCs w:val="20"/>
                <w:color w:val="auto"/>
              </w:rPr>
            </w:pPr>
            <w:r>
              <w:rPr>
                <w:rFonts w:ascii="Arial" w:cs="Arial" w:eastAsia="Arial" w:hAnsi="Arial"/>
                <w:sz w:val="18"/>
                <w:szCs w:val="18"/>
                <w:color w:val="auto"/>
              </w:rPr>
              <w:t>38-1465835</w:t>
            </w:r>
          </w:p>
        </w:tc>
      </w:tr>
      <w:tr>
        <w:trPr>
          <w:trHeight w:val="202"/>
        </w:trPr>
        <w:tc>
          <w:tcPr>
            <w:tcW w:w="4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2801 East Beltline NE, Grand Rapids, Michigan</w:t>
            </w:r>
          </w:p>
        </w:tc>
        <w:tc>
          <w:tcPr>
            <w:tcW w:w="392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4"/>
              </w:rPr>
              <w:t>(Zip Code)</w:t>
            </w:r>
          </w:p>
        </w:tc>
      </w:tr>
      <w:tr>
        <w:trPr>
          <w:trHeight w:val="350"/>
        </w:trPr>
        <w:tc>
          <w:tcPr>
            <w:tcW w:w="5320" w:type="dxa"/>
            <w:vAlign w:val="bottom"/>
            <w:gridSpan w:val="4"/>
          </w:tcPr>
          <w:p>
            <w:pPr>
              <w:ind w:left="460"/>
              <w:spacing w:after="0"/>
              <w:rPr>
                <w:sz w:val="20"/>
                <w:szCs w:val="20"/>
                <w:color w:val="auto"/>
              </w:rPr>
            </w:pPr>
            <w:r>
              <w:rPr>
                <w:rFonts w:ascii="Arial" w:cs="Arial" w:eastAsia="Arial" w:hAnsi="Arial"/>
                <w:sz w:val="18"/>
                <w:szCs w:val="18"/>
                <w:color w:val="auto"/>
                <w:w w:val="89"/>
              </w:rPr>
              <w:t xml:space="preserve">Registrant’s telephone number, including area code </w:t>
            </w:r>
            <w:r>
              <w:rPr>
                <w:rFonts w:ascii="Arial" w:cs="Arial" w:eastAsia="Arial" w:hAnsi="Arial"/>
                <w:sz w:val="18"/>
                <w:szCs w:val="18"/>
                <w:u w:val="single" w:color="auto"/>
                <w:color w:val="auto"/>
                <w:w w:val="89"/>
              </w:rPr>
              <w:t>(616)</w:t>
            </w:r>
            <w:r>
              <w:rPr>
                <w:rFonts w:ascii="Arial" w:cs="Arial" w:eastAsia="Arial" w:hAnsi="Arial"/>
                <w:sz w:val="18"/>
                <w:szCs w:val="18"/>
                <w:color w:val="auto"/>
                <w:w w:val="89"/>
              </w:rPr>
              <w:t xml:space="preserve">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92" w:right="819" w:bottom="1440" w:gutter="0" w:footer="0" w:header="0"/>
        </w:sectPr>
      </w:pPr>
    </w:p>
    <w:p>
      <w:pPr>
        <w:spacing w:after="0" w:line="56" w:lineRule="exact"/>
        <w:rPr>
          <w:sz w:val="24"/>
          <w:szCs w:val="24"/>
          <w:color w:val="auto"/>
        </w:rPr>
      </w:pPr>
    </w:p>
    <w:p>
      <w:pPr>
        <w:ind w:left="5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Non-Accelerated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both"/>
        <w:ind w:right="80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Emerging Growth Company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sectPr>
          <w:pgSz w:w="11900" w:h="16838" w:orient="portrait"/>
          <w:cols w:equalWidth="0" w:num="4">
            <w:col w:w="2500" w:space="660"/>
            <w:col w:w="1440" w:space="280"/>
            <w:col w:w="1820" w:space="480"/>
            <w:col w:w="3080"/>
          </w:cols>
          <w:pgMar w:left="820" w:top="692" w:right="819" w:bottom="1440" w:gutter="0" w:footer="0" w:header="0"/>
          <w:type w:val="continuous"/>
        </w:sectPr>
      </w:pPr>
    </w:p>
    <w:p>
      <w:pPr>
        <w:ind w:left="20"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100" w:type="dxa"/>
            <w:vAlign w:val="bottom"/>
            <w:gridSpan w:val="2"/>
          </w:tcPr>
          <w:p>
            <w:pPr>
              <w:jc w:val="center"/>
              <w:ind w:right="1040"/>
              <w:spacing w:after="0"/>
              <w:rPr>
                <w:sz w:val="20"/>
                <w:szCs w:val="20"/>
                <w:color w:val="auto"/>
              </w:rPr>
            </w:pPr>
            <w:r>
              <w:rPr>
                <w:rFonts w:ascii="Arial" w:cs="Arial" w:eastAsia="Arial" w:hAnsi="Arial"/>
                <w:sz w:val="18"/>
                <w:szCs w:val="18"/>
                <w:color w:val="auto"/>
                <w:w w:val="84"/>
              </w:rPr>
              <w:t>Class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Outstanding as of June 27, 2020</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61,169,181</w:t>
            </w:r>
          </w:p>
        </w:tc>
      </w:tr>
    </w:tbl>
    <w:p>
      <w:pPr>
        <w:spacing w:after="0" w:line="1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35"/>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5260" w:type="dxa"/>
            <w:vAlign w:val="bottom"/>
            <w:tcBorders>
              <w:bottom w:val="single" w:sz="8" w:color="auto"/>
            </w:tcBorders>
          </w:tcPr>
          <w:p>
            <w:pPr>
              <w:spacing w:after="0"/>
              <w:rPr>
                <w:sz w:val="11"/>
                <w:szCs w:val="11"/>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92"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580" w:type="dxa"/>
            <w:vAlign w:val="bottom"/>
          </w:tcPr>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9"/>
        </w:trPr>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5"/>
          </w:tcPr>
          <w:p>
            <w:pPr>
              <w:jc w:val="center"/>
              <w:ind w:right="2520"/>
              <w:spacing w:after="0"/>
              <w:rPr>
                <w:sz w:val="20"/>
                <w:szCs w:val="20"/>
                <w:color w:val="auto"/>
              </w:rPr>
            </w:pPr>
            <w:r>
              <w:rPr>
                <w:rFonts w:ascii="Arial" w:cs="Arial" w:eastAsia="Arial" w:hAnsi="Arial"/>
                <w:sz w:val="18"/>
                <w:szCs w:val="18"/>
                <w:b w:val="1"/>
                <w:bCs w:val="1"/>
                <w:color w:val="auto"/>
                <w:w w:val="99"/>
              </w:rPr>
              <w:t>UFP INDUSTRIES, INC.</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5"/>
          </w:tcPr>
          <w:p>
            <w:pPr>
              <w:jc w:val="center"/>
              <w:ind w:right="252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6560" w:type="dxa"/>
            <w:vAlign w:val="bottom"/>
            <w:gridSpan w:val="7"/>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Page No.</w:t>
            </w:r>
          </w:p>
        </w:tc>
      </w:tr>
      <w:tr>
        <w:trPr>
          <w:trHeight w:val="432"/>
        </w:trPr>
        <w:tc>
          <w:tcPr>
            <w:tcW w:w="1580" w:type="dxa"/>
            <w:vAlign w:val="bottom"/>
          </w:tcPr>
          <w:p>
            <w:pPr>
              <w:ind w:left="840"/>
              <w:spacing w:after="0"/>
              <w:rPr>
                <w:sz w:val="20"/>
                <w:szCs w:val="20"/>
                <w:color w:val="auto"/>
              </w:rPr>
            </w:pPr>
            <w:r>
              <w:rPr>
                <w:rFonts w:ascii="Arial" w:cs="Arial" w:eastAsia="Arial" w:hAnsi="Arial"/>
                <w:sz w:val="18"/>
                <w:szCs w:val="18"/>
                <w:color w:val="auto"/>
              </w:rPr>
              <w:t>Item 1.</w:t>
            </w:r>
          </w:p>
        </w:tc>
        <w:tc>
          <w:tcPr>
            <w:tcW w:w="6560" w:type="dxa"/>
            <w:vAlign w:val="bottom"/>
            <w:gridSpan w:val="7"/>
          </w:tcPr>
          <w:p>
            <w:pPr>
              <w:ind w:left="20"/>
              <w:spacing w:after="0"/>
              <w:rPr>
                <w:sz w:val="20"/>
                <w:szCs w:val="20"/>
                <w:color w:val="auto"/>
              </w:rPr>
            </w:pPr>
            <w:r>
              <w:rPr>
                <w:rFonts w:ascii="Arial" w:cs="Arial" w:eastAsia="Arial" w:hAnsi="Arial"/>
                <w:sz w:val="18"/>
                <w:szCs w:val="18"/>
                <w:color w:val="auto"/>
              </w:rPr>
              <w:t>Financial Statements</w:t>
            </w: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580" w:type="dxa"/>
            <w:vAlign w:val="bottom"/>
            <w:shd w:val="clear" w:color="auto" w:fill="CCEEFF"/>
          </w:tcPr>
          <w:p>
            <w:pPr>
              <w:spacing w:after="0"/>
              <w:rPr>
                <w:sz w:val="15"/>
                <w:szCs w:val="15"/>
                <w:color w:val="auto"/>
              </w:rPr>
            </w:pPr>
          </w:p>
        </w:tc>
        <w:tc>
          <w:tcPr>
            <w:tcW w:w="6560" w:type="dxa"/>
            <w:vAlign w:val="bottom"/>
            <w:gridSpan w:val="7"/>
            <w:shd w:val="clear" w:color="auto" w:fill="CCEEFF"/>
          </w:tcPr>
          <w:p>
            <w:pPr>
              <w:ind w:left="20"/>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Balance Sheets at June 27, 2020, December 28, 2019 and June</w:t>
              </w:r>
            </w:hyperlink>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15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0000EE"/>
            </w:tcBorders>
            <w:gridSpan w:val="2"/>
            <w:shd w:val="clear" w:color="auto" w:fill="CCEEFF"/>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29, 2019</w:t>
              </w:r>
            </w:hyperlink>
          </w:p>
        </w:tc>
        <w:tc>
          <w:tcPr>
            <w:tcW w:w="204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19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580" w:type="dxa"/>
            <w:vAlign w:val="bottom"/>
            <w:shd w:val="clear" w:color="auto" w:fill="CCEEFF"/>
          </w:tcPr>
          <w:p>
            <w:pPr>
              <w:spacing w:after="0"/>
              <w:rPr>
                <w:sz w:val="15"/>
                <w:szCs w:val="15"/>
                <w:color w:val="auto"/>
              </w:rPr>
            </w:pPr>
          </w:p>
        </w:tc>
        <w:tc>
          <w:tcPr>
            <w:tcW w:w="6560" w:type="dxa"/>
            <w:vAlign w:val="bottom"/>
            <w:gridSpan w:val="7"/>
            <w:shd w:val="clear" w:color="auto" w:fill="CCEEFF"/>
          </w:tcPr>
          <w:p>
            <w:pPr>
              <w:ind w:left="20"/>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Earnings and Comprehensive Income for the</w:t>
              </w:r>
            </w:hyperlink>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158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5"/>
            <w:shd w:val="clear" w:color="auto" w:fill="CCEEFF"/>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Six Months Ended June 27, 2020 and June 29, 2019</w:t>
              </w:r>
            </w:hyperlink>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58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Shareholders’  Equity  for  the  Three  and</w:t>
              </w:r>
            </w:hyperlink>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1580" w:type="dxa"/>
            <w:vAlign w:val="bottom"/>
            <w:shd w:val="clear" w:color="auto" w:fill="CCEEFF"/>
          </w:tcPr>
          <w:p>
            <w:pPr>
              <w:spacing w:after="0"/>
              <w:rPr>
                <w:sz w:val="18"/>
                <w:szCs w:val="18"/>
                <w:color w:val="auto"/>
              </w:rPr>
            </w:pPr>
          </w:p>
        </w:tc>
        <w:tc>
          <w:tcPr>
            <w:tcW w:w="6560" w:type="dxa"/>
            <w:vAlign w:val="bottom"/>
            <w:gridSpan w:val="7"/>
            <w:shd w:val="clear" w:color="auto" w:fill="CCEEFF"/>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Six Months Ended June 27, 2020 and June 29, 2019</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58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Cash Flows for the Six Months Ended June 27,</w:t>
              </w:r>
            </w:hyperlink>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1580" w:type="dxa"/>
            <w:vAlign w:val="bottom"/>
            <w:shd w:val="clear" w:color="auto" w:fill="CCEEFF"/>
          </w:tcPr>
          <w:p>
            <w:pPr>
              <w:spacing w:after="0"/>
              <w:rPr>
                <w:sz w:val="18"/>
                <w:szCs w:val="18"/>
                <w:color w:val="auto"/>
              </w:rPr>
            </w:pPr>
          </w:p>
        </w:tc>
        <w:tc>
          <w:tcPr>
            <w:tcW w:w="6560" w:type="dxa"/>
            <w:vAlign w:val="bottom"/>
            <w:gridSpan w:val="7"/>
            <w:shd w:val="clear" w:color="auto" w:fill="CCEEFF"/>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2020 and June 29, 2019</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6560" w:type="dxa"/>
            <w:vAlign w:val="bottom"/>
            <w:gridSpan w:val="7"/>
            <w:shd w:val="clear" w:color="auto" w:fill="CCEEFF"/>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22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8"/>
            <w:shd w:val="clear" w:color="auto" w:fill="CCEEFF"/>
          </w:tcPr>
          <w:p>
            <w:pPr>
              <w:ind w:left="840"/>
              <w:spacing w:after="0"/>
              <w:rPr>
                <w:rFonts w:ascii="Arial" w:cs="Arial" w:eastAsia="Arial" w:hAnsi="Arial"/>
                <w:sz w:val="18"/>
                <w:szCs w:val="18"/>
                <w:u w:val="single" w:color="auto"/>
                <w:color w:val="0000EE"/>
                <w:w w:val="93"/>
              </w:rPr>
            </w:pPr>
            <w:hyperlink w:anchor="page18">
              <w:r>
                <w:rPr>
                  <w:rFonts w:ascii="Arial" w:cs="Arial" w:eastAsia="Arial" w:hAnsi="Arial"/>
                  <w:sz w:val="18"/>
                  <w:szCs w:val="18"/>
                  <w:u w:val="single" w:color="auto"/>
                  <w:color w:val="0000EE"/>
                  <w:w w:val="93"/>
                </w:rPr>
                <w:t>Item 2.   Management’s Discussion and Analysis of Financial Condition and Results of Operations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2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8"/>
            <w:shd w:val="clear" w:color="auto" w:fill="CCEEFF"/>
          </w:tcPr>
          <w:p>
            <w:pPr>
              <w:ind w:left="8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   Quantitative and Qualitative Disclosures about Market Risk</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6"/>
        </w:trPr>
        <w:tc>
          <w:tcPr>
            <w:tcW w:w="22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8"/>
            <w:shd w:val="clear" w:color="auto" w:fill="CCEEFF"/>
          </w:tcPr>
          <w:p>
            <w:pPr>
              <w:ind w:left="8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4.   Controls and Procedures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56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Item 1.</w:t>
            </w:r>
          </w:p>
        </w:tc>
        <w:tc>
          <w:tcPr>
            <w:tcW w:w="65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8"/>
            <w:shd w:val="clear" w:color="auto" w:fill="CCEEFF"/>
          </w:tcPr>
          <w:p>
            <w:pPr>
              <w:ind w:left="840"/>
              <w:spacing w:after="0"/>
              <w:rPr>
                <w:rFonts w:ascii="Arial" w:cs="Arial" w:eastAsia="Arial" w:hAnsi="Arial"/>
                <w:sz w:val="18"/>
                <w:szCs w:val="18"/>
                <w:color w:val="0000EE"/>
              </w:rPr>
            </w:pPr>
            <w:hyperlink w:anchor="page34">
              <w:r>
                <w:rPr>
                  <w:rFonts w:ascii="Arial" w:cs="Arial" w:eastAsia="Arial" w:hAnsi="Arial"/>
                  <w:sz w:val="18"/>
                  <w:szCs w:val="18"/>
                  <w:u w:val="single" w:color="auto"/>
                  <w:color w:val="0000EE"/>
                </w:rPr>
                <w:t>Item 1A</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Risk Factors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22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8"/>
            <w:shd w:val="clear" w:color="auto" w:fill="CCEEFF"/>
          </w:tcPr>
          <w:p>
            <w:pPr>
              <w:ind w:left="8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   Unregistered Sales of Equity Securities and Use of Proceeds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Item 3.</w:t>
            </w:r>
          </w:p>
        </w:tc>
        <w:tc>
          <w:tcPr>
            <w:tcW w:w="65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Item 4.</w:t>
            </w:r>
          </w:p>
        </w:tc>
        <w:tc>
          <w:tcPr>
            <w:tcW w:w="65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8"/>
            <w:shd w:val="clear" w:color="auto" w:fill="CCEEFF"/>
          </w:tcPr>
          <w:p>
            <w:pPr>
              <w:ind w:left="8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5.   Other Information – NONE</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6.</w:t>
              </w:r>
            </w:hyperlink>
          </w:p>
        </w:tc>
        <w:tc>
          <w:tcPr>
            <w:tcW w:w="6560" w:type="dxa"/>
            <w:vAlign w:val="bottom"/>
            <w:gridSpan w:val="7"/>
            <w:shd w:val="clear" w:color="auto" w:fill="CCEEFF"/>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878"/>
        </w:trPr>
        <w:tc>
          <w:tcPr>
            <w:tcW w:w="1580" w:type="dxa"/>
            <w:vAlign w:val="bottom"/>
          </w:tcPr>
          <w:p>
            <w:pPr>
              <w:spacing w:after="0"/>
              <w:rPr>
                <w:sz w:val="24"/>
                <w:szCs w:val="24"/>
                <w:color w:val="auto"/>
              </w:rPr>
            </w:pPr>
          </w:p>
        </w:tc>
        <w:tc>
          <w:tcPr>
            <w:tcW w:w="3760" w:type="dxa"/>
            <w:vAlign w:val="bottom"/>
            <w:gridSpan w:val="3"/>
          </w:tcPr>
          <w:p>
            <w:pPr>
              <w:jc w:val="center"/>
              <w:ind w:left="1910"/>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9"/>
              </w:rPr>
              <w:t>June 27,</w:t>
            </w:r>
          </w:p>
        </w:tc>
        <w:tc>
          <w:tcPr>
            <w:tcW w:w="220" w:type="dxa"/>
            <w:vAlign w:val="bottom"/>
          </w:tcPr>
          <w:p>
            <w:pPr>
              <w:spacing w:after="0"/>
              <w:rPr>
                <w:sz w:val="16"/>
                <w:szCs w:val="16"/>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11"/>
        </w:trPr>
        <w:tc>
          <w:tcPr>
            <w:tcW w:w="4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9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6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200,546</w:t>
            </w:r>
          </w:p>
        </w:tc>
        <w:tc>
          <w:tcPr>
            <w:tcW w:w="42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net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522,930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364,027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483,263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244,073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236,283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258,078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215,351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250,591</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270,602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inventories</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459,424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486,874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528,680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Refundable income taxes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Other current assets</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33,786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41,706</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46,868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1,236,605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1,093,072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1,097,108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2,058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2,763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17,162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77,039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80,167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70,650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247,482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229,536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225,269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45,131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48,313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41,176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Property, plant and equipment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922,427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884,963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851,565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(520,851)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(497,789)</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(482,993)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40" w:type="dxa"/>
            <w:vAlign w:val="bottom"/>
            <w:tcBorders>
              <w:bottom w:val="single" w:sz="8" w:color="CCEEFF"/>
            </w:tcBorders>
          </w:tcPr>
          <w:p>
            <w:pPr>
              <w:ind w:left="400"/>
              <w:spacing w:after="0" w:line="135" w:lineRule="exact"/>
              <w:rPr>
                <w:sz w:val="20"/>
                <w:szCs w:val="20"/>
                <w:color w:val="auto"/>
              </w:rPr>
            </w:pPr>
            <w:r>
              <w:rPr>
                <w:rFonts w:ascii="Arial" w:cs="Arial" w:eastAsia="Arial" w:hAnsi="Arial"/>
                <w:sz w:val="14"/>
                <w:szCs w:val="14"/>
                <w:color w:val="auto"/>
              </w:rPr>
              <w:t>PROPERTY, PLANT AND EQUIPMENT, NET</w:t>
            </w: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401,576</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387,174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368,572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2,058,608</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1,889,477</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1,850,659</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Cash overdraft</w:t>
            </w:r>
          </w:p>
        </w:tc>
        <w:tc>
          <w:tcPr>
            <w:tcW w:w="6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24,972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199,338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142,479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189,649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129,290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141,892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Income taxes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25,109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51,572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Current portion of lease liability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15,411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15,283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portion of long-term debt</w:t>
            </w: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2,786</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2,816</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CURRENT LIABILITIES</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435,212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354,042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379,606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161,057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160,867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LEASE LIABILITY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61,674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64,884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55,875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22,685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38,655</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29,071</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29,701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719,283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631,744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667,426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Controlling interest shareholders’ equity:</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40" w:type="dxa"/>
            <w:vAlign w:val="bottom"/>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tcPr>
          <w:p>
            <w:pPr>
              <w:ind w:left="320"/>
              <w:spacing w:after="0"/>
              <w:rPr>
                <w:sz w:val="20"/>
                <w:szCs w:val="20"/>
                <w:color w:val="auto"/>
              </w:rPr>
            </w:pPr>
            <w:r>
              <w:rPr>
                <w:rFonts w:ascii="Arial" w:cs="Arial" w:eastAsia="Arial" w:hAnsi="Arial"/>
                <w:sz w:val="14"/>
                <w:szCs w:val="14"/>
                <w:color w:val="auto"/>
              </w:rPr>
              <w:t>outstanding, none</w:t>
            </w:r>
          </w:p>
        </w:tc>
        <w:tc>
          <w:tcPr>
            <w:tcW w:w="6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7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9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stock, $1 par value; shares authorized 80,000,000; issued and</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61,169,181, 61,408,589 and 61,366,680</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61,169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61,409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61,367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213,809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192,173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192,783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1,057,817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995,022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917,704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(8,396)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(4,889)</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(4,479)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controlling interest shareholders’ equity</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1,324,399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1,243,715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1,167,375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Noncontrolling interest</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14,926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14,018</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15,858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SHAREHOLDERS’ EQUITY</w:t>
            </w: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1,339,325</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1,257,733</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1,183,233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line="135" w:lineRule="exact"/>
              <w:rPr>
                <w:sz w:val="20"/>
                <w:szCs w:val="20"/>
                <w:color w:val="auto"/>
              </w:rPr>
            </w:pPr>
            <w:r>
              <w:rPr>
                <w:rFonts w:ascii="Arial" w:cs="Arial" w:eastAsia="Arial" w:hAnsi="Arial"/>
                <w:sz w:val="14"/>
                <w:szCs w:val="14"/>
                <w:color w:val="auto"/>
              </w:rPr>
              <w:t>TOTAL LIABILITIES AND SHAREHOLDERS’ EQUITY</w:t>
            </w:r>
          </w:p>
        </w:tc>
        <w:tc>
          <w:tcPr>
            <w:tcW w:w="520" w:type="dxa"/>
            <w:vAlign w:val="bottom"/>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2,058,608</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1,889,477</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1,850,659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6"/>
                <w:szCs w:val="16"/>
                <w:color w:val="auto"/>
              </w:rPr>
            </w:pPr>
          </w:p>
        </w:tc>
        <w:tc>
          <w:tcPr>
            <w:tcW w:w="2020" w:type="dxa"/>
            <w:vAlign w:val="bottom"/>
            <w:gridSpan w:val="3"/>
            <w:vMerge w:val="restart"/>
          </w:tcPr>
          <w:p>
            <w:pPr>
              <w:jc w:val="right"/>
              <w:ind w:right="27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2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1"/>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top w:val="single" w:sz="8" w:color="auto"/>
            </w:tcBorders>
          </w:tcPr>
          <w:p>
            <w:pPr>
              <w:jc w:val="right"/>
              <w:ind w:right="115"/>
              <w:spacing w:after="0" w:line="126" w:lineRule="exact"/>
              <w:rPr>
                <w:sz w:val="20"/>
                <w:szCs w:val="20"/>
                <w:color w:val="auto"/>
              </w:rPr>
            </w:pPr>
            <w:r>
              <w:rPr>
                <w:rFonts w:ascii="Arial" w:cs="Arial" w:eastAsia="Arial" w:hAnsi="Arial"/>
                <w:sz w:val="14"/>
                <w:szCs w:val="14"/>
                <w:b w:val="1"/>
                <w:bCs w:val="1"/>
                <w:color w:val="auto"/>
              </w:rPr>
              <w:t>June 27,</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3"/>
              <w:spacing w:after="0" w:line="126" w:lineRule="exact"/>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0"/>
                <w:szCs w:val="10"/>
                <w:color w:val="auto"/>
              </w:rPr>
            </w:pPr>
          </w:p>
        </w:tc>
        <w:tc>
          <w:tcPr>
            <w:tcW w:w="920" w:type="dxa"/>
            <w:vAlign w:val="bottom"/>
            <w:tcBorders>
              <w:top w:val="single" w:sz="8" w:color="auto"/>
            </w:tcBorders>
          </w:tcPr>
          <w:p>
            <w:pPr>
              <w:jc w:val="right"/>
              <w:ind w:right="115"/>
              <w:spacing w:after="0" w:line="126" w:lineRule="exact"/>
              <w:rPr>
                <w:sz w:val="20"/>
                <w:szCs w:val="20"/>
                <w:color w:val="auto"/>
              </w:rPr>
            </w:pPr>
            <w:r>
              <w:rPr>
                <w:rFonts w:ascii="Arial" w:cs="Arial" w:eastAsia="Arial" w:hAnsi="Arial"/>
                <w:sz w:val="14"/>
                <w:szCs w:val="14"/>
                <w:b w:val="1"/>
                <w:bCs w:val="1"/>
                <w:color w:val="auto"/>
              </w:rPr>
              <w:t>June 27,</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3"/>
              <w:spacing w:after="0" w:line="126"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110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12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6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10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$ 1,242,001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$ 1,239,817</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$ 2,274,063</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$ 2,254,943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COST OF GOODS SOLD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1,037,070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1,053,091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1,901,896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1,913,950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204,931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186,726</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372,167</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340,993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113,781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112,891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223,121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218,207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EARNINGS FROM OPERATIONS</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92,359</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74,237</w:t>
            </w:r>
          </w:p>
        </w:tc>
        <w:tc>
          <w:tcPr>
            <w:tcW w:w="1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150,990</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122,683</w:t>
            </w: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INTEREST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(GAIN) ON INVESTMENTS AND</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10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(992)</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1,725</w:t>
            </w:r>
          </w:p>
        </w:tc>
        <w:tc>
          <w:tcPr>
            <w:tcW w:w="14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3,747</w:t>
            </w: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2,592</w:t>
            </w: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147,243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INCOME TAXES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23,657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36,979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28,944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55,145</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110,264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91,147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44" w:right="1440" w:bottom="1440" w:gutter="0" w:footer="0" w:header="0"/>
        </w:sectPr>
      </w:pPr>
    </w:p>
    <w:p>
      <w:pPr>
        <w:ind w:left="60" w:right="760"/>
        <w:spacing w:after="0" w:line="260" w:lineRule="auto"/>
        <w:rPr>
          <w:sz w:val="20"/>
          <w:szCs w:val="20"/>
          <w:color w:val="auto"/>
        </w:rPr>
      </w:pPr>
      <w:r>
        <w:rPr>
          <w:rFonts w:ascii="Arial" w:cs="Arial" w:eastAsia="Arial" w:hAnsi="Arial"/>
          <w:sz w:val="16"/>
          <w:szCs w:val="16"/>
          <w:color w:val="auto"/>
        </w:rPr>
        <w:t>LESS NET EARNINGS ATTRIBUTABLE TO NONCONTROLLING INTEREST</w:t>
      </w:r>
    </w:p>
    <w:p>
      <w:pPr>
        <w:ind w:left="60"/>
        <w:spacing w:after="0" w:line="288" w:lineRule="auto"/>
        <w:rPr>
          <w:sz w:val="20"/>
          <w:szCs w:val="20"/>
          <w:color w:val="auto"/>
        </w:rPr>
      </w:pPr>
      <w:r>
        <w:rPr>
          <w:rFonts w:ascii="Arial" w:cs="Arial" w:eastAsia="Arial" w:hAnsi="Arial"/>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400"/>
        <w:spacing w:after="0"/>
        <w:tabs>
          <w:tab w:leader="none" w:pos="1620" w:val="left"/>
          <w:tab w:leader="none" w:pos="2560" w:val="left"/>
          <w:tab w:leader="none" w:pos="3660" w:val="left"/>
        </w:tabs>
        <w:rPr>
          <w:sz w:val="20"/>
          <w:szCs w:val="20"/>
          <w:color w:val="auto"/>
        </w:rPr>
      </w:pPr>
      <w:r>
        <w:rPr>
          <w:rFonts w:ascii="Arial" w:cs="Arial" w:eastAsia="Arial" w:hAnsi="Arial"/>
          <w:sz w:val="18"/>
          <w:szCs w:val="18"/>
          <w:color w:val="auto"/>
        </w:rPr>
        <w:t>(3,231)</w:t>
      </w:r>
      <w:r>
        <w:rPr>
          <w:sz w:val="20"/>
          <w:szCs w:val="20"/>
          <w:color w:val="auto"/>
        </w:rPr>
        <w:tab/>
      </w:r>
      <w:r>
        <w:rPr>
          <w:rFonts w:ascii="Arial" w:cs="Arial" w:eastAsia="Arial" w:hAnsi="Arial"/>
          <w:sz w:val="18"/>
          <w:szCs w:val="18"/>
          <w:color w:val="auto"/>
        </w:rPr>
        <w:t>(630)</w:t>
      </w:r>
      <w:r>
        <w:rPr>
          <w:sz w:val="20"/>
          <w:szCs w:val="20"/>
          <w:color w:val="auto"/>
        </w:rPr>
        <w:tab/>
      </w:r>
      <w:r>
        <w:rPr>
          <w:rFonts w:ascii="Arial" w:cs="Arial" w:eastAsia="Arial" w:hAnsi="Arial"/>
          <w:sz w:val="18"/>
          <w:szCs w:val="18"/>
          <w:color w:val="auto"/>
        </w:rPr>
        <w:t>(3,642)</w:t>
      </w:r>
      <w:r>
        <w:rPr>
          <w:sz w:val="20"/>
          <w:szCs w:val="20"/>
          <w:color w:val="auto"/>
        </w:rPr>
        <w:tab/>
      </w:r>
      <w:r>
        <w:rPr>
          <w:rFonts w:ascii="Arial" w:cs="Arial" w:eastAsia="Arial" w:hAnsi="Arial"/>
          <w:sz w:val="16"/>
          <w:szCs w:val="16"/>
          <w:color w:val="auto"/>
        </w:rPr>
        <w:t>(1,092)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14605</wp:posOffset>
            </wp:positionV>
            <wp:extent cx="5648960"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8960" cy="265430"/>
                    </a:xfrm>
                    <a:prstGeom prst="rect">
                      <a:avLst/>
                    </a:prstGeom>
                    <a:noFill/>
                  </pic:spPr>
                </pic:pic>
              </a:graphicData>
            </a:graphic>
          </wp:anchor>
        </w:drawing>
      </w:r>
    </w:p>
    <w:p>
      <w:pPr>
        <w:spacing w:after="0" w:line="178" w:lineRule="exact"/>
        <w:rPr>
          <w:sz w:val="20"/>
          <w:szCs w:val="20"/>
          <w:color w:val="auto"/>
        </w:rPr>
      </w:pPr>
    </w:p>
    <w:p>
      <w:pPr>
        <w:spacing w:after="0"/>
        <w:tabs>
          <w:tab w:leader="none" w:pos="360" w:val="left"/>
          <w:tab w:leader="none" w:pos="1100" w:val="left"/>
          <w:tab w:leader="none" w:pos="1460" w:val="left"/>
          <w:tab w:leader="none" w:pos="2160" w:val="left"/>
          <w:tab w:leader="none" w:pos="2440" w:val="left"/>
          <w:tab w:leader="none" w:pos="3260" w:val="left"/>
          <w:tab w:leader="none" w:pos="3640" w:val="left"/>
        </w:tabs>
        <w:rPr>
          <w:sz w:val="20"/>
          <w:szCs w:val="20"/>
          <w:color w:val="auto"/>
        </w:rPr>
      </w:pPr>
      <w:r>
        <w:rPr>
          <w:rFonts w:ascii="Arial" w:cs="Arial" w:eastAsia="Arial" w:hAnsi="Arial"/>
          <w:sz w:val="18"/>
          <w:szCs w:val="18"/>
          <w:u w:val="single" w:color="auto"/>
          <w:color w:val="auto"/>
        </w:rPr>
        <w:t>$</w:t>
        <w:tab/>
        <w:t>66,463</w:t>
        <w:tab/>
        <w:t>$</w:t>
        <w:tab/>
        <w:t>54,515</w:t>
        <w:tab/>
        <w:t>$</w:t>
        <w:tab/>
        <w:t>106,622</w:t>
        <w:tab/>
        <w:t>$</w:t>
      </w:r>
      <w:r>
        <w:rPr>
          <w:sz w:val="20"/>
          <w:szCs w:val="20"/>
          <w:color w:val="auto"/>
        </w:rPr>
        <w:tab/>
      </w:r>
      <w:r>
        <w:rPr>
          <w:rFonts w:ascii="Arial" w:cs="Arial" w:eastAsia="Arial" w:hAnsi="Arial"/>
          <w:sz w:val="15"/>
          <w:szCs w:val="15"/>
          <w:u w:val="single" w:color="auto"/>
          <w:color w:val="auto"/>
        </w:rPr>
        <w:t>90,055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665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3900" w:space="660"/>
            <w:col w:w="4459"/>
          </w:cols>
          <w:pgMar w:left="1440" w:top="544" w:right="1440" w:bottom="1440" w:gutter="0" w:footer="0" w:header="0"/>
          <w:type w:val="continuous"/>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GAIN (LOSS)</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20" w:type="dxa"/>
            <w:vAlign w:val="bottom"/>
          </w:tcPr>
          <w:p>
            <w:pPr>
              <w:spacing w:after="0"/>
              <w:rPr>
                <w:sz w:val="20"/>
                <w:szCs w:val="20"/>
                <w:color w:val="auto"/>
              </w:rPr>
            </w:pPr>
            <w:r>
              <w:rPr>
                <w:rFonts w:ascii="Arial" w:cs="Arial" w:eastAsia="Arial" w:hAnsi="Arial"/>
                <w:sz w:val="16"/>
                <w:szCs w:val="16"/>
                <w:color w:val="auto"/>
              </w:rPr>
              <w:t>LESS COMPREHENSIVE INCOME ATTRIBUTABLE TO</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(3,356)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(1,432)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(1,477)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2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COMPREHENSIVE INCOME ATTRIBUTABLE TO</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69,177</w:t>
            </w: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54,825</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103,115</w:t>
            </w: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91,514</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CONTROLLING INTEREST</w:t>
            </w:r>
          </w:p>
        </w:tc>
        <w:tc>
          <w:tcPr>
            <w:tcW w:w="52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60" w:type="dxa"/>
        <w:tblCellMar>
          <w:top w:w="0" w:type="dxa"/>
          <w:left w:w="0" w:type="dxa"/>
          <w:bottom w:w="0" w:type="dxa"/>
          <w:right w:w="0" w:type="dxa"/>
        </w:tblCellMar>
      </w:tblPr>
      <w:tr>
        <w:trPr>
          <w:trHeight w:val="166"/>
        </w:trPr>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0"/>
          </w:tcPr>
          <w:p>
            <w:pPr>
              <w:ind w:left="40"/>
              <w:spacing w:after="0" w:line="159" w:lineRule="exact"/>
              <w:rPr>
                <w:sz w:val="20"/>
                <w:szCs w:val="20"/>
                <w:color w:val="auto"/>
              </w:rPr>
            </w:pPr>
            <w:r>
              <w:rPr>
                <w:rFonts w:ascii="Arial" w:cs="Arial" w:eastAsia="Arial" w:hAnsi="Arial"/>
                <w:sz w:val="14"/>
                <w:szCs w:val="14"/>
                <w:b w:val="1"/>
                <w:bCs w:val="1"/>
                <w:color w:val="auto"/>
              </w:rPr>
              <w:t>Controlling Interest Shareholders’ Equity</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28"/>
              <w:spacing w:after="0" w:line="126"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Common</w:t>
            </w:r>
          </w:p>
        </w:tc>
        <w:tc>
          <w:tcPr>
            <w:tcW w:w="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Other</w:t>
            </w:r>
          </w:p>
        </w:tc>
        <w:tc>
          <w:tcPr>
            <w:tcW w:w="12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w w:val="90"/>
              </w:rPr>
              <w:t>Earnings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28,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61,409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192,173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995,022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(4,889)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14,018</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1,257,733</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40,159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40,570</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(8,286)</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Additional purchase of noncontrolling interest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 $0.125 per share - quarterly</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(7,730)</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w w:val="97"/>
              </w:rPr>
              <w:t>Issuance of 10,549 shares under employee stock plans</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issuance of 350,124 shares under stock grant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12,805</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w w:val="95"/>
              </w:rPr>
              <w:t>Issuance of 89,616 shares under deferred compensation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756,397 shares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(29,212)</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arrangements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5,343</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5,343</w:t>
            </w:r>
          </w:p>
        </w:tc>
        <w:tc>
          <w:tcPr>
            <w:tcW w:w="0" w:type="dxa"/>
            <w:vAlign w:val="bottom"/>
          </w:tcPr>
          <w:p>
            <w:pPr>
              <w:spacing w:after="0"/>
              <w:rPr>
                <w:sz w:val="1"/>
                <w:szCs w:val="1"/>
                <w:color w:val="auto"/>
              </w:rPr>
            </w:pPr>
          </w:p>
        </w:tc>
      </w:tr>
      <w:tr>
        <w:trPr>
          <w:trHeight w:val="136"/>
        </w:trPr>
        <w:tc>
          <w:tcPr>
            <w:tcW w:w="3360" w:type="dxa"/>
            <w:vAlign w:val="bottom"/>
          </w:tcPr>
          <w:p>
            <w:pPr>
              <w:spacing w:after="0" w:line="135" w:lineRule="exact"/>
              <w:rPr>
                <w:sz w:val="20"/>
                <w:szCs w:val="20"/>
                <w:color w:val="auto"/>
              </w:rPr>
            </w:pPr>
            <w:r>
              <w:rPr>
                <w:rFonts w:ascii="Arial" w:cs="Arial" w:eastAsia="Arial" w:hAnsi="Arial"/>
                <w:sz w:val="14"/>
                <w:szCs w:val="14"/>
                <w:b w:val="1"/>
                <w:bCs w:val="1"/>
                <w:color w:val="auto"/>
              </w:rPr>
              <w:t>Balance at March 28, 2020</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61,102</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211,724</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998,996</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(11,110)</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11,570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1,272,282</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69,694</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Cash dividends - $0.125 per share - quarterly</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(7,644)</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9,714 shares under employee stock plans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Net issuance of 42,880 shares under stock grant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Issuance of 14,106 shares under deferred compensation</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plans</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arrangements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1,082</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4"/>
                <w:szCs w:val="14"/>
                <w:b w:val="1"/>
                <w:bCs w:val="1"/>
                <w:color w:val="auto"/>
              </w:rPr>
              <w:t>Balance at June 27,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61,169</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8"/>
              </w:rPr>
              <w:t>213,809</w:t>
            </w:r>
          </w:p>
        </w:tc>
        <w:tc>
          <w:tcPr>
            <w:tcW w:w="1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1,057,817</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(8,396)</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14,926</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9"/>
              </w:rPr>
              <w:t>1,339,325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1520" w:right="580"/>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CONTINUED (Unaudited)</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66"/>
        </w:trPr>
        <w:tc>
          <w:tcPr>
            <w:tcW w:w="3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0"/>
          </w:tcPr>
          <w:p>
            <w:pPr>
              <w:jc w:val="right"/>
              <w:ind w:right="600"/>
              <w:spacing w:after="0" w:line="159" w:lineRule="exact"/>
              <w:rPr>
                <w:sz w:val="20"/>
                <w:szCs w:val="20"/>
                <w:color w:val="auto"/>
              </w:rPr>
            </w:pPr>
            <w:r>
              <w:rPr>
                <w:rFonts w:ascii="Arial" w:cs="Arial" w:eastAsia="Arial" w:hAnsi="Arial"/>
                <w:sz w:val="14"/>
                <w:szCs w:val="14"/>
                <w:b w:val="1"/>
                <w:bCs w:val="1"/>
                <w:color w:val="auto"/>
                <w:w w:val="93"/>
              </w:rPr>
              <w:t>Controlling Interest Shareholders’ Equity</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Common</w:t>
            </w: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8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December 29, 2018</w:t>
            </w: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60,884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178,540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839,917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(5,938)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15,281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1,088,684</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35,540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36,002</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130"/>
        </w:trPr>
        <w:tc>
          <w:tcPr>
            <w:tcW w:w="3380" w:type="dxa"/>
            <w:vAlign w:val="bottom"/>
          </w:tcPr>
          <w:p>
            <w:pPr>
              <w:ind w:left="20"/>
              <w:spacing w:after="0" w:line="130" w:lineRule="exact"/>
              <w:rPr>
                <w:sz w:val="20"/>
                <w:szCs w:val="20"/>
                <w:color w:val="auto"/>
              </w:rPr>
            </w:pPr>
            <w:r>
              <w:rPr>
                <w:rFonts w:ascii="Arial" w:cs="Arial" w:eastAsia="Arial" w:hAnsi="Arial"/>
                <w:sz w:val="14"/>
                <w:szCs w:val="14"/>
                <w:color w:val="auto"/>
              </w:rPr>
              <w:t>Unrealized gain (loss) on investment &amp; foreign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20"/>
              <w:spacing w:after="0"/>
              <w:rPr>
                <w:sz w:val="20"/>
                <w:szCs w:val="20"/>
                <w:color w:val="auto"/>
              </w:rPr>
            </w:pPr>
            <w:r>
              <w:rPr>
                <w:rFonts w:ascii="Arial" w:cs="Arial" w:eastAsia="Arial" w:hAnsi="Arial"/>
                <w:sz w:val="14"/>
                <w:szCs w:val="14"/>
                <w:color w:val="auto"/>
              </w:rPr>
              <w:t>currency</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Arial" w:cs="Arial" w:eastAsia="Arial" w:hAnsi="Arial"/>
                <w:sz w:val="14"/>
                <w:szCs w:val="14"/>
                <w:color w:val="auto"/>
                <w:w w:val="97"/>
              </w:rPr>
              <w:t>Issuance of 10,259 shares under employee stock plans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30"/>
        </w:trPr>
        <w:tc>
          <w:tcPr>
            <w:tcW w:w="33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issuance of 320,069 shares under stock grant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6,421</w:t>
            </w:r>
          </w:p>
        </w:tc>
        <w:tc>
          <w:tcPr>
            <w:tcW w:w="0" w:type="dxa"/>
            <w:vAlign w:val="bottom"/>
          </w:tcPr>
          <w:p>
            <w:pPr>
              <w:spacing w:after="0"/>
              <w:rPr>
                <w:sz w:val="1"/>
                <w:szCs w:val="1"/>
                <w:color w:val="auto"/>
              </w:rPr>
            </w:pPr>
          </w:p>
        </w:tc>
      </w:tr>
      <w:tr>
        <w:trPr>
          <w:trHeight w:val="130"/>
        </w:trPr>
        <w:tc>
          <w:tcPr>
            <w:tcW w:w="3380" w:type="dxa"/>
            <w:vAlign w:val="bottom"/>
          </w:tcPr>
          <w:p>
            <w:pPr>
              <w:ind w:left="20"/>
              <w:spacing w:after="0" w:line="130" w:lineRule="exact"/>
              <w:rPr>
                <w:sz w:val="20"/>
                <w:szCs w:val="20"/>
                <w:color w:val="auto"/>
              </w:rPr>
            </w:pPr>
            <w:r>
              <w:rPr>
                <w:rFonts w:ascii="Arial" w:cs="Arial" w:eastAsia="Arial" w:hAnsi="Arial"/>
                <w:sz w:val="14"/>
                <w:szCs w:val="14"/>
                <w:color w:val="auto"/>
              </w:rPr>
              <w:t>Issuance of 138,295 shares under deferred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Accrued expense under deferred compensation plans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4,899</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4,899</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March 30, 2019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61,352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190,879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875,457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(4,789)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15,467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1,138,366</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54,515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55,145</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30"/>
        </w:trPr>
        <w:tc>
          <w:tcPr>
            <w:tcW w:w="3380" w:type="dxa"/>
            <w:vAlign w:val="bottom"/>
          </w:tcPr>
          <w:p>
            <w:pPr>
              <w:ind w:left="20"/>
              <w:spacing w:after="0" w:line="130" w:lineRule="exact"/>
              <w:rPr>
                <w:sz w:val="20"/>
                <w:szCs w:val="20"/>
                <w:color w:val="auto"/>
              </w:rPr>
            </w:pPr>
            <w:r>
              <w:rPr>
                <w:rFonts w:ascii="Arial" w:cs="Arial" w:eastAsia="Arial" w:hAnsi="Arial"/>
                <w:sz w:val="14"/>
                <w:szCs w:val="14"/>
                <w:color w:val="auto"/>
              </w:rPr>
              <w:t>Unrealized gain (loss) on investment &amp; foreign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20"/>
              <w:spacing w:after="0"/>
              <w:rPr>
                <w:sz w:val="20"/>
                <w:szCs w:val="20"/>
                <w:color w:val="auto"/>
              </w:rPr>
            </w:pPr>
            <w:r>
              <w:rPr>
                <w:rFonts w:ascii="Arial" w:cs="Arial" w:eastAsia="Arial" w:hAnsi="Arial"/>
                <w:sz w:val="14"/>
                <w:szCs w:val="14"/>
                <w:color w:val="auto"/>
              </w:rPr>
              <w:t>currency</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Arial" w:cs="Arial" w:eastAsia="Arial" w:hAnsi="Arial"/>
                <w:sz w:val="14"/>
                <w:szCs w:val="14"/>
                <w:color w:val="auto"/>
              </w:rPr>
              <w:t>Cash dividends - $0.200 per share - semiannually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(12,271)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(12,271)</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Issuance of 8,694 shares under employee stock plans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30"/>
        </w:trPr>
        <w:tc>
          <w:tcPr>
            <w:tcW w:w="3380" w:type="dxa"/>
            <w:vAlign w:val="bottom"/>
          </w:tcPr>
          <w:p>
            <w:pPr>
              <w:ind w:left="20"/>
              <w:spacing w:after="0" w:line="130" w:lineRule="exact"/>
              <w:rPr>
                <w:sz w:val="20"/>
                <w:szCs w:val="20"/>
                <w:color w:val="auto"/>
              </w:rPr>
            </w:pPr>
            <w:r>
              <w:rPr>
                <w:rFonts w:ascii="Arial" w:cs="Arial" w:eastAsia="Arial" w:hAnsi="Arial"/>
                <w:sz w:val="14"/>
                <w:szCs w:val="14"/>
                <w:color w:val="auto"/>
              </w:rPr>
              <w:t>Net forfeiture of 10,819 shares under stock grant</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20"/>
              <w:spacing w:after="0"/>
              <w:rPr>
                <w:sz w:val="20"/>
                <w:szCs w:val="20"/>
                <w:color w:val="auto"/>
              </w:rPr>
            </w:pPr>
            <w:r>
              <w:rPr>
                <w:rFonts w:ascii="Arial" w:cs="Arial" w:eastAsia="Arial" w:hAnsi="Arial"/>
                <w:sz w:val="14"/>
                <w:szCs w:val="14"/>
                <w:color w:val="auto"/>
              </w:rPr>
              <w:t>programs</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30"/>
        </w:trPr>
        <w:tc>
          <w:tcPr>
            <w:tcW w:w="33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Issuance of 16,433 shares under deferred compensation</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8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885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1,026</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35"/>
        </w:trPr>
        <w:tc>
          <w:tcPr>
            <w:tcW w:w="33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at June 29, 2019</w:t>
            </w: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61,367</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8"/>
              </w:rPr>
              <w:t>192,783</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4"/>
              </w:rPr>
              <w:t>917,704</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(4,479)</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15,858</w:t>
            </w:r>
          </w:p>
        </w:tc>
        <w:tc>
          <w:tcPr>
            <w:tcW w:w="160" w:type="dxa"/>
            <w:vAlign w:val="bottom"/>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1,183,233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28"/>
              <w:spacing w:after="0" w:line="126" w:lineRule="exact"/>
              <w:rPr>
                <w:sz w:val="20"/>
                <w:szCs w:val="20"/>
                <w:color w:val="auto"/>
              </w:rPr>
            </w:pPr>
            <w:r>
              <w:rPr>
                <w:rFonts w:ascii="Arial" w:cs="Arial" w:eastAsia="Arial" w:hAnsi="Arial"/>
                <w:sz w:val="14"/>
                <w:szCs w:val="14"/>
                <w:b w:val="1"/>
                <w:bCs w:val="1"/>
                <w:color w:val="auto"/>
                <w:w w:val="99"/>
              </w:rPr>
              <w:t>June 27,</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28"/>
              <w:spacing w:after="0" w:line="126" w:lineRule="exact"/>
              <w:rPr>
                <w:sz w:val="20"/>
                <w:szCs w:val="20"/>
                <w:color w:val="auto"/>
              </w:rPr>
            </w:pPr>
            <w:r>
              <w:rPr>
                <w:rFonts w:ascii="Arial" w:cs="Arial" w:eastAsia="Arial" w:hAnsi="Arial"/>
                <w:sz w:val="14"/>
                <w:szCs w:val="14"/>
                <w:b w:val="1"/>
                <w:bCs w:val="1"/>
                <w:color w:val="auto"/>
                <w:w w:val="99"/>
              </w:rPr>
              <w:t>June 29,</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110,264</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91,147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Depreciation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31,330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29,200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Amortization of intangibles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2,303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2,209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income taxes (credit)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Unrealized loss (gain) on investments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(1,518)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gain on disposition of assets and impairment of assets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Changes in: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(155,554)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(139,468)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300"/>
              <w:spacing w:after="0" w:line="149" w:lineRule="exact"/>
              <w:rPr>
                <w:sz w:val="20"/>
                <w:szCs w:val="20"/>
                <w:color w:val="auto"/>
              </w:rPr>
            </w:pPr>
            <w:r>
              <w:rPr>
                <w:rFonts w:ascii="Arial" w:cs="Arial" w:eastAsia="Arial" w:hAnsi="Arial"/>
                <w:sz w:val="14"/>
                <w:szCs w:val="14"/>
                <w:color w:val="auto"/>
              </w:rPr>
              <w:t>Inventories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25,983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28,008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57,017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49,947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Borders>
              <w:bottom w:val="single" w:sz="8" w:color="CCEEFF"/>
            </w:tcBorders>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72,246</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9,334</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CASH FROM OPERATING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147,210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70,948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(46,730)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(42,477)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977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and purchases of non-controlling interest, net of cash received</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(18,689)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(4,859)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18,339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318</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CASH USED IN INVESTING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(66,212)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(47,736)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393,434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(6,498)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(408,027)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debt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697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CASH USED IN FINANCING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(46,972)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(1,422)</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32,604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168,666</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28,198</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201,270</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21,521</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168,336</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27,316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0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0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168,666</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28,198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200,546</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20,497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0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0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201,270</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21,521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paid</w:t>
            </w:r>
          </w:p>
        </w:tc>
        <w:tc>
          <w:tcPr>
            <w:tcW w:w="6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14,569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Common stock issued under deferred compensation plans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5,538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5,041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07" w:lineRule="exact"/>
        <w:rPr>
          <w:sz w:val="20"/>
          <w:szCs w:val="20"/>
          <w:color w:val="auto"/>
        </w:rPr>
      </w:pPr>
    </w:p>
    <w:p>
      <w:pPr>
        <w:ind w:left="540" w:hanging="490"/>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9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28, 2019.</w:t>
      </w:r>
    </w:p>
    <w:p>
      <w:pPr>
        <w:spacing w:after="0" w:line="188"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On April 22, 2020, the shareholders approved changing the name of the Company from Universal Forest Products, Inc., to UFP Industries, Inc.</w:t>
      </w:r>
    </w:p>
    <w:p>
      <w:pPr>
        <w:spacing w:after="0" w:line="170"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29, 2019 balances in the accompanying unaudited condensed consolidated balance sheets.</w:t>
      </w:r>
    </w:p>
    <w:p>
      <w:pPr>
        <w:spacing w:after="0" w:line="188"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 xml:space="preserve">On March 11, 2020, the World Health Organization declared the novel strain of coronavirus (COVID-19) a global pandemic and recommended containment and mitigation </w:t>
      </w:r>
      <w:r>
        <w:rPr>
          <w:rFonts w:ascii="Arial" w:cs="Arial" w:eastAsia="Arial" w:hAnsi="Arial"/>
          <w:sz w:val="16"/>
          <w:szCs w:val="16"/>
          <w:color w:val="212529"/>
        </w:rPr>
        <w:t>measures worldwide, which subsequently resulted in a variety of</w:t>
      </w:r>
      <w:r>
        <w:rPr>
          <w:rFonts w:ascii="Arial" w:cs="Arial" w:eastAsia="Arial" w:hAnsi="Arial"/>
          <w:sz w:val="16"/>
          <w:szCs w:val="16"/>
          <w:color w:val="auto"/>
        </w:rPr>
        <w:t xml:space="preserve"> </w:t>
      </w:r>
      <w:r>
        <w:rPr>
          <w:rFonts w:ascii="Arial" w:cs="Arial" w:eastAsia="Arial" w:hAnsi="Arial"/>
          <w:sz w:val="16"/>
          <w:szCs w:val="16"/>
          <w:color w:val="212529"/>
        </w:rPr>
        <w:t xml:space="preserve">“stay at home” orders issued by states in which we operate. As of the date of this filing, </w:t>
      </w:r>
      <w:r>
        <w:rPr>
          <w:rFonts w:ascii="Arial" w:cs="Arial" w:eastAsia="Arial" w:hAnsi="Arial"/>
          <w:sz w:val="16"/>
          <w:szCs w:val="16"/>
          <w:color w:val="000000"/>
        </w:rPr>
        <w:t>the majority of our customers and</w:t>
      </w:r>
      <w:r>
        <w:rPr>
          <w:rFonts w:ascii="Arial" w:cs="Arial" w:eastAsia="Arial" w:hAnsi="Arial"/>
          <w:sz w:val="16"/>
          <w:szCs w:val="16"/>
          <w:color w:val="212529"/>
        </w:rPr>
        <w:t xml:space="preserve"> </w:t>
      </w:r>
      <w:r>
        <w:rPr>
          <w:rFonts w:ascii="Arial" w:cs="Arial" w:eastAsia="Arial" w:hAnsi="Arial"/>
          <w:sz w:val="16"/>
          <w:szCs w:val="16"/>
          <w:color w:val="000000"/>
        </w:rPr>
        <w:t xml:space="preserve">operations have been deemed to be essential businesses under these state orders. </w:t>
      </w:r>
      <w:r>
        <w:rPr>
          <w:rFonts w:ascii="Arial" w:cs="Arial" w:eastAsia="Arial" w:hAnsi="Arial"/>
          <w:sz w:val="16"/>
          <w:szCs w:val="16"/>
          <w:color w:val="212529"/>
        </w:rPr>
        <w:t>Consequently, all but three of our 150</w:t>
      </w:r>
      <w:r>
        <w:rPr>
          <w:rFonts w:ascii="Arial" w:cs="Arial" w:eastAsia="Arial" w:hAnsi="Arial"/>
          <w:sz w:val="16"/>
          <w:szCs w:val="16"/>
          <w:color w:val="000000"/>
        </w:rPr>
        <w:t xml:space="preserve"> </w:t>
      </w:r>
      <w:r>
        <w:rPr>
          <w:rFonts w:ascii="Arial" w:cs="Arial" w:eastAsia="Arial" w:hAnsi="Arial"/>
          <w:sz w:val="16"/>
          <w:szCs w:val="16"/>
          <w:color w:val="212529"/>
        </w:rPr>
        <w:t>plant locations remain operating. We cannot reasonably estimate the length or severity of this pandemic and government restrictions on business activity, or the extent to which these restrictions may materially impact our consolidated financial position, consolidated results of operations, and consolidated cash flows in fiscal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0"/>
              </w:rPr>
              <w:t>June 27, 2020</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June 29, 2019</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Pr>
          <w:p>
            <w:pPr>
              <w:spacing w:after="0"/>
              <w:rPr>
                <w:sz w:val="15"/>
                <w:szCs w:val="15"/>
                <w:color w:val="auto"/>
              </w:rPr>
            </w:pPr>
          </w:p>
        </w:tc>
        <w:tc>
          <w:tcPr>
            <w:tcW w:w="540" w:type="dxa"/>
            <w:vAlign w:val="bottom"/>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Fixed income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16,209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16,456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2,709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11,222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13,931</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8,651</w:t>
            </w:r>
          </w:p>
        </w:tc>
        <w:tc>
          <w:tcPr>
            <w:tcW w:w="0" w:type="dxa"/>
            <w:vAlign w:val="bottom"/>
          </w:tcPr>
          <w:p>
            <w:pPr>
              <w:spacing w:after="0"/>
              <w:rPr>
                <w:sz w:val="1"/>
                <w:szCs w:val="1"/>
                <w:color w:val="auto"/>
              </w:rPr>
            </w:pPr>
          </w:p>
        </w:tc>
      </w:tr>
      <w:tr>
        <w:trPr>
          <w:trHeight w:val="185"/>
        </w:trPr>
        <w:tc>
          <w:tcPr>
            <w:tcW w:w="1760" w:type="dxa"/>
            <w:vAlign w:val="bottom"/>
          </w:tcPr>
          <w:p>
            <w:pPr>
              <w:ind w:left="20"/>
              <w:spacing w:after="0" w:line="185" w:lineRule="exact"/>
              <w:rPr>
                <w:sz w:val="20"/>
                <w:szCs w:val="20"/>
                <w:color w:val="auto"/>
              </w:rPr>
            </w:pPr>
            <w:r>
              <w:rPr>
                <w:rFonts w:ascii="Arial" w:cs="Arial" w:eastAsia="Arial" w:hAnsi="Arial"/>
                <w:sz w:val="17"/>
                <w:szCs w:val="17"/>
                <w:color w:val="auto"/>
              </w:rPr>
              <w:t>Alternative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6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1,829</w:t>
            </w:r>
          </w:p>
        </w:tc>
        <w:tc>
          <w:tcPr>
            <w:tcW w:w="0" w:type="dxa"/>
            <w:vAlign w:val="bottom"/>
          </w:tcPr>
          <w:p>
            <w:pPr>
              <w:spacing w:after="0"/>
              <w:rPr>
                <w:sz w:val="1"/>
                <w:szCs w:val="1"/>
                <w:color w:val="auto"/>
              </w:rPr>
            </w:pPr>
          </w:p>
        </w:tc>
      </w:tr>
      <w:tr>
        <w:trPr>
          <w:trHeight w:val="204"/>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Domestic stock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6,359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6,359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2,472</w:t>
            </w:r>
          </w:p>
        </w:tc>
        <w:tc>
          <w:tcPr>
            <w:tcW w:w="0" w:type="dxa"/>
            <w:vAlign w:val="bottom"/>
          </w:tcPr>
          <w:p>
            <w:pPr>
              <w:spacing w:after="0"/>
              <w:rPr>
                <w:sz w:val="1"/>
                <w:szCs w:val="1"/>
                <w:color w:val="auto"/>
              </w:rPr>
            </w:pPr>
          </w:p>
        </w:tc>
      </w:tr>
      <w:tr>
        <w:trPr>
          <w:trHeight w:val="185"/>
        </w:trPr>
        <w:tc>
          <w:tcPr>
            <w:tcW w:w="176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International stock</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funds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Target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Bond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0" w:type="dxa"/>
            <w:vAlign w:val="bottom"/>
          </w:tcPr>
          <w:p>
            <w:pPr>
              <w:spacing w:after="0"/>
              <w:rPr>
                <w:sz w:val="1"/>
                <w:szCs w:val="1"/>
                <w:color w:val="auto"/>
              </w:rPr>
            </w:pPr>
          </w:p>
        </w:tc>
      </w:tr>
      <w:tr>
        <w:trPr>
          <w:trHeight w:val="210"/>
        </w:trPr>
        <w:tc>
          <w:tcPr>
            <w:tcW w:w="1760" w:type="dxa"/>
            <w:vAlign w:val="bottom"/>
          </w:tcPr>
          <w:p>
            <w:pPr>
              <w:ind w:left="120"/>
              <w:spacing w:after="0"/>
              <w:rPr>
                <w:sz w:val="20"/>
                <w:szCs w:val="20"/>
                <w:color w:val="auto"/>
              </w:rPr>
            </w:pPr>
            <w:r>
              <w:rPr>
                <w:rFonts w:ascii="Arial" w:cs="Arial" w:eastAsia="Arial" w:hAnsi="Arial"/>
                <w:sz w:val="17"/>
                <w:szCs w:val="17"/>
                <w:color w:val="auto"/>
              </w:rPr>
              <w:t>Alternative 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1,696</w:t>
            </w:r>
          </w:p>
        </w:tc>
        <w:tc>
          <w:tcPr>
            <w:tcW w:w="0" w:type="dxa"/>
            <w:vAlign w:val="bottom"/>
          </w:tcPr>
          <w:p>
            <w:pPr>
              <w:spacing w:after="0"/>
              <w:rPr>
                <w:sz w:val="1"/>
                <w:szCs w:val="1"/>
                <w:color w:val="auto"/>
              </w:rPr>
            </w:pPr>
          </w:p>
        </w:tc>
      </w:tr>
      <w:tr>
        <w:trPr>
          <w:trHeight w:val="223"/>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mutual funds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7,308</w:t>
            </w:r>
          </w:p>
        </w:tc>
        <w:tc>
          <w:tcPr>
            <w:tcW w:w="0" w:type="dxa"/>
            <w:vAlign w:val="bottom"/>
          </w:tcPr>
          <w:p>
            <w:pPr>
              <w:spacing w:after="0"/>
              <w:rPr>
                <w:sz w:val="1"/>
                <w:szCs w:val="1"/>
                <w:color w:val="auto"/>
              </w:rPr>
            </w:pPr>
          </w:p>
        </w:tc>
      </w:tr>
      <w:tr>
        <w:trPr>
          <w:trHeight w:val="189"/>
        </w:trPr>
        <w:tc>
          <w:tcPr>
            <w:tcW w:w="1760" w:type="dxa"/>
            <w:vAlign w:val="bottom"/>
          </w:tcPr>
          <w:p>
            <w:pPr>
              <w:ind w:left="20"/>
              <w:spacing w:after="0" w:line="189" w:lineRule="exact"/>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w w:val="96"/>
              </w:rPr>
              <w:t>18,579</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19,293</w:t>
            </w:r>
          </w:p>
        </w:tc>
        <w:tc>
          <w:tcPr>
            <w:tcW w:w="160" w:type="dxa"/>
            <w:vAlign w:val="bottom"/>
          </w:tcPr>
          <w:p>
            <w:pPr>
              <w:spacing w:after="0"/>
              <w:rPr>
                <w:sz w:val="16"/>
                <w:szCs w:val="16"/>
                <w:color w:val="auto"/>
              </w:rPr>
            </w:pPr>
          </w:p>
        </w:tc>
        <w:tc>
          <w:tcPr>
            <w:tcW w:w="80" w:type="dxa"/>
            <w:vAlign w:val="bottom"/>
          </w:tcPr>
          <w:p>
            <w:pPr>
              <w:jc w:val="center"/>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1,836</w:t>
            </w:r>
          </w:p>
        </w:tc>
        <w:tc>
          <w:tcPr>
            <w:tcW w:w="18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w w:val="92"/>
              </w:rPr>
              <w:t>39,708</w:t>
            </w:r>
          </w:p>
        </w:tc>
        <w:tc>
          <w:tcPr>
            <w:tcW w:w="18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w w:val="96"/>
              </w:rPr>
              <w:t>18,725</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12,273</w:t>
            </w:r>
          </w:p>
        </w:tc>
        <w:tc>
          <w:tcPr>
            <w:tcW w:w="160" w:type="dxa"/>
            <w:vAlign w:val="bottom"/>
          </w:tcPr>
          <w:p>
            <w:pPr>
              <w:spacing w:after="0"/>
              <w:rPr>
                <w:sz w:val="16"/>
                <w:szCs w:val="16"/>
                <w:color w:val="auto"/>
              </w:rPr>
            </w:pPr>
          </w:p>
        </w:tc>
        <w:tc>
          <w:tcPr>
            <w:tcW w:w="80" w:type="dxa"/>
            <w:vAlign w:val="bottom"/>
          </w:tcPr>
          <w:p>
            <w:pPr>
              <w:jc w:val="center"/>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1,829</w:t>
            </w:r>
          </w:p>
        </w:tc>
        <w:tc>
          <w:tcPr>
            <w:tcW w:w="18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w w:val="92"/>
              </w:rPr>
              <w:t>32,827</w:t>
            </w:r>
          </w:p>
        </w:tc>
        <w:tc>
          <w:tcPr>
            <w:tcW w:w="0" w:type="dxa"/>
            <w:vAlign w:val="bottom"/>
          </w:tcPr>
          <w:p>
            <w:pPr>
              <w:spacing w:after="0"/>
              <w:rPr>
                <w:sz w:val="1"/>
                <w:szCs w:val="1"/>
                <w:color w:val="auto"/>
              </w:rPr>
            </w:pPr>
          </w:p>
        </w:tc>
      </w:tr>
      <w:tr>
        <w:trPr>
          <w:trHeight w:val="203"/>
        </w:trPr>
        <w:tc>
          <w:tcPr>
            <w:tcW w:w="1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18,579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19,293</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39,708</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18,725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12,273</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32,827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From the assets measured at fair value as of June 27, 2020, listed in the table above, $19.2 million of mutual funds, equity securities, and alternative investments are held in Investments, $0.9 million of money market and mutual funds are held in Other Assets for our deferred compensation plan, and $16.5 million of fixed income funds and $3.1 million of money markets funds are held in Restricted Investments.</w:t>
      </w:r>
    </w:p>
    <w:p>
      <w:pPr>
        <w:spacing w:after="0" w:line="187"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 xml:space="preserve">We maintain money market, mutual funds, bonds, and/or stocks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to any of our financial instruments except for those expressly required by U.S. GAAP.</w:t>
      </w:r>
    </w:p>
    <w:p>
      <w:pPr>
        <w:spacing w:after="0" w:line="17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$35.7 million as of June 27, 2020, consisting of domestic and international stocks, alternative investments, and fixed income bonds.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2"/>
              </w:rPr>
              <w:t>June 27, 2020</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8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Alternative Investments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alternative investments consist of the private real estate income trust which is valued as a Level 3 asset. The net unrealized gain was $2.6 million. Carrying amounts above are recorded in the investments and restricted investments line items within the balance sheet as of June 27, 2020.</w:t>
      </w:r>
    </w:p>
    <w:p>
      <w:pPr>
        <w:spacing w:after="0" w:line="172" w:lineRule="exact"/>
        <w:rPr>
          <w:sz w:val="20"/>
          <w:szCs w:val="20"/>
          <w:color w:val="auto"/>
        </w:rPr>
      </w:pPr>
    </w:p>
    <w:p>
      <w:pPr>
        <w:ind w:left="540" w:hanging="490"/>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67" w:lineRule="exact"/>
        <w:rPr>
          <w:sz w:val="20"/>
          <w:szCs w:val="20"/>
          <w:color w:val="auto"/>
        </w:rPr>
      </w:pPr>
    </w:p>
    <w:p>
      <w:pPr>
        <w:jc w:val="both"/>
        <w:ind w:left="60" w:right="79" w:firstLine="492"/>
        <w:spacing w:after="0" w:line="226" w:lineRule="auto"/>
        <w:rPr>
          <w:sz w:val="20"/>
          <w:szCs w:val="20"/>
          <w:color w:val="auto"/>
        </w:rPr>
      </w:pPr>
      <w:r>
        <w:rPr>
          <w:rFonts w:ascii="Arial" w:cs="Arial" w:eastAsia="Arial" w:hAnsi="Arial"/>
          <w:sz w:val="16"/>
          <w:szCs w:val="16"/>
          <w:color w:val="auto"/>
        </w:rPr>
        <w:t>Certain customer products that we provide require installation by the Company or a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party. Installation revenue is recognized upon completion. If the Company uses a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party for installation, the party will act as an agent to the Company until completion of the installation. Installation revenue represents an immaterial share of the Company’s total sales.</w:t>
      </w:r>
    </w:p>
    <w:p>
      <w:pPr>
        <w:spacing w:after="0" w:line="203"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92"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gross revenues disaggregated by revenue source:</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5"/>
                <w:szCs w:val="15"/>
                <w:color w:val="auto"/>
              </w:rPr>
            </w:pPr>
          </w:p>
        </w:tc>
      </w:tr>
      <w:tr>
        <w:trPr>
          <w:trHeight w:val="218"/>
        </w:trPr>
        <w:tc>
          <w:tcPr>
            <w:tcW w:w="26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29,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29,</w:t>
            </w:r>
          </w:p>
        </w:tc>
        <w:tc>
          <w:tcPr>
            <w:tcW w:w="660" w:type="dxa"/>
            <w:vAlign w:val="bottom"/>
          </w:tcPr>
          <w:p>
            <w:pPr>
              <w:spacing w:after="0"/>
              <w:rPr>
                <w:sz w:val="18"/>
                <w:szCs w:val="18"/>
                <w:color w:val="auto"/>
              </w:rPr>
            </w:pPr>
          </w:p>
        </w:tc>
      </w:tr>
      <w:tr>
        <w:trPr>
          <w:trHeight w:val="188"/>
        </w:trPr>
        <w:tc>
          <w:tcPr>
            <w:tcW w:w="26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 Classification</w:t>
            </w:r>
          </w:p>
        </w:tc>
        <w:tc>
          <w:tcPr>
            <w:tcW w:w="160" w:type="dxa"/>
            <w:vAlign w:val="bottom"/>
          </w:tcPr>
          <w:p>
            <w:pPr>
              <w:spacing w:after="0"/>
              <w:rPr>
                <w:sz w:val="16"/>
                <w:szCs w:val="16"/>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6"/>
                <w:szCs w:val="16"/>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268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FOB Shipping Point Revenue</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1,241,167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1,220,844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2,259,073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2,217,667</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r>
      <w:tr>
        <w:trPr>
          <w:trHeight w:val="223"/>
        </w:trPr>
        <w:tc>
          <w:tcPr>
            <w:tcW w:w="26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Construction Contract Revenue</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43,663</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-25.9%</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78,445</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Gross Sales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1,273,509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1,264,507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2,324,215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2,296,112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Sales Allowances</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(31,508)</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(24,690)</w:t>
            </w:r>
          </w:p>
        </w:tc>
        <w:tc>
          <w:tcPr>
            <w:tcW w:w="66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(50,152)</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(41,169)</w:t>
            </w: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26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1,242,001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1,239,817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2,274,063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2,254,943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Construction segment comprises the construction contract revenue shown above. Construction contract revenue is primarily made up of site-built and framing customers.</w:t>
      </w:r>
    </w:p>
    <w:p>
      <w:pPr>
        <w:spacing w:after="0" w:line="17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jc w:val="right"/>
              <w:ind w:right="59"/>
              <w:spacing w:after="0"/>
              <w:rPr>
                <w:sz w:val="20"/>
                <w:szCs w:val="20"/>
                <w:color w:val="auto"/>
              </w:rPr>
            </w:pPr>
            <w:r>
              <w:rPr>
                <w:rFonts w:ascii="Arial" w:cs="Arial" w:eastAsia="Arial" w:hAnsi="Arial"/>
                <w:sz w:val="14"/>
                <w:szCs w:val="14"/>
                <w:b w:val="1"/>
                <w:bCs w:val="1"/>
                <w:color w:val="auto"/>
              </w:rPr>
              <w:t>June 27,</w:t>
            </w: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w w:val="92"/>
              </w:rPr>
              <w:t>December 28,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29,</w:t>
            </w:r>
          </w:p>
        </w:tc>
      </w:tr>
      <w:tr>
        <w:trPr>
          <w:trHeight w:val="178"/>
        </w:trPr>
        <w:tc>
          <w:tcPr>
            <w:tcW w:w="4360" w:type="dxa"/>
            <w:vAlign w:val="bottom"/>
          </w:tcPr>
          <w:p>
            <w:pPr>
              <w:spacing w:after="0"/>
              <w:rPr>
                <w:sz w:val="15"/>
                <w:szCs w:val="15"/>
                <w:color w:val="auto"/>
              </w:rPr>
            </w:pPr>
          </w:p>
        </w:tc>
        <w:tc>
          <w:tcPr>
            <w:tcW w:w="23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4,377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10,658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5,222</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6"/>
        </w:trPr>
        <w:tc>
          <w:tcPr>
            <w:tcW w:w="4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54"/>
              <w:spacing w:after="0" w:line="126" w:lineRule="exact"/>
              <w:rPr>
                <w:sz w:val="20"/>
                <w:szCs w:val="20"/>
                <w:color w:val="auto"/>
              </w:rPr>
            </w:pPr>
            <w:r>
              <w:rPr>
                <w:rFonts w:ascii="Arial" w:cs="Arial" w:eastAsia="Arial" w:hAnsi="Arial"/>
                <w:sz w:val="14"/>
                <w:szCs w:val="14"/>
                <w:b w:val="1"/>
                <w:bCs w:val="1"/>
                <w:color w:val="auto"/>
                <w:w w:val="92"/>
              </w:rPr>
              <w:t>June 27,</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4"/>
                <w:szCs w:val="14"/>
                <w:b w:val="1"/>
                <w:bCs w:val="1"/>
                <w:color w:val="auto"/>
                <w:w w:val="92"/>
              </w:rPr>
              <w:t>June 29,</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4"/>
              <w:spacing w:after="0" w:line="126" w:lineRule="exact"/>
              <w:rPr>
                <w:sz w:val="20"/>
                <w:szCs w:val="20"/>
                <w:color w:val="auto"/>
              </w:rPr>
            </w:pPr>
            <w:r>
              <w:rPr>
                <w:rFonts w:ascii="Arial" w:cs="Arial" w:eastAsia="Arial" w:hAnsi="Arial"/>
                <w:sz w:val="14"/>
                <w:szCs w:val="14"/>
                <w:b w:val="1"/>
                <w:bCs w:val="1"/>
                <w:color w:val="auto"/>
                <w:w w:val="92"/>
              </w:rPr>
              <w:t>June 27,</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4"/>
                <w:szCs w:val="14"/>
                <w:b w:val="1"/>
                <w:bCs w:val="1"/>
                <w:color w:val="auto"/>
                <w:w w:val="92"/>
              </w:rPr>
              <w:t>June 29,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6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Net earnings attributable to controlling interest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66,463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54,515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106,622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90,055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Adjustment for earnings allocated to non-vested restricted</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earnings for calculating EPS</w:t>
            </w:r>
          </w:p>
        </w:tc>
        <w:tc>
          <w:tcPr>
            <w:tcW w:w="4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64,576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53,131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103,701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87,810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Weighted average shares outstanding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 for non-vested restricted common stock</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00"/>
              <w:spacing w:after="0" w:line="203" w:lineRule="exact"/>
              <w:rPr>
                <w:sz w:val="20"/>
                <w:szCs w:val="20"/>
                <w:color w:val="auto"/>
              </w:rPr>
            </w:pPr>
            <w:r>
              <w:rPr>
                <w:rFonts w:ascii="Arial" w:cs="Arial" w:eastAsia="Arial" w:hAnsi="Arial"/>
                <w:sz w:val="18"/>
                <w:szCs w:val="18"/>
                <w:color w:val="auto"/>
              </w:rPr>
              <w:t>Shares for calculating basic EPS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59,748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60,125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59,970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60,010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 of dilutive restricted common stock</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Shares for calculating diluted EPS</w:t>
            </w:r>
          </w:p>
        </w:tc>
        <w:tc>
          <w:tcPr>
            <w:tcW w:w="4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59,766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60,148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59,988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60,031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40" w:hanging="490"/>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9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On a consolidated basis, we have reserved approximately $1.9 million on June 27, 2020 and $2.0 million on June 29, 2019, respectively, representing the estimated costs to complete future remediation efforts. These amounts have not been reduced by an insurance receivable.</w:t>
      </w:r>
    </w:p>
    <w:p>
      <w:pPr>
        <w:spacing w:after="0" w:line="184"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In addition, on June 27, 2020,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84"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On June 27, 2020, we had outstanding purchase commitments on commenced capital projects of approximately $23.0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also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June 27, 2020, we had approximately $6.8 million outstanding payment and performance bonds for open projects. We had approximately $8.6 million in payment and performance bonds outstanding for completed projects which are still under warranty.</w:t>
      </w:r>
    </w:p>
    <w:p>
      <w:pPr>
        <w:spacing w:after="0" w:line="164"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On June 27, 2020, we had outstanding letters of credit totaling $37.3 million, primarily related to certain insurance contracts and industrial development revenue bonds described further below.</w:t>
      </w:r>
    </w:p>
    <w:p>
      <w:pPr>
        <w:spacing w:after="0" w:line="170"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As of June 27, 2020, we have irrevocable letters of credit outstanding totaling approximately $27.5 million for these types of insurance arrangements. We have reserves recorded on our balance sheet, in accrued liabilities, that reflect our expected future liabilities under these insurance arrangements.</w:t>
      </w:r>
    </w:p>
    <w:p>
      <w:pPr>
        <w:spacing w:after="0" w:line="171" w:lineRule="exact"/>
        <w:rPr>
          <w:sz w:val="20"/>
          <w:szCs w:val="20"/>
          <w:color w:val="auto"/>
        </w:rPr>
      </w:pPr>
    </w:p>
    <w:p>
      <w:pPr>
        <w:jc w:val="both"/>
        <w:ind w:left="60" w:right="79" w:firstLine="492"/>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UFP Industries, Inc. in certain debt agreements, including the Series 2012 and 2018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7"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We did not enter into any new guarantee arrangements during the second quarter of 2020 which would require us to recognize a liability on our balance sheet.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hanging="450"/>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completed the following acquisitions in 2020 and since the end of June 2019, which were accounted for using the purchase method in thousands unless otherwise noted:</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62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Net</w:t>
            </w:r>
          </w:p>
        </w:tc>
        <w:tc>
          <w:tcPr>
            <w:tcW w:w="8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Acquisition</w:t>
            </w:r>
          </w:p>
        </w:tc>
        <w:tc>
          <w:tcPr>
            <w:tcW w:w="17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9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Tangible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$21,851</w:t>
            </w:r>
          </w:p>
        </w:tc>
        <w:tc>
          <w:tcPr>
            <w:tcW w:w="10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20" w:type="dxa"/>
            <w:vAlign w:val="bottom"/>
            <w:tcBorders>
              <w:left w:val="single" w:sz="8" w:color="auto"/>
              <w:right w:val="single" w:sz="8" w:color="auto"/>
            </w:tcBorders>
            <w:shd w:val="clear" w:color="auto" w:fill="CCEBFF"/>
          </w:tcPr>
          <w:p>
            <w:pPr>
              <w:spacing w:after="0"/>
              <w:rPr>
                <w:sz w:val="21"/>
                <w:szCs w:val="21"/>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March 13, 2020</w:t>
            </w:r>
          </w:p>
        </w:tc>
        <w:tc>
          <w:tcPr>
            <w:tcW w:w="17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100" w:type="dxa"/>
            <w:vAlign w:val="bottom"/>
            <w:shd w:val="clear" w:color="auto" w:fill="CCEB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18,289</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3,562</w:t>
            </w:r>
          </w:p>
        </w:tc>
        <w:tc>
          <w:tcPr>
            <w:tcW w:w="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Construction</w:t>
            </w:r>
          </w:p>
        </w:tc>
        <w:tc>
          <w:tcPr>
            <w:tcW w:w="0" w:type="dxa"/>
            <w:vAlign w:val="bottom"/>
          </w:tcPr>
          <w:p>
            <w:pPr>
              <w:spacing w:after="0"/>
              <w:rPr>
                <w:sz w:val="1"/>
                <w:szCs w:val="1"/>
                <w:color w:val="auto"/>
              </w:rPr>
            </w:pPr>
          </w:p>
        </w:tc>
      </w:tr>
      <w:tr>
        <w:trPr>
          <w:trHeight w:val="152"/>
        </w:trPr>
        <w:tc>
          <w:tcPr>
            <w:tcW w:w="2620" w:type="dxa"/>
            <w:vAlign w:val="bottom"/>
            <w:tcBorders>
              <w:left w:val="single" w:sz="8" w:color="auto"/>
              <w:right w:val="single" w:sz="8" w:color="auto"/>
            </w:tcBorders>
            <w:shd w:val="clear" w:color="auto" w:fill="CCEBFF"/>
          </w:tcPr>
          <w:p>
            <w:pPr>
              <w:spacing w:after="0"/>
              <w:rPr>
                <w:sz w:val="13"/>
                <w:szCs w:val="13"/>
                <w:color w:val="auto"/>
              </w:rPr>
            </w:pPr>
          </w:p>
        </w:tc>
        <w:tc>
          <w:tcPr>
            <w:tcW w:w="1460" w:type="dxa"/>
            <w:vAlign w:val="bottom"/>
            <w:tcBorders>
              <w:right w:val="single" w:sz="8" w:color="auto"/>
            </w:tcBorders>
            <w:shd w:val="clear" w:color="auto" w:fill="CCEBFF"/>
          </w:tcPr>
          <w:p>
            <w:pPr>
              <w:spacing w:after="0"/>
              <w:rPr>
                <w:sz w:val="13"/>
                <w:szCs w:val="13"/>
                <w:color w:val="auto"/>
              </w:rPr>
            </w:pPr>
          </w:p>
        </w:tc>
        <w:tc>
          <w:tcPr>
            <w:tcW w:w="178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100" w:type="dxa"/>
            <w:vAlign w:val="bottom"/>
            <w:shd w:val="clear" w:color="auto" w:fill="CCEBFF"/>
          </w:tcPr>
          <w:p>
            <w:pPr>
              <w:spacing w:after="0"/>
              <w:rPr>
                <w:sz w:val="13"/>
                <w:szCs w:val="13"/>
                <w:color w:val="auto"/>
              </w:rPr>
            </w:pPr>
          </w:p>
        </w:tc>
        <w:tc>
          <w:tcPr>
            <w:tcW w:w="100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84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1"/>
              </w:rPr>
              <w:t>Quest Design &amp; Fabrication and Quest</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8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10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0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rPr>
              <w:t>A designer, fabricator, and installer of premium millwork and case goods for a variety of</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8"/>
              </w:rPr>
              <w:t>Architectural Millwork ("Quest")</w:t>
            </w:r>
          </w:p>
        </w:tc>
        <w:tc>
          <w:tcPr>
            <w:tcW w:w="63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1"/>
              </w:rPr>
              <w:t>commercial uses. Quest had annual sales of approximately $22 million. The acquisition of Quest</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BFF"/>
          </w:tcPr>
          <w:p>
            <w:pPr>
              <w:spacing w:after="0"/>
              <w:rPr>
                <w:sz w:val="17"/>
                <w:szCs w:val="17"/>
                <w:color w:val="auto"/>
              </w:rPr>
            </w:pPr>
          </w:p>
        </w:tc>
        <w:tc>
          <w:tcPr>
            <w:tcW w:w="63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9"/>
              </w:rPr>
              <w:t>will expand our architectural millwork in the commercial construction business unit, which</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48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rPr>
              <w:t>aligns with our growth goals in the construction segment.</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$12,422</w:t>
            </w:r>
          </w:p>
        </w:tc>
        <w:tc>
          <w:tcPr>
            <w:tcW w:w="1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September 16, 2019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4,958</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Pallet USA, LLC ("Pallet USA")</w:t>
            </w:r>
          </w:p>
        </w:tc>
        <w:tc>
          <w:tcPr>
            <w:tcW w:w="14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purchase</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tcPr>
          <w:p>
            <w:pPr>
              <w:spacing w:after="0"/>
              <w:rPr>
                <w:sz w:val="16"/>
                <w:szCs w:val="16"/>
                <w:color w:val="auto"/>
              </w:rPr>
            </w:pPr>
          </w:p>
        </w:tc>
        <w:tc>
          <w:tcPr>
            <w:tcW w:w="63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A manufacturer and recycler of wood pallet and crating products in the Midwest. Pallet USA</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9"/>
              </w:rPr>
              <w:t>had annual sales of approximately $18 million. The acquisition of Pallet USA allows us to</w:t>
            </w:r>
          </w:p>
        </w:tc>
        <w:tc>
          <w:tcPr>
            <w:tcW w:w="0" w:type="dxa"/>
            <w:vAlign w:val="bottom"/>
          </w:tcPr>
          <w:p>
            <w:pPr>
              <w:spacing w:after="0"/>
              <w:rPr>
                <w:sz w:val="1"/>
                <w:szCs w:val="1"/>
                <w:color w:val="auto"/>
              </w:rPr>
            </w:pPr>
          </w:p>
        </w:tc>
      </w:tr>
      <w:tr>
        <w:trPr>
          <w:trHeight w:val="202"/>
        </w:trPr>
        <w:tc>
          <w:tcPr>
            <w:tcW w:w="262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expand our capacity to manufacture wood-based industrial packaging products and offer new</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services to customers in the Midwest.</w:t>
            </w: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$17,809</w:t>
            </w:r>
          </w:p>
        </w:tc>
        <w:tc>
          <w:tcPr>
            <w:tcW w:w="10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20" w:type="dxa"/>
            <w:vAlign w:val="bottom"/>
            <w:tcBorders>
              <w:left w:val="single" w:sz="8" w:color="auto"/>
              <w:right w:val="single" w:sz="8" w:color="auto"/>
            </w:tcBorders>
            <w:shd w:val="clear" w:color="auto" w:fill="CCEBFF"/>
          </w:tcPr>
          <w:p>
            <w:pPr>
              <w:spacing w:after="0"/>
              <w:rPr>
                <w:sz w:val="21"/>
                <w:szCs w:val="21"/>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August 12, 2019</w:t>
            </w:r>
          </w:p>
        </w:tc>
        <w:tc>
          <w:tcPr>
            <w:tcW w:w="17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100" w:type="dxa"/>
            <w:vAlign w:val="bottom"/>
            <w:shd w:val="clear" w:color="auto" w:fill="CCEB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8,290</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9,519</w:t>
            </w:r>
          </w:p>
        </w:tc>
        <w:tc>
          <w:tcPr>
            <w:tcW w:w="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152"/>
        </w:trPr>
        <w:tc>
          <w:tcPr>
            <w:tcW w:w="2620" w:type="dxa"/>
            <w:vAlign w:val="bottom"/>
            <w:tcBorders>
              <w:left w:val="single" w:sz="8" w:color="auto"/>
              <w:right w:val="single" w:sz="8" w:color="auto"/>
            </w:tcBorders>
            <w:shd w:val="clear" w:color="auto" w:fill="CCEBFF"/>
          </w:tcPr>
          <w:p>
            <w:pPr>
              <w:spacing w:after="0"/>
              <w:rPr>
                <w:sz w:val="13"/>
                <w:szCs w:val="13"/>
                <w:color w:val="auto"/>
              </w:rPr>
            </w:pPr>
          </w:p>
        </w:tc>
        <w:tc>
          <w:tcPr>
            <w:tcW w:w="1460" w:type="dxa"/>
            <w:vAlign w:val="bottom"/>
            <w:tcBorders>
              <w:right w:val="single" w:sz="8" w:color="auto"/>
            </w:tcBorders>
            <w:shd w:val="clear" w:color="auto" w:fill="CCEBFF"/>
          </w:tcPr>
          <w:p>
            <w:pPr>
              <w:spacing w:after="0"/>
              <w:rPr>
                <w:sz w:val="13"/>
                <w:szCs w:val="13"/>
                <w:color w:val="auto"/>
              </w:rPr>
            </w:pPr>
          </w:p>
        </w:tc>
        <w:tc>
          <w:tcPr>
            <w:tcW w:w="178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100" w:type="dxa"/>
            <w:vAlign w:val="bottom"/>
            <w:shd w:val="clear" w:color="auto" w:fill="CCEBFF"/>
          </w:tcPr>
          <w:p>
            <w:pPr>
              <w:spacing w:after="0"/>
              <w:rPr>
                <w:sz w:val="13"/>
                <w:szCs w:val="13"/>
                <w:color w:val="auto"/>
              </w:rPr>
            </w:pPr>
          </w:p>
        </w:tc>
        <w:tc>
          <w:tcPr>
            <w:tcW w:w="100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84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Northwest Painting, Inc. ("Northwest")</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8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10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9"/>
              </w:rPr>
              <w:t>A supplier of pre-painted building materials, including siding, soffit, panels and trim to the</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BFF"/>
          </w:tcPr>
          <w:p>
            <w:pPr>
              <w:spacing w:after="0"/>
              <w:rPr>
                <w:sz w:val="17"/>
                <w:szCs w:val="17"/>
                <w:color w:val="auto"/>
              </w:rPr>
            </w:pPr>
          </w:p>
        </w:tc>
        <w:tc>
          <w:tcPr>
            <w:tcW w:w="63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8"/>
              </w:rPr>
              <w:t>Western U.S. Northwest had annual sales of approximately $14 million. The acquisition of</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BFF"/>
          </w:tcPr>
          <w:p>
            <w:pPr>
              <w:spacing w:after="0"/>
              <w:rPr>
                <w:sz w:val="17"/>
                <w:szCs w:val="17"/>
                <w:color w:val="auto"/>
              </w:rPr>
            </w:pPr>
          </w:p>
        </w:tc>
        <w:tc>
          <w:tcPr>
            <w:tcW w:w="63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9"/>
              </w:rPr>
              <w:t>Northwest will expand our capacity to produce coated siding and trim for customers in the</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Northwest and Mountain West regions.</w:t>
            </w: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The intangible assets for the Quest, Pallet USA, and Northwest acquisitions have not been finalized and allocated to their respective identifiable asset and goodwill accounts. In aggregate, acquisitions completed since the end of June 2019 and not consolidated with other operations contributed approximately $13.8 million in net sales and $1.3 million in operating profits during the second quarter of 2020. Similarly, these acquisitions contributed approximately $22.2 million in net sales and $1.7 million in operating profits in the first six months of 2020.</w:t>
      </w:r>
    </w:p>
    <w:p>
      <w:pPr>
        <w:spacing w:after="0" w:line="172" w:lineRule="exact"/>
        <w:rPr>
          <w:sz w:val="20"/>
          <w:szCs w:val="20"/>
          <w:color w:val="auto"/>
        </w:rPr>
      </w:pPr>
    </w:p>
    <w:p>
      <w:pPr>
        <w:ind w:left="560" w:hanging="510"/>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The Company operates manufacturing, treating and distribution facilities internationally, but primarily in the United States. Effective January 1, 2020, the Company re-organized around the markets it serves rather than geography. The prior periods have been recast to reflect the new segment structure. The business segments align with the following markets: UFP Retail Solutions, UFP Construction and UFP Industrial. This change allows for a more specialized and consistent sales approach among Company operations, more efficient use of resources and capital, and quicker introduction of new products and services. The Company manages the operations of its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the Company’s International segment, which comprises our Mexico, Canada, and Australia operations and sales and buying offices in other parts of the world.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International segment and Ardellis (our insurance captive) have been included in the “All Other” column of the table below.</w:t>
      </w:r>
    </w:p>
    <w:p>
      <w:pPr>
        <w:spacing w:after="0" w:line="170"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 Total assets of the Corporate column include unallocated cash and cash equivalents, certain prepaid assets, certain property, equipment and other assets pertaining to the centralized activities of Corporate, UFP Real Estate, Inc., and UFP Transportation Ltd.</w:t>
      </w:r>
    </w:p>
    <w:p>
      <w:pPr>
        <w:spacing w:after="0" w:line="16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During the second quarter of 2020, management retrospectively reallocated certain inter-company charges from Corporate to their respective segments to better assess segment profitability. Prior year information in these tables has been restated to reflect these changes.</w:t>
      </w:r>
    </w:p>
    <w:p>
      <w:pPr>
        <w:sectPr>
          <w:pgSz w:w="11900" w:h="16838" w:orient="portrait"/>
          <w:cols w:equalWidth="0" w:num="1">
            <w:col w:w="9019"/>
          </w:cols>
          <w:pgMar w:left="1440" w:top="544" w:right="1440" w:bottom="1440" w:gutter="0" w:footer="0" w:header="0"/>
        </w:sect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Net sales to outside customers</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Intersegment net sales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Segment operating profit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Net sales to outside customers</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Intersegment net sales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Segment operating profit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Net sales to outside customers</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Intersegment net sales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Segment operating profit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Net sales to outside customers</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Intersegment net sales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Segment operating profit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Three Months Ended June 27,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40" w:type="dxa"/>
            <w:vAlign w:val="bottom"/>
            <w:tcBorders>
              <w:top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Retail</w:t>
            </w:r>
          </w:p>
        </w:tc>
        <w:tc>
          <w:tcPr>
            <w:tcW w:w="80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Industrial</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1"/>
              </w:rPr>
              <w:t>Construction</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4"/>
          </w:tcPr>
          <w:p>
            <w:pPr>
              <w:ind w:left="80"/>
              <w:spacing w:after="0" w:line="155" w:lineRule="exact"/>
              <w:rPr>
                <w:sz w:val="20"/>
                <w:szCs w:val="20"/>
                <w:color w:val="auto"/>
              </w:rPr>
            </w:pPr>
            <w:r>
              <w:rPr>
                <w:rFonts w:ascii="Arial" w:cs="Arial" w:eastAsia="Arial" w:hAnsi="Arial"/>
                <w:sz w:val="14"/>
                <w:szCs w:val="14"/>
                <w:b w:val="1"/>
                <w:bCs w:val="1"/>
                <w:color w:val="auto"/>
              </w:rPr>
              <w:t>All Other</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Corporate</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Total</w:t>
            </w:r>
          </w:p>
        </w:tc>
      </w:tr>
      <w:tr>
        <w:trPr>
          <w:trHeight w:val="202"/>
        </w:trPr>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$ 609,190</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$ 224,379</w:t>
            </w: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359,170</w:t>
            </w: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49,411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1,242,001</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34,104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4"/>
              </w:rPr>
              <w:t>67,712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(127,964)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45,775</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19,542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w w:val="97"/>
              </w:rPr>
              <w:t>8,633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92,359</w:t>
            </w:r>
          </w:p>
        </w:tc>
      </w:tr>
      <w:tr>
        <w:trPr>
          <w:trHeight w:val="601"/>
        </w:trPr>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6"/>
          </w:tcPr>
          <w:p>
            <w:pPr>
              <w:jc w:val="center"/>
              <w:ind w:right="760"/>
              <w:spacing w:after="0"/>
              <w:rPr>
                <w:sz w:val="20"/>
                <w:szCs w:val="20"/>
                <w:color w:val="auto"/>
              </w:rPr>
            </w:pPr>
            <w:r>
              <w:rPr>
                <w:rFonts w:ascii="Arial" w:cs="Arial" w:eastAsia="Arial" w:hAnsi="Arial"/>
                <w:sz w:val="14"/>
                <w:szCs w:val="14"/>
                <w:b w:val="1"/>
                <w:bCs w:val="1"/>
                <w:color w:val="auto"/>
                <w:w w:val="93"/>
              </w:rPr>
              <w:t>Three Months Ended June 29, 2019</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5"/>
        </w:trPr>
        <w:tc>
          <w:tcPr>
            <w:tcW w:w="9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Retail</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r>
      <w:tr>
        <w:trPr>
          <w:trHeight w:val="202"/>
        </w:trPr>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$ 482,090</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$ 291,245</w:t>
            </w: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414,825</w:t>
            </w: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52,669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1,239,817</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39,232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4"/>
              </w:rPr>
              <w:t>56,590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(123,923)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22,430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20,709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w w:val="97"/>
              </w:rPr>
              <w:t>3,735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7,095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74,237</w:t>
            </w:r>
          </w:p>
        </w:tc>
      </w:tr>
      <w:tr>
        <w:trPr>
          <w:trHeight w:val="587"/>
        </w:trPr>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w w:val="92"/>
              </w:rPr>
              <w:t>Six Months Ended June 27, 2020</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5"/>
        </w:trPr>
        <w:tc>
          <w:tcPr>
            <w:tcW w:w="9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Retail</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3"/>
                <w:szCs w:val="13"/>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4"/>
              </w:rPr>
              <w:t>Construction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Total</w:t>
            </w:r>
          </w:p>
        </w:tc>
      </w:tr>
      <w:tr>
        <w:trPr>
          <w:trHeight w:val="202"/>
        </w:trPr>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$ 961,351</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$ 480,922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740,325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91,804</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(339)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2,274,063</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63,962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120,879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(237,632)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59,901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4"/>
              </w:rPr>
              <w:t>13,124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12,134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150,990</w:t>
            </w:r>
          </w:p>
        </w:tc>
      </w:tr>
      <w:tr>
        <w:trPr>
          <w:trHeight w:val="574"/>
        </w:trPr>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w w:val="92"/>
              </w:rPr>
              <w:t>Six Months Ended June 29, 2019</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5"/>
        </w:trPr>
        <w:tc>
          <w:tcPr>
            <w:tcW w:w="9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Retail</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3"/>
                <w:szCs w:val="13"/>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4"/>
              </w:rPr>
              <w:t>Construction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Total</w:t>
            </w:r>
          </w:p>
        </w:tc>
      </w:tr>
      <w:tr>
        <w:trPr>
          <w:trHeight w:val="202"/>
        </w:trPr>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$ 815,190</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$ 566,004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779,962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94,779</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(992)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2,254,943</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68,803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109,719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(229,516)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33,300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39,440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34,857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9,157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122,683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-3145790</wp:posOffset>
            </wp:positionV>
            <wp:extent cx="564896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-2862580</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-2228215</wp:posOffset>
            </wp:positionV>
            <wp:extent cx="564896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-1945640</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-1319530</wp:posOffset>
            </wp:positionV>
            <wp:extent cx="564896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-1036955</wp:posOffset>
            </wp:positionV>
            <wp:extent cx="56489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-419735</wp:posOffset>
            </wp:positionV>
            <wp:extent cx="564896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-136525</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720"/>
            <w:col w:w="5879"/>
          </w:cols>
          <w:pgMar w:left="1440" w:top="5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Identifiable intangibles have been transferred and goodwill was re-allocated, based on their relative fair values, to our new segments and reporting units. The following table presents goodwill by segment as of June 27, 2020, and December 28, 2019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92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Industrial</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All Other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28,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$ 58,098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$ 81,276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$ 7,251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$ 229,536</w:t>
            </w: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2020 Acquisitions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18,289</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18,289</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Purchase Accounting Adjustments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Foreign Exchange, Net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16"/>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27, 2020</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$ 58,300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$ 81,298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101,012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$ 6,872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$ 247,482</w:t>
            </w:r>
          </w:p>
        </w:tc>
      </w:tr>
      <w:tr>
        <w:trPr>
          <w:trHeight w:val="20"/>
        </w:trPr>
        <w:tc>
          <w:tcPr>
            <w:tcW w:w="3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total assets by segment as of June 27, 2020, and December 28, 2019.</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86"/>
              </w:rPr>
              <w:t>Total Assets by Segment</w:t>
            </w:r>
          </w:p>
        </w:tc>
        <w:tc>
          <w:tcPr>
            <w:tcW w:w="660" w:type="dxa"/>
            <w:vAlign w:val="bottom"/>
            <w:tcBorders>
              <w:bottom w:val="single" w:sz="8" w:color="auto"/>
            </w:tcBorders>
          </w:tcPr>
          <w:p>
            <w:pPr>
              <w:spacing w:after="0"/>
              <w:rPr>
                <w:sz w:val="15"/>
                <w:szCs w:val="15"/>
                <w:color w:val="auto"/>
              </w:rPr>
            </w:pPr>
          </w:p>
        </w:tc>
      </w:tr>
      <w:tr>
        <w:trPr>
          <w:trHeight w:val="139"/>
        </w:trPr>
        <w:tc>
          <w:tcPr>
            <w:tcW w:w="608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June 27,</w:t>
            </w:r>
          </w:p>
        </w:tc>
        <w:tc>
          <w:tcPr>
            <w:tcW w:w="108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December 28,</w:t>
            </w:r>
          </w:p>
        </w:tc>
        <w:tc>
          <w:tcPr>
            <w:tcW w:w="660" w:type="dxa"/>
            <w:vAlign w:val="bottom"/>
          </w:tcPr>
          <w:p>
            <w:pPr>
              <w:spacing w:after="0"/>
              <w:rPr>
                <w:sz w:val="12"/>
                <w:szCs w:val="12"/>
                <w:color w:val="auto"/>
              </w:rPr>
            </w:pPr>
          </w:p>
        </w:tc>
      </w:tr>
      <w:tr>
        <w:trPr>
          <w:trHeight w:val="171"/>
        </w:trPr>
        <w:tc>
          <w:tcPr>
            <w:tcW w:w="608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 Classification</w:t>
            </w:r>
          </w:p>
        </w:tc>
        <w:tc>
          <w:tcPr>
            <w:tcW w:w="120" w:type="dxa"/>
            <w:vAlign w:val="bottom"/>
          </w:tcPr>
          <w:p>
            <w:pPr>
              <w:spacing w:after="0"/>
              <w:rPr>
                <w:sz w:val="14"/>
                <w:szCs w:val="14"/>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608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583,480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402,221</w:t>
            </w: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45.1 %</w:t>
            </w:r>
          </w:p>
        </w:tc>
      </w:tr>
      <w:tr>
        <w:trPr>
          <w:trHeight w:val="216"/>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377,329</w:t>
            </w:r>
          </w:p>
        </w:tc>
        <w:tc>
          <w:tcPr>
            <w:tcW w:w="18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(10.7)</w:t>
            </w:r>
          </w:p>
        </w:tc>
      </w:tr>
      <w:tr>
        <w:trPr>
          <w:trHeight w:val="216"/>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522,638</w:t>
            </w: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r>
      <w:tr>
        <w:trPr>
          <w:trHeight w:val="216"/>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136,990</w:t>
            </w:r>
          </w:p>
        </w:tc>
        <w:tc>
          <w:tcPr>
            <w:tcW w:w="18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6.0</w:t>
            </w:r>
          </w:p>
        </w:tc>
      </w:tr>
      <w:tr>
        <w:trPr>
          <w:trHeight w:val="236"/>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480,785</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450,299</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6.8</w:t>
            </w:r>
          </w:p>
        </w:tc>
      </w:tr>
      <w:tr>
        <w:trPr>
          <w:trHeight w:val="203"/>
        </w:trPr>
        <w:tc>
          <w:tcPr>
            <w:tcW w:w="608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2,058,608</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1,889,477</w:t>
            </w:r>
          </w:p>
        </w:tc>
        <w:tc>
          <w:tcPr>
            <w:tcW w:w="1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9.0 %</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89" w:lineRule="exact"/>
        <w:rPr>
          <w:sz w:val="20"/>
          <w:szCs w:val="20"/>
          <w:color w:val="auto"/>
        </w:rPr>
      </w:pPr>
    </w:p>
    <w:p>
      <w:pPr>
        <w:ind w:left="700"/>
        <w:spacing w:after="0"/>
        <w:rPr>
          <w:sz w:val="20"/>
          <w:szCs w:val="20"/>
          <w:color w:val="auto"/>
        </w:rPr>
      </w:pPr>
      <w:r>
        <w:rPr>
          <w:rFonts w:ascii="Arial" w:cs="Arial" w:eastAsia="Arial" w:hAnsi="Arial"/>
          <w:sz w:val="13"/>
          <w:szCs w:val="13"/>
          <w:color w:val="auto"/>
        </w:rPr>
        <w:t>Note: During 2020, certain assets were reclassified to a different segment. Prior year information in this table has been restated to reflect these</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changes.</w:t>
      </w:r>
    </w:p>
    <w:p>
      <w:pPr>
        <w:spacing w:after="0" w:line="192" w:lineRule="exact"/>
        <w:rPr>
          <w:sz w:val="20"/>
          <w:szCs w:val="20"/>
          <w:color w:val="auto"/>
        </w:rPr>
      </w:pPr>
    </w:p>
    <w:p>
      <w:pPr>
        <w:ind w:left="560" w:hanging="510"/>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Effective tax rates differ from statutory federal income tax rates, primarily due to provisions for foreign, state and local income taxes and permanent tax differences. Our effective tax rate was 25.3% in the second quarter of 2020 compared to 24.0% for same period in 2019. </w:t>
      </w:r>
      <w:r>
        <w:rPr>
          <w:rFonts w:ascii="Arial" w:cs="Arial" w:eastAsia="Arial" w:hAnsi="Arial"/>
          <w:sz w:val="18"/>
          <w:szCs w:val="18"/>
          <w:color w:val="212529"/>
        </w:rPr>
        <w:t>Our effective tax rate was 25.1% in the first six months of 2020 compared to 24.1% for</w:t>
      </w:r>
      <w:r>
        <w:rPr>
          <w:rFonts w:ascii="Arial" w:cs="Arial" w:eastAsia="Arial" w:hAnsi="Arial"/>
          <w:sz w:val="18"/>
          <w:szCs w:val="18"/>
          <w:color w:val="auto"/>
        </w:rPr>
        <w:t xml:space="preserve"> </w:t>
      </w:r>
      <w:r>
        <w:rPr>
          <w:rFonts w:ascii="Arial" w:cs="Arial" w:eastAsia="Arial" w:hAnsi="Arial"/>
          <w:sz w:val="18"/>
          <w:szCs w:val="18"/>
          <w:color w:val="212529"/>
        </w:rPr>
        <w:t xml:space="preserve">the same period in 2019. </w:t>
      </w:r>
      <w:r>
        <w:rPr>
          <w:rFonts w:ascii="Arial" w:cs="Arial" w:eastAsia="Arial" w:hAnsi="Arial"/>
          <w:sz w:val="18"/>
          <w:szCs w:val="18"/>
          <w:color w:val="000000"/>
        </w:rPr>
        <w:t>The increase was primarily due to the foreign tax rate differential on foreign income and a</w:t>
      </w:r>
      <w:r>
        <w:rPr>
          <w:rFonts w:ascii="Arial" w:cs="Arial" w:eastAsia="Arial" w:hAnsi="Arial"/>
          <w:sz w:val="18"/>
          <w:szCs w:val="18"/>
          <w:color w:val="212529"/>
        </w:rPr>
        <w:t xml:space="preserve"> </w:t>
      </w:r>
      <w:r>
        <w:rPr>
          <w:rFonts w:ascii="Arial" w:cs="Arial" w:eastAsia="Arial" w:hAnsi="Arial"/>
          <w:sz w:val="18"/>
          <w:szCs w:val="18"/>
          <w:color w:val="000000"/>
        </w:rPr>
        <w:t>reduction in state tax credits in 2020.</w:t>
      </w:r>
    </w:p>
    <w:p>
      <w:pPr>
        <w:spacing w:after="0" w:line="197" w:lineRule="exact"/>
        <w:rPr>
          <w:sz w:val="20"/>
          <w:szCs w:val="20"/>
          <w:color w:val="auto"/>
        </w:rPr>
      </w:pPr>
    </w:p>
    <w:p>
      <w:pPr>
        <w:ind w:left="480" w:hanging="430"/>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419" w:firstLine="492"/>
        <w:spacing w:after="0" w:line="277" w:lineRule="auto"/>
        <w:rPr>
          <w:sz w:val="20"/>
          <w:szCs w:val="20"/>
          <w:color w:val="auto"/>
        </w:rPr>
      </w:pPr>
      <w:r>
        <w:rPr>
          <w:rFonts w:ascii="Arial" w:cs="Arial" w:eastAsia="Arial" w:hAnsi="Arial"/>
          <w:sz w:val="18"/>
          <w:szCs w:val="18"/>
          <w:color w:val="auto"/>
        </w:rPr>
        <w:t>Below is a summary of common stock issuances for the first six months of 2020 and 2019 (in thousands, except average share price):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June 27,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24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Shares issued under the employee stock purchase plan</w:t>
            </w:r>
          </w:p>
        </w:tc>
        <w:tc>
          <w:tcPr>
            <w:tcW w:w="29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Shares issued under the employee stock gift program</w:t>
            </w:r>
          </w:p>
        </w:tc>
        <w:tc>
          <w:tcPr>
            <w:tcW w:w="37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color w:val="auto"/>
                <w:w w:val="99"/>
              </w:rPr>
              <w:t>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w w:val="91"/>
              </w:rPr>
              <w:t>Shares issued under the director retainer stock program</w:t>
            </w:r>
          </w:p>
        </w:tc>
        <w:tc>
          <w:tcPr>
            <w:tcW w:w="3700" w:type="dxa"/>
            <w:vAlign w:val="bottom"/>
            <w:gridSpan w:val="2"/>
          </w:tcPr>
          <w:p>
            <w:pPr>
              <w:jc w:val="center"/>
              <w:ind w:left="2790"/>
              <w:spacing w:after="0"/>
              <w:rPr>
                <w:sz w:val="20"/>
                <w:szCs w:val="20"/>
                <w:color w:val="auto"/>
              </w:rPr>
            </w:pPr>
            <w:r>
              <w:rPr>
                <w:rFonts w:ascii="Arial" w:cs="Arial" w:eastAsia="Arial" w:hAnsi="Arial"/>
                <w:sz w:val="18"/>
                <w:szCs w:val="18"/>
                <w:color w:val="auto"/>
                <w:w w:val="89"/>
              </w:rPr>
              <w:t>45</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Shares issued under the long term stock incentive plan</w:t>
            </w:r>
          </w:p>
        </w:tc>
        <w:tc>
          <w:tcPr>
            <w:tcW w:w="37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color w:val="auto"/>
                <w:w w:val="86"/>
              </w:rPr>
              <w:t>271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w w:val="93"/>
              </w:rPr>
              <w:t>Shares issued under the executive stock match grants</w:t>
            </w:r>
          </w:p>
        </w:tc>
        <w:tc>
          <w:tcPr>
            <w:tcW w:w="3700" w:type="dxa"/>
            <w:vAlign w:val="bottom"/>
            <w:gridSpan w:val="2"/>
          </w:tcPr>
          <w:p>
            <w:pPr>
              <w:jc w:val="center"/>
              <w:ind w:left="2790"/>
              <w:spacing w:after="0"/>
              <w:rPr>
                <w:sz w:val="20"/>
                <w:szCs w:val="20"/>
                <w:color w:val="auto"/>
              </w:rPr>
            </w:pPr>
            <w:r>
              <w:rPr>
                <w:rFonts w:ascii="Arial" w:cs="Arial" w:eastAsia="Arial" w:hAnsi="Arial"/>
                <w:sz w:val="18"/>
                <w:szCs w:val="18"/>
                <w:color w:val="auto"/>
                <w:w w:val="89"/>
              </w:rPr>
              <w:t>79</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47.60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37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color w:val="auto"/>
                <w:w w:val="99"/>
              </w:rPr>
              <w:t>(4)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Total shares issued under stock grant programs</w:t>
            </w:r>
          </w:p>
        </w:tc>
        <w:tc>
          <w:tcPr>
            <w:tcW w:w="29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393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44.88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w w:val="98"/>
              </w:rPr>
              <w:t>Shares issued under the deferred compensation plans</w:t>
            </w:r>
          </w:p>
        </w:tc>
        <w:tc>
          <w:tcPr>
            <w:tcW w:w="3700" w:type="dxa"/>
            <w:vAlign w:val="bottom"/>
            <w:gridSpan w:val="2"/>
          </w:tcPr>
          <w:p>
            <w:pPr>
              <w:jc w:val="center"/>
              <w:ind w:left="2790"/>
              <w:spacing w:after="0"/>
              <w:rPr>
                <w:sz w:val="20"/>
                <w:szCs w:val="20"/>
                <w:color w:val="auto"/>
              </w:rPr>
            </w:pPr>
            <w:r>
              <w:rPr>
                <w:rFonts w:ascii="Arial" w:cs="Arial" w:eastAsia="Arial" w:hAnsi="Arial"/>
                <w:sz w:val="18"/>
                <w:szCs w:val="18"/>
                <w:color w:val="auto"/>
                <w:w w:val="86"/>
              </w:rPr>
              <w:t>103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53.39</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900" w:type="dxa"/>
            <w:vAlign w:val="bottom"/>
          </w:tcPr>
          <w:p>
            <w:pPr>
              <w:jc w:val="right"/>
              <w:ind w:right="2530"/>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539" w:firstLine="492"/>
        <w:spacing w:after="0" w:line="277" w:lineRule="auto"/>
        <w:rPr>
          <w:sz w:val="20"/>
          <w:szCs w:val="20"/>
          <w:color w:val="auto"/>
        </w:rPr>
      </w:pPr>
      <w:r>
        <w:rPr>
          <w:rFonts w:ascii="Arial" w:cs="Arial" w:eastAsia="Arial" w:hAnsi="Arial"/>
          <w:sz w:val="18"/>
          <w:szCs w:val="18"/>
          <w:color w:val="auto"/>
        </w:rPr>
        <w:t>During the first six months of 2020, we repurchased approximately 756,000 shares of our common stock at an average share price of $38.62.</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29,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33.74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long term stock incentive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match grants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109</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31.57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309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31.11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32.58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140" w:type="dxa"/>
            <w:vAlign w:val="bottom"/>
            <w:gridSpan w:val="2"/>
          </w:tcPr>
          <w:p>
            <w:pPr>
              <w:ind w:left="480"/>
              <w:spacing w:after="0"/>
              <w:rPr>
                <w:sz w:val="20"/>
                <w:szCs w:val="20"/>
                <w:color w:val="auto"/>
              </w:rPr>
            </w:pPr>
            <w:r>
              <w:rPr>
                <w:rFonts w:ascii="Arial" w:cs="Arial" w:eastAsia="Arial" w:hAnsi="Arial"/>
                <w:sz w:val="18"/>
                <w:szCs w:val="18"/>
                <w:color w:val="auto"/>
                <w:w w:val="98"/>
              </w:rPr>
              <w:t>During the first six months of 2019, we did not repurchase any of our common stock.</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50"/>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On July 14, 2020, we acquired the operating assets of T&amp;R Lumber Company and its affiliates, Sullivan &amp; Mann and Kelmar Creations, for $17.0 million. Based in Rancho Cucamonga, California, T&amp;R manufactures and distributes a range of products used primarily by nurseries, including plastic growing containers, pots and trays; wooden stakes; trellises; tree boxes; shipping racks; and other nursery supplies.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UFP Industries, Inc. (formerly Universal Forest Products, Inc.) is a holding company with subsidiaries throughout North America, Europe, Asia, and in Australia that supply wood, wood composite and other products to three robust markets: retail, industrial, and construction. The Company is headquartered in Grand Rapids, Mich. For more information about UFP Industries, Inc., or its affiliated operations, go to www.ufpi.com.</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April 22, 2020, our shareholders approved changing the name of the Company from Universal Forest Products, Inc., to UFP Industries, Inc.</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government imposed “stay at home” orders and directives to cease or curtail operations;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the second quarter of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results for the second quarter of 2020 include the following highlights:</w:t>
      </w:r>
    </w:p>
    <w:p>
      <w:pPr>
        <w:spacing w:after="0" w:line="225" w:lineRule="exact"/>
        <w:rPr>
          <w:sz w:val="20"/>
          <w:szCs w:val="20"/>
          <w:color w:val="auto"/>
        </w:rPr>
      </w:pPr>
    </w:p>
    <w:p>
      <w:pPr>
        <w:jc w:val="both"/>
        <w:ind w:left="880" w:right="79" w:hanging="317"/>
        <w:spacing w:after="0" w:line="255"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net sales were flat compared to the second quarter of 2019, which was comprised of a 3% increase in selling prices primarily due to the commodity lumber market (see Historical Lumber Prices below) offset by a 3% decrease in unit sales due to a decline in demand in two of our segments resulting from the pandemic. Unit sales to our construction and industrial segments declined 16% and 27%, respectively, which was offset by unit sales growth to our retail segment of 22% as “stay at home orders” prompted consumers to initiate more home improvement activities.</w:t>
      </w:r>
    </w:p>
    <w:p>
      <w:pPr>
        <w:spacing w:after="0" w:line="192" w:lineRule="exact"/>
        <w:rPr>
          <w:rFonts w:ascii="Arial" w:cs="Arial" w:eastAsia="Arial" w:hAnsi="Arial"/>
          <w:sz w:val="18"/>
          <w:szCs w:val="18"/>
          <w:color w:val="auto"/>
        </w:rPr>
      </w:pPr>
    </w:p>
    <w:p>
      <w:pPr>
        <w:jc w:val="both"/>
        <w:ind w:left="880" w:right="79" w:hanging="317"/>
        <w:spacing w:after="0" w:line="275"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operating profits increased 24% in spite of a 3% decline in our unit sales. The improvement in our profitability was driven by a number of factors, including strong organic growth and effective leveraging of fixed costs and the impact of rising lumber prices on commodity-based products such as our ProWood pressure-treated products which are sold on a variable price tied to the Lumber Market. See Historical Lumber Prices and Impact of the Lumber Market on Our Operating Results below.</w:t>
      </w:r>
    </w:p>
    <w:p>
      <w:pPr>
        <w:spacing w:after="0" w:line="176" w:lineRule="exact"/>
        <w:rPr>
          <w:rFonts w:ascii="Arial" w:cs="Arial" w:eastAsia="Arial" w:hAnsi="Arial"/>
          <w:sz w:val="17"/>
          <w:szCs w:val="17"/>
          <w:color w:val="auto"/>
        </w:rPr>
      </w:pPr>
    </w:p>
    <w:p>
      <w:pPr>
        <w:jc w:val="both"/>
        <w:ind w:left="880" w:right="79" w:hanging="317"/>
        <w:spacing w:after="0" w:line="259"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cash flow from operations for the first six months of 2020 increased to $147 million from $71 million last year due to a $24 million increase in net earnings and non-cash expenses and a $52 million decrease in our net working capital since year end. The decrease in net working capital was primarily due to an increase in our accrued liabilities, particularly our accrued income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880" w:right="79" w:hanging="317"/>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result of our strong operating cash flow our cash surplus exceeded our debt by almost $37 million at the end of the June 2020.</w:t>
      </w:r>
    </w:p>
    <w:p>
      <w:pPr>
        <w:spacing w:after="0" w:line="170" w:lineRule="exact"/>
        <w:rPr>
          <w:rFonts w:ascii="Arial" w:cs="Arial" w:eastAsia="Arial" w:hAnsi="Arial"/>
          <w:sz w:val="18"/>
          <w:szCs w:val="18"/>
          <w:color w:val="auto"/>
        </w:rPr>
      </w:pPr>
    </w:p>
    <w:p>
      <w:pPr>
        <w:ind w:left="880" w:right="79" w:hanging="317"/>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available borrowing capacity under revolving credit facilities and cash surplus resulted in total liquidity of approximately $562 million at the end of June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experience significant fluctuations in the cost of commodity lumber products from primary producers (“Lumber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Random Lengths Composite</w:t>
      </w:r>
    </w:p>
    <w:p>
      <w:pPr>
        <w:jc w:val="center"/>
        <w:ind w:left="666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6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February</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April</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June</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Second quarter average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percentage change</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Year-to-date percentage change</w:t>
            </w: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14.9 %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 almost two-thirds of our total lumber purchases.</w:t>
      </w:r>
    </w:p>
    <w:p>
      <w:pPr>
        <w:spacing w:after="0" w:line="175"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Random Lengths SYP</w:t>
      </w:r>
    </w:p>
    <w:p>
      <w:pPr>
        <w:jc w:val="center"/>
        <w:ind w:left="66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68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February</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April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June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Second quarter average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Year-to-date average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percentage change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Year-to-date percentage change</w:t>
            </w:r>
          </w:p>
        </w:tc>
        <w:tc>
          <w:tcPr>
            <w:tcW w:w="1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sequential increase in lumber prices above is due to a combination of mill production curtailments and demand for lumber much higher than expectations.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44.1% and 43.4% of our sales in the first six months of 2020 and 2019, respectively.</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 We believe our percentage of sales of fixed price items is greatest in our third and fourth quarters.</w:t>
      </w:r>
    </w:p>
    <w:p>
      <w:pPr>
        <w:spacing w:after="0" w:line="194" w:lineRule="exact"/>
        <w:rPr>
          <w:rFonts w:ascii="Arial" w:cs="Arial" w:eastAsia="Arial" w:hAnsi="Arial"/>
          <w:sz w:val="18"/>
          <w:szCs w:val="18"/>
          <w:color w:val="auto"/>
        </w:rPr>
      </w:pPr>
    </w:p>
    <w:p>
      <w:pPr>
        <w:jc w:val="both"/>
        <w:ind w:left="880" w:right="79" w:hanging="317"/>
        <w:spacing w:after="0" w:line="272"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w:t>
      </w:r>
      <w:r>
        <w:rPr>
          <w:rFonts w:ascii="Arial" w:cs="Arial" w:eastAsia="Arial" w:hAnsi="Arial"/>
          <w:sz w:val="17"/>
          <w:szCs w:val="17"/>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to the retail market.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71"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Products with significant inventory levels with low turnover rates, whose selling prices are indexed to the Lumber Market.</w:t>
      </w:r>
      <w:r>
        <w:rPr>
          <w:rFonts w:ascii="Arial" w:cs="Arial" w:eastAsia="Arial" w:hAnsi="Arial"/>
          <w:sz w:val="17"/>
          <w:szCs w:val="17"/>
          <w:color w:val="auto"/>
        </w:rPr>
        <w:t xml:space="preserve"> In other words, the longer the period of time these products remain in inventory, the greater the exposure to changes in the price of lumber. This would include treated lumber, which comprises approximately 19% of our total sales.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w:t>
      </w:r>
      <w:r>
        <w:rPr>
          <w:rFonts w:ascii="Arial" w:cs="Arial" w:eastAsia="Arial" w:hAnsi="Arial"/>
          <w:sz w:val="17"/>
          <w:szCs w:val="17"/>
          <w:i w:val="1"/>
          <w:iCs w:val="1"/>
          <w:color w:val="auto"/>
        </w:rPr>
        <w:t>Please refer to the “Risk Factors” section of our annual report on</w:t>
      </w:r>
      <w:r>
        <w:rPr>
          <w:rFonts w:ascii="Arial" w:cs="Arial" w:eastAsia="Arial" w:hAnsi="Arial"/>
          <w:sz w:val="17"/>
          <w:szCs w:val="17"/>
          <w:color w:val="auto"/>
        </w:rPr>
        <w:t xml:space="preserve"> </w:t>
      </w:r>
      <w:r>
        <w:rPr>
          <w:rFonts w:ascii="Arial" w:cs="Arial" w:eastAsia="Arial" w:hAnsi="Arial"/>
          <w:sz w:val="17"/>
          <w:szCs w:val="17"/>
          <w:i w:val="1"/>
          <w:iCs w:val="1"/>
          <w:color w:val="auto"/>
        </w:rPr>
        <w:t>form 10-K, filed with the United States Securities and Exchange Commission.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880" w:right="79" w:hanging="317"/>
        <w:spacing w:after="0" w:line="263"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and longer vendor commitments.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 xml:space="preserve">As is apparent from the preceding example,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completed one business acquisition during the first six months of 2020 and three during all of 2019. The annual historical sales attributable to acquisitions completed in the first six months of 2020 and all of 2019 were approximately $22 million and $32 million, respectively. These business combinations were not significant to our quarterly results individually or in aggregate and thus pro forma results for 2020 and 2019 are not presented.</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5640" w:type="dxa"/>
            <w:vAlign w:val="bottom"/>
          </w:tcPr>
          <w:p>
            <w:pPr>
              <w:spacing w:after="0"/>
              <w:rPr>
                <w:sz w:val="10"/>
                <w:szCs w:val="10"/>
                <w:color w:val="auto"/>
              </w:rPr>
            </w:pPr>
          </w:p>
        </w:tc>
        <w:tc>
          <w:tcPr>
            <w:tcW w:w="800" w:type="dxa"/>
            <w:vAlign w:val="bottom"/>
            <w:gridSpan w:val="2"/>
          </w:tcPr>
          <w:p>
            <w:pPr>
              <w:jc w:val="right"/>
              <w:ind w:right="190"/>
              <w:spacing w:after="0" w:line="126" w:lineRule="exact"/>
              <w:rPr>
                <w:sz w:val="20"/>
                <w:szCs w:val="20"/>
                <w:color w:val="auto"/>
              </w:rPr>
            </w:pPr>
            <w:r>
              <w:rPr>
                <w:rFonts w:ascii="Arial" w:cs="Arial" w:eastAsia="Arial" w:hAnsi="Arial"/>
                <w:sz w:val="14"/>
                <w:szCs w:val="14"/>
                <w:b w:val="1"/>
                <w:bCs w:val="1"/>
                <w:color w:val="auto"/>
                <w:w w:val="89"/>
              </w:rPr>
              <w:t>June 27,</w:t>
            </w:r>
          </w:p>
        </w:tc>
        <w:tc>
          <w:tcPr>
            <w:tcW w:w="820" w:type="dxa"/>
            <w:vAlign w:val="bottom"/>
            <w:gridSpan w:val="2"/>
          </w:tcPr>
          <w:p>
            <w:pPr>
              <w:jc w:val="right"/>
              <w:ind w:right="190"/>
              <w:spacing w:after="0" w:line="126" w:lineRule="exact"/>
              <w:rPr>
                <w:sz w:val="20"/>
                <w:szCs w:val="20"/>
                <w:color w:val="auto"/>
              </w:rPr>
            </w:pPr>
            <w:r>
              <w:rPr>
                <w:rFonts w:ascii="Arial" w:cs="Arial" w:eastAsia="Arial" w:hAnsi="Arial"/>
                <w:sz w:val="14"/>
                <w:szCs w:val="14"/>
                <w:b w:val="1"/>
                <w:bCs w:val="1"/>
                <w:color w:val="auto"/>
                <w:w w:val="92"/>
              </w:rPr>
              <w:t>June 29,</w:t>
            </w:r>
          </w:p>
        </w:tc>
        <w:tc>
          <w:tcPr>
            <w:tcW w:w="800" w:type="dxa"/>
            <w:vAlign w:val="bottom"/>
            <w:gridSpan w:val="2"/>
          </w:tcPr>
          <w:p>
            <w:pPr>
              <w:jc w:val="right"/>
              <w:ind w:right="190"/>
              <w:spacing w:after="0" w:line="126" w:lineRule="exact"/>
              <w:rPr>
                <w:sz w:val="20"/>
                <w:szCs w:val="20"/>
                <w:color w:val="auto"/>
              </w:rPr>
            </w:pPr>
            <w:r>
              <w:rPr>
                <w:rFonts w:ascii="Arial" w:cs="Arial" w:eastAsia="Arial" w:hAnsi="Arial"/>
                <w:sz w:val="14"/>
                <w:szCs w:val="14"/>
                <w:b w:val="1"/>
                <w:bCs w:val="1"/>
                <w:color w:val="auto"/>
                <w:w w:val="89"/>
              </w:rPr>
              <w:t>June 27,</w:t>
            </w:r>
          </w:p>
        </w:tc>
        <w:tc>
          <w:tcPr>
            <w:tcW w:w="840" w:type="dxa"/>
            <w:vAlign w:val="bottom"/>
            <w:gridSpan w:val="2"/>
          </w:tcPr>
          <w:p>
            <w:pPr>
              <w:jc w:val="right"/>
              <w:ind w:right="210"/>
              <w:spacing w:after="0" w:line="126" w:lineRule="exact"/>
              <w:rPr>
                <w:sz w:val="20"/>
                <w:szCs w:val="20"/>
                <w:color w:val="auto"/>
              </w:rPr>
            </w:pPr>
            <w:r>
              <w:rPr>
                <w:rFonts w:ascii="Arial" w:cs="Arial" w:eastAsia="Arial" w:hAnsi="Arial"/>
                <w:sz w:val="14"/>
                <w:szCs w:val="14"/>
                <w:b w:val="1"/>
                <w:bCs w:val="1"/>
                <w:color w:val="auto"/>
                <w:w w:val="92"/>
              </w:rPr>
              <w:t>June 29,</w:t>
            </w:r>
          </w:p>
        </w:tc>
      </w:tr>
      <w:tr>
        <w:trPr>
          <w:trHeight w:val="178"/>
        </w:trPr>
        <w:tc>
          <w:tcPr>
            <w:tcW w:w="56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60" w:type="dxa"/>
            <w:vAlign w:val="bottom"/>
            <w:tcBorders>
              <w:bottom w:val="single" w:sz="8" w:color="CCEEFF"/>
            </w:tcBorders>
          </w:tcPr>
          <w:p>
            <w:pPr>
              <w:spacing w:after="0"/>
              <w:rPr>
                <w:sz w:val="18"/>
                <w:szCs w:val="18"/>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Net earnings</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r>
        <w:trPr>
          <w:trHeight w:val="20"/>
        </w:trPr>
        <w:tc>
          <w:tcPr>
            <w:tcW w:w="5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following table presents, for the periods indicated, the components of our Consolidated Statements of Earnings as a percentage of net sales, adjusted to restate 2020 net sales and cost of goods sold at prior year lumber prices. The restated net sales amounts were calculated by adjusting 2020 sales for the change in our selling prices resulting primarily from underlying movements in commodity lumber prices in 2020 from 2019. By eliminating the “pass-through” impact of higher or lower lumber prices on net sales and cost of goods sold from year to year, we believe this provides an enhanced view of our change in profitability and costs as a percentage of sales. The amount of the adjustment to 2020 net sales was also applied to cost of goods sold so that gross profit remains unchanged.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6"/>
              </w:rPr>
              <w:t>Adjusted for Lumber Market Change</w:t>
            </w: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Adjusted for Lumber Market Change</w:t>
            </w:r>
          </w:p>
        </w:tc>
      </w:tr>
      <w:tr>
        <w:trPr>
          <w:trHeight w:val="178"/>
        </w:trPr>
        <w:tc>
          <w:tcPr>
            <w:tcW w:w="4000" w:type="dxa"/>
            <w:vAlign w:val="bottom"/>
          </w:tcPr>
          <w:p>
            <w:pPr>
              <w:spacing w:after="0"/>
              <w:rPr>
                <w:sz w:val="15"/>
                <w:szCs w:val="15"/>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420" w:type="dxa"/>
            <w:vAlign w:val="bottom"/>
            <w:gridSpan w:val="4"/>
          </w:tcPr>
          <w:p>
            <w:pPr>
              <w:jc w:val="right"/>
              <w:ind w:right="55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400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370"/>
              <w:spacing w:after="0" w:line="126" w:lineRule="exact"/>
              <w:rPr>
                <w:sz w:val="20"/>
                <w:szCs w:val="20"/>
                <w:color w:val="auto"/>
              </w:rPr>
            </w:pPr>
            <w:r>
              <w:rPr>
                <w:rFonts w:ascii="Arial" w:cs="Arial" w:eastAsia="Arial" w:hAnsi="Arial"/>
                <w:sz w:val="14"/>
                <w:szCs w:val="14"/>
                <w:b w:val="1"/>
                <w:bCs w:val="1"/>
                <w:color w:val="auto"/>
              </w:rPr>
              <w:t>June 27,</w:t>
            </w:r>
          </w:p>
        </w:tc>
        <w:tc>
          <w:tcPr>
            <w:tcW w:w="1180" w:type="dxa"/>
            <w:vAlign w:val="bottom"/>
            <w:tcBorders>
              <w:top w:val="single" w:sz="8" w:color="auto"/>
            </w:tcBorders>
            <w:gridSpan w:val="2"/>
          </w:tcPr>
          <w:p>
            <w:pPr>
              <w:jc w:val="right"/>
              <w:ind w:right="370"/>
              <w:spacing w:after="0" w:line="126" w:lineRule="exact"/>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0"/>
                <w:szCs w:val="10"/>
                <w:color w:val="auto"/>
              </w:rPr>
            </w:pPr>
          </w:p>
        </w:tc>
        <w:tc>
          <w:tcPr>
            <w:tcW w:w="1220" w:type="dxa"/>
            <w:vAlign w:val="bottom"/>
            <w:tcBorders>
              <w:top w:val="single" w:sz="8" w:color="auto"/>
            </w:tcBorders>
            <w:gridSpan w:val="2"/>
          </w:tcPr>
          <w:p>
            <w:pPr>
              <w:jc w:val="right"/>
              <w:ind w:right="390"/>
              <w:spacing w:after="0" w:line="126" w:lineRule="exact"/>
              <w:rPr>
                <w:sz w:val="20"/>
                <w:szCs w:val="20"/>
                <w:color w:val="auto"/>
              </w:rPr>
            </w:pPr>
            <w:r>
              <w:rPr>
                <w:rFonts w:ascii="Arial" w:cs="Arial" w:eastAsia="Arial" w:hAnsi="Arial"/>
                <w:sz w:val="14"/>
                <w:szCs w:val="14"/>
                <w:b w:val="1"/>
                <w:bCs w:val="1"/>
                <w:color w:val="auto"/>
              </w:rPr>
              <w:t>June 27,</w:t>
            </w:r>
          </w:p>
        </w:tc>
        <w:tc>
          <w:tcPr>
            <w:tcW w:w="1200" w:type="dxa"/>
            <w:vAlign w:val="bottom"/>
            <w:tcBorders>
              <w:top w:val="single" w:sz="8" w:color="auto"/>
            </w:tcBorders>
            <w:gridSpan w:val="2"/>
          </w:tcPr>
          <w:p>
            <w:pPr>
              <w:jc w:val="right"/>
              <w:ind w:right="390"/>
              <w:spacing w:after="0" w:line="126" w:lineRule="exact"/>
              <w:rPr>
                <w:sz w:val="20"/>
                <w:szCs w:val="20"/>
                <w:color w:val="auto"/>
              </w:rPr>
            </w:pPr>
            <w:r>
              <w:rPr>
                <w:rFonts w:ascii="Arial" w:cs="Arial" w:eastAsia="Arial" w:hAnsi="Arial"/>
                <w:sz w:val="14"/>
                <w:szCs w:val="14"/>
                <w:b w:val="1"/>
                <w:bCs w:val="1"/>
                <w:color w:val="auto"/>
              </w:rPr>
              <w:t>June 29,</w:t>
            </w:r>
          </w:p>
        </w:tc>
      </w:tr>
      <w:tr>
        <w:trPr>
          <w:trHeight w:val="178"/>
        </w:trPr>
        <w:tc>
          <w:tcPr>
            <w:tcW w:w="40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60" w:type="dxa"/>
            <w:vAlign w:val="bottom"/>
            <w:tcBorders>
              <w:bottom w:val="single" w:sz="8" w:color="CCEEFF"/>
            </w:tcBorders>
          </w:tcPr>
          <w:p>
            <w:pPr>
              <w:spacing w:after="0"/>
              <w:rPr>
                <w:sz w:val="18"/>
                <w:szCs w:val="18"/>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2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09"/>
        </w:trPr>
        <w:tc>
          <w:tcPr>
            <w:tcW w:w="400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Less net earnings attributable to noncontrolling interest</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2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09"/>
        </w:trPr>
        <w:tc>
          <w:tcPr>
            <w:tcW w:w="4000" w:type="dxa"/>
            <w:vAlign w:val="bottom"/>
          </w:tcPr>
          <w:p>
            <w:pPr>
              <w:ind w:left="20"/>
              <w:spacing w:after="0"/>
              <w:rPr>
                <w:sz w:val="20"/>
                <w:szCs w:val="20"/>
                <w:color w:val="auto"/>
              </w:rPr>
            </w:pPr>
            <w:r>
              <w:rPr>
                <w:rFonts w:ascii="Arial" w:cs="Arial" w:eastAsia="Arial" w:hAnsi="Arial"/>
                <w:sz w:val="18"/>
                <w:szCs w:val="18"/>
                <w:color w:val="auto"/>
              </w:rPr>
              <w:t>Net earnings attributable to controlling interest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Effective January 1, 2020, the Company re-organized around the markets it serves rather than geography. Our new business segments align with the following markets: UFP Retail Solutions, UFP Construction and UFP Industrial. This change allows for a more specialized and consistent sales approach among Company operations, more efficient use of resources and capital, and quicker introduction of new products and services. The Company manages the operations of its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the Company’s International segment, which comprises our Mexico, Canada, and Australia operations and sales and buying offices in other parts of the world. Our International segment and Ardellis (our insurance captive) have been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our operating results, for the periods indicated, by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Three Months Ended June 27, 2020</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609,190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224,379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359,170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1,242,001</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525,912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187,206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297,494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(6,118)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1,037,070</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204,931</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37,557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21,674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113,782</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45,775</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15,420</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19,542</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8,633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2,989</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92,359</w:t>
            </w:r>
          </w:p>
        </w:tc>
        <w:tc>
          <w:tcPr>
            <w:tcW w:w="20" w:type="dxa"/>
            <w:vAlign w:val="bottom"/>
          </w:tcPr>
          <w:p>
            <w:pPr>
              <w:spacing w:after="0"/>
              <w:rPr>
                <w:sz w:val="18"/>
                <w:szCs w:val="18"/>
                <w:color w:val="auto"/>
              </w:rPr>
            </w:pP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Three Months Ended June 29, 2019</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482,090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291,245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1,239,817</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426,834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246,276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346,725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(6,634)</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1,053,091</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186,726</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24,265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(1,206)</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112,891</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22,430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20,709</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20,268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3,735</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7,095</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74,237</w:t>
            </w:r>
          </w:p>
        </w:tc>
        <w:tc>
          <w:tcPr>
            <w:tcW w:w="20" w:type="dxa"/>
            <w:vAlign w:val="bottom"/>
          </w:tcPr>
          <w:p>
            <w:pPr>
              <w:spacing w:after="0"/>
              <w:rPr>
                <w:sz w:val="18"/>
                <w:szCs w:val="18"/>
                <w:color w:val="auto"/>
              </w:rPr>
            </w:pP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 June 27, 2020</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480,922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2,274,063</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834,333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401,453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617,903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(14,491)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1,901,896</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372,167</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67,081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47,582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17,729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223,121</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59,901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31,800</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34,031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13,124</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12,134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150,990</w:t>
            </w:r>
          </w:p>
        </w:tc>
        <w:tc>
          <w:tcPr>
            <w:tcW w:w="20" w:type="dxa"/>
            <w:vAlign w:val="bottom"/>
          </w:tcPr>
          <w:p>
            <w:pPr>
              <w:spacing w:after="0"/>
              <w:rPr>
                <w:sz w:val="18"/>
                <w:szCs w:val="18"/>
                <w:color w:val="auto"/>
              </w:rPr>
            </w:pP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 June 29, 2019</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815,190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566,004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779,962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2,254,943</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723,381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478,027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651,466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(10,493)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1,913,950</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128,496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340,993</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48,561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218,207</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33,300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39,440</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34,857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5,929</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9,157</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122,683</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tables present the components of our operating results, for the periods indicated, as a percentage of net sales by segment.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June 27, 2020</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86.3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8"/>
        </w:trPr>
        <w:tc>
          <w:tcPr>
            <w:tcW w:w="5540" w:type="dxa"/>
            <w:vAlign w:val="bottom"/>
            <w:gridSpan w:val="7"/>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0"/>
        </w:trPr>
        <w:tc>
          <w:tcPr>
            <w:tcW w:w="2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June 29, 2019</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88.5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8"/>
        </w:trPr>
        <w:tc>
          <w:tcPr>
            <w:tcW w:w="5540" w:type="dxa"/>
            <w:vAlign w:val="bottom"/>
            <w:gridSpan w:val="7"/>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0"/>
        </w:trPr>
        <w:tc>
          <w:tcPr>
            <w:tcW w:w="2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4"/>
                <w:szCs w:val="14"/>
                <w:b w:val="1"/>
                <w:bCs w:val="1"/>
                <w:color w:val="auto"/>
                <w:w w:val="92"/>
              </w:rPr>
              <w:t>Six Months Ended June 27, 2020</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86.8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8"/>
        </w:trPr>
        <w:tc>
          <w:tcPr>
            <w:tcW w:w="5540" w:type="dxa"/>
            <w:vAlign w:val="bottom"/>
            <w:gridSpan w:val="7"/>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0"/>
        </w:trPr>
        <w:tc>
          <w:tcPr>
            <w:tcW w:w="2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4"/>
                <w:szCs w:val="14"/>
                <w:b w:val="1"/>
                <w:bCs w:val="1"/>
                <w:color w:val="auto"/>
                <w:w w:val="92"/>
              </w:rPr>
              <w:t>Six Months Ended June 29, 2019</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88.7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customized interior fixtures used in a variety of retail and commercial applications, and specialty wood packaging, components and packaging materials for various industries. Our strategic long-term sales objectives generally include:</w:t>
      </w:r>
    </w:p>
    <w:p>
      <w:pPr>
        <w:spacing w:after="0" w:line="188" w:lineRule="exact"/>
        <w:rPr>
          <w:sz w:val="20"/>
          <w:szCs w:val="20"/>
          <w:color w:val="auto"/>
        </w:rPr>
      </w:pPr>
    </w:p>
    <w:p>
      <w:pPr>
        <w:jc w:val="both"/>
        <w:ind w:left="880" w:right="79" w:hanging="317"/>
        <w:spacing w:after="0" w:line="290"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Increasing our sales of "value-added" products and enhancing our product offering with new or improved products. Value-added products generally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165" w:lineRule="exact"/>
        <w:rPr>
          <w:sz w:val="20"/>
          <w:szCs w:val="20"/>
          <w:color w:val="auto"/>
        </w:rPr>
      </w:pPr>
    </w:p>
    <w:p>
      <w:pPr>
        <w:jc w:val="both"/>
        <w:ind w:left="860" w:right="79"/>
        <w:spacing w:after="0" w:line="259"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net sales by our primary segments (Retail, Industrial, and Construction). Value-added products are typically sold at fixed selling prices for a pre-determined time period and carry higher gross margins than our commodity-based products.</w:t>
      </w:r>
    </w:p>
    <w:p>
      <w:pPr>
        <w:spacing w:after="0" w:line="192" w:lineRule="exact"/>
        <w:rPr>
          <w:sz w:val="20"/>
          <w:szCs w:val="20"/>
          <w:color w:val="auto"/>
        </w:rPr>
      </w:pPr>
    </w:p>
    <w:tbl>
      <w:tblPr>
        <w:tblLayout w:type="fixed"/>
        <w:tblInd w:w="96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25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 June 27, 2020</w:t>
            </w:r>
          </w:p>
        </w:tc>
        <w:tc>
          <w:tcPr>
            <w:tcW w:w="16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w w:val="98"/>
              </w:rPr>
              <w:t>Three Months Ended June 29, 2019</w:t>
            </w:r>
          </w:p>
        </w:tc>
      </w:tr>
      <w:tr>
        <w:trPr>
          <w:trHeight w:val="304"/>
        </w:trPr>
        <w:tc>
          <w:tcPr>
            <w:tcW w:w="284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Value-Added</w:t>
            </w: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Commodity-Based</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Value-Added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0"/>
              </w:rPr>
              <w:t>Commodity-Based</w:t>
            </w:r>
          </w:p>
        </w:tc>
      </w:tr>
      <w:tr>
        <w:trPr>
          <w:trHeight w:val="216"/>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11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58.5 %</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41.5 %</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60.7 %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39.3 %</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Industrial</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66.5 %</w:t>
            </w:r>
          </w:p>
        </w:tc>
        <w:tc>
          <w:tcPr>
            <w:tcW w:w="160" w:type="dxa"/>
            <w:vAlign w:val="bottom"/>
          </w:tcPr>
          <w:p>
            <w:pPr>
              <w:spacing w:after="0"/>
              <w:rPr>
                <w:sz w:val="18"/>
                <w:szCs w:val="18"/>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33.5 %</w:t>
            </w:r>
          </w:p>
        </w:tc>
        <w:tc>
          <w:tcPr>
            <w:tcW w:w="1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66.3 %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33.7 %</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79.2 %</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80.7 %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Total Sales</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66.6 %</w:t>
            </w:r>
          </w:p>
        </w:tc>
        <w:tc>
          <w:tcPr>
            <w:tcW w:w="1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33.4 %</w:t>
            </w:r>
          </w:p>
        </w:tc>
        <w:tc>
          <w:tcPr>
            <w:tcW w:w="16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69.2 %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30.8 %</w:t>
            </w:r>
          </w:p>
        </w:tc>
      </w:tr>
      <w:tr>
        <w:trPr>
          <w:trHeight w:val="357"/>
        </w:trPr>
        <w:tc>
          <w:tcPr>
            <w:tcW w:w="2840" w:type="dxa"/>
            <w:vAlign w:val="bottom"/>
          </w:tcPr>
          <w:p>
            <w:pPr>
              <w:spacing w:after="0"/>
              <w:rPr>
                <w:sz w:val="24"/>
                <w:szCs w:val="24"/>
                <w:color w:val="auto"/>
              </w:rPr>
            </w:pPr>
          </w:p>
        </w:tc>
        <w:tc>
          <w:tcPr>
            <w:tcW w:w="254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Six Months Ended June 27, 2020</w:t>
            </w:r>
          </w:p>
        </w:tc>
        <w:tc>
          <w:tcPr>
            <w:tcW w:w="160" w:type="dxa"/>
            <w:vAlign w:val="bottom"/>
          </w:tcPr>
          <w:p>
            <w:pPr>
              <w:spacing w:after="0"/>
              <w:rPr>
                <w:sz w:val="24"/>
                <w:szCs w:val="24"/>
                <w:color w:val="auto"/>
              </w:rPr>
            </w:pPr>
          </w:p>
        </w:tc>
        <w:tc>
          <w:tcPr>
            <w:tcW w:w="24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Six Months Ended June 29, 2019</w:t>
            </w:r>
          </w:p>
        </w:tc>
      </w:tr>
      <w:tr>
        <w:trPr>
          <w:trHeight w:val="304"/>
        </w:trPr>
        <w:tc>
          <w:tcPr>
            <w:tcW w:w="284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Value-Added</w:t>
            </w: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Commodity-Based</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Value-Added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0"/>
              </w:rPr>
              <w:t>Commodity-Based</w:t>
            </w:r>
          </w:p>
        </w:tc>
      </w:tr>
      <w:tr>
        <w:trPr>
          <w:trHeight w:val="216"/>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11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57.8 %</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42.2 %</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58.8 %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41.2 %</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Industrial</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66.7 %</w:t>
            </w:r>
          </w:p>
        </w:tc>
        <w:tc>
          <w:tcPr>
            <w:tcW w:w="160" w:type="dxa"/>
            <w:vAlign w:val="bottom"/>
          </w:tcPr>
          <w:p>
            <w:pPr>
              <w:spacing w:after="0"/>
              <w:rPr>
                <w:sz w:val="18"/>
                <w:szCs w:val="18"/>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33.3 %</w:t>
            </w:r>
          </w:p>
        </w:tc>
        <w:tc>
          <w:tcPr>
            <w:tcW w:w="1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66.1 %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33.9 %</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79.2 %</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80.3 %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Total Sales</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67.2 %</w:t>
            </w:r>
          </w:p>
        </w:tc>
        <w:tc>
          <w:tcPr>
            <w:tcW w:w="1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32.8 %</w:t>
            </w:r>
          </w:p>
        </w:tc>
        <w:tc>
          <w:tcPr>
            <w:tcW w:w="16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68.6 %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31.4 %</w:t>
            </w:r>
          </w:p>
        </w:tc>
      </w:tr>
    </w:tbl>
    <w:p>
      <w:pPr>
        <w:spacing w:after="0" w:line="187" w:lineRule="exact"/>
        <w:rPr>
          <w:sz w:val="20"/>
          <w:szCs w:val="20"/>
          <w:color w:val="auto"/>
        </w:rPr>
      </w:pPr>
    </w:p>
    <w:p>
      <w:pPr>
        <w:jc w:val="both"/>
        <w:ind w:left="880" w:right="79" w:hanging="317"/>
        <w:spacing w:after="0" w:line="273"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Developing new products. New products are defined as products that will generate sales of at least a $1 million per year within 4 years of launch and are still growing and gaining market penetration. New product sales and gross profits in the second quarter were up 6% and 13%, respectively. Approximately $24 million and $66 million of new product sales for the first three and six months of 2019, respectively, while still sold, were sunset in 2020 and excluded from the table below because they no longer meet the definition above. Our goal is to achieve annual new product sales of at least $475 million in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88" w:lineRule="exact"/>
        <w:rPr>
          <w:sz w:val="20"/>
          <w:szCs w:val="20"/>
          <w:color w:val="auto"/>
        </w:rPr>
      </w:pPr>
    </w:p>
    <w:tbl>
      <w:tblPr>
        <w:tblLayout w:type="fixed"/>
        <w:tblInd w:w="960" w:type="dxa"/>
        <w:tblCellMar>
          <w:top w:w="0" w:type="dxa"/>
          <w:left w:w="0" w:type="dxa"/>
          <w:bottom w:w="0" w:type="dxa"/>
          <w:right w:w="0" w:type="dxa"/>
        </w:tblCellMar>
      </w:tblPr>
      <w:tr>
        <w:trPr>
          <w:trHeight w:val="178"/>
        </w:trPr>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New Product Sales by Segment</w:t>
            </w: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4"/>
                <w:szCs w:val="14"/>
                <w:b w:val="1"/>
                <w:bCs w:val="1"/>
                <w:color w:val="auto"/>
              </w:rPr>
              <w:t>New Product Sales by Segment</w:t>
            </w:r>
          </w:p>
        </w:tc>
      </w:tr>
      <w:tr>
        <w:trPr>
          <w:trHeight w:val="156"/>
        </w:trPr>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Borders>
              <w:bottom w:val="single" w:sz="8" w:color="auto"/>
            </w:tcBorders>
            <w:gridSpan w:val="5"/>
          </w:tcPr>
          <w:p>
            <w:pPr>
              <w:jc w:val="center"/>
              <w:ind w:left="521"/>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39"/>
        </w:trPr>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180"/>
              <w:spacing w:after="0" w:line="139" w:lineRule="exact"/>
              <w:rPr>
                <w:sz w:val="20"/>
                <w:szCs w:val="20"/>
                <w:color w:val="auto"/>
              </w:rPr>
            </w:pPr>
            <w:r>
              <w:rPr>
                <w:rFonts w:ascii="Arial" w:cs="Arial" w:eastAsia="Arial" w:hAnsi="Arial"/>
                <w:sz w:val="14"/>
                <w:szCs w:val="14"/>
                <w:b w:val="1"/>
                <w:bCs w:val="1"/>
                <w:color w:val="auto"/>
              </w:rPr>
              <w:t>June 27,</w:t>
            </w:r>
          </w:p>
        </w:tc>
        <w:tc>
          <w:tcPr>
            <w:tcW w:w="1020" w:type="dxa"/>
            <w:vAlign w:val="bottom"/>
            <w:gridSpan w:val="3"/>
          </w:tcPr>
          <w:p>
            <w:pPr>
              <w:ind w:left="120"/>
              <w:spacing w:after="0" w:line="139" w:lineRule="exact"/>
              <w:rPr>
                <w:sz w:val="20"/>
                <w:szCs w:val="20"/>
                <w:color w:val="auto"/>
              </w:rPr>
            </w:pPr>
            <w:r>
              <w:rPr>
                <w:rFonts w:ascii="Arial" w:cs="Arial" w:eastAsia="Arial" w:hAnsi="Arial"/>
                <w:sz w:val="14"/>
                <w:szCs w:val="14"/>
                <w:b w:val="1"/>
                <w:bCs w:val="1"/>
                <w:color w:val="auto"/>
              </w:rPr>
              <w:t>June 29,</w:t>
            </w:r>
          </w:p>
        </w:tc>
        <w:tc>
          <w:tcPr>
            <w:tcW w:w="600" w:type="dxa"/>
            <w:vAlign w:val="bottom"/>
          </w:tcPr>
          <w:p>
            <w:pPr>
              <w:jc w:val="right"/>
              <w:ind w:right="135"/>
              <w:spacing w:after="0" w:line="13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304"/>
              <w:spacing w:after="0" w:line="139" w:lineRule="exact"/>
              <w:rPr>
                <w:sz w:val="20"/>
                <w:szCs w:val="20"/>
                <w:color w:val="auto"/>
              </w:rPr>
            </w:pPr>
            <w:r>
              <w:rPr>
                <w:rFonts w:ascii="Arial" w:cs="Arial" w:eastAsia="Arial" w:hAnsi="Arial"/>
                <w:sz w:val="14"/>
                <w:szCs w:val="14"/>
                <w:b w:val="1"/>
                <w:bCs w:val="1"/>
                <w:color w:val="auto"/>
                <w:w w:val="96"/>
              </w:rPr>
              <w:t>June 27,</w:t>
            </w:r>
          </w:p>
        </w:tc>
        <w:tc>
          <w:tcPr>
            <w:tcW w:w="160" w:type="dxa"/>
            <w:vAlign w:val="bottom"/>
          </w:tcPr>
          <w:p>
            <w:pPr>
              <w:spacing w:after="0"/>
              <w:rPr>
                <w:sz w:val="12"/>
                <w:szCs w:val="12"/>
                <w:color w:val="auto"/>
              </w:rPr>
            </w:pPr>
          </w:p>
        </w:tc>
        <w:tc>
          <w:tcPr>
            <w:tcW w:w="860" w:type="dxa"/>
            <w:vAlign w:val="bottom"/>
          </w:tcPr>
          <w:p>
            <w:pPr>
              <w:jc w:val="right"/>
              <w:ind w:right="219"/>
              <w:spacing w:after="0" w:line="139" w:lineRule="exact"/>
              <w:rPr>
                <w:sz w:val="20"/>
                <w:szCs w:val="20"/>
                <w:color w:val="auto"/>
              </w:rPr>
            </w:pPr>
            <w:r>
              <w:rPr>
                <w:rFonts w:ascii="Arial" w:cs="Arial" w:eastAsia="Arial" w:hAnsi="Arial"/>
                <w:sz w:val="14"/>
                <w:szCs w:val="14"/>
                <w:b w:val="1"/>
                <w:bCs w:val="1"/>
                <w:color w:val="auto"/>
                <w:w w:val="96"/>
              </w:rPr>
              <w:t>June 29,</w:t>
            </w:r>
          </w:p>
        </w:tc>
        <w:tc>
          <w:tcPr>
            <w:tcW w:w="960" w:type="dxa"/>
            <w:vAlign w:val="bottom"/>
            <w:gridSpan w:val="2"/>
          </w:tcPr>
          <w:p>
            <w:pPr>
              <w:jc w:val="right"/>
              <w:ind w:right="299"/>
              <w:spacing w:after="0" w:line="139" w:lineRule="exact"/>
              <w:rPr>
                <w:sz w:val="20"/>
                <w:szCs w:val="20"/>
                <w:color w:val="auto"/>
              </w:rPr>
            </w:pPr>
            <w:r>
              <w:rPr>
                <w:rFonts w:ascii="Arial" w:cs="Arial" w:eastAsia="Arial" w:hAnsi="Arial"/>
                <w:sz w:val="14"/>
                <w:szCs w:val="14"/>
                <w:b w:val="1"/>
                <w:bCs w:val="1"/>
                <w:color w:val="auto"/>
              </w:rPr>
              <w:t>%</w:t>
            </w:r>
          </w:p>
        </w:tc>
      </w:tr>
      <w:tr>
        <w:trPr>
          <w:trHeight w:val="19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Segment Classification</w:t>
            </w:r>
          </w:p>
        </w:tc>
        <w:tc>
          <w:tcPr>
            <w:tcW w:w="98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1100" w:type="dxa"/>
            <w:vAlign w:val="bottom"/>
            <w:gridSpan w:val="2"/>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02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4"/>
                <w:szCs w:val="14"/>
                <w:b w:val="1"/>
                <w:bCs w:val="1"/>
                <w:color w:val="auto"/>
              </w:rPr>
              <w:t>Change</w:t>
            </w:r>
          </w:p>
        </w:tc>
      </w:tr>
      <w:tr>
        <w:trPr>
          <w:trHeight w:val="203"/>
        </w:trPr>
        <w:tc>
          <w:tcPr>
            <w:tcW w:w="1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113,499</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98,230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182,164</w:t>
            </w: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157,310</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15.8 %</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13,567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(16.3)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29,891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32,485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2,420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Total New Product Sales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225,636</w:t>
            </w:r>
          </w:p>
        </w:tc>
        <w:tc>
          <w:tcPr>
            <w:tcW w:w="9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0"/>
        </w:trPr>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03" w:lineRule="exact"/>
        <w:rPr>
          <w:sz w:val="20"/>
          <w:szCs w:val="20"/>
          <w:color w:val="auto"/>
        </w:rPr>
      </w:pPr>
    </w:p>
    <w:p>
      <w:pPr>
        <w:ind w:left="960" w:right="159"/>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"new" resulted in a change in prior year's sales.</w:t>
      </w:r>
    </w:p>
    <w:p>
      <w:pPr>
        <w:spacing w:after="0" w:line="178" w:lineRule="exact"/>
        <w:rPr>
          <w:sz w:val="20"/>
          <w:szCs w:val="20"/>
          <w:color w:val="auto"/>
        </w:rPr>
      </w:pPr>
    </w:p>
    <w:p>
      <w:pPr>
        <w:ind w:left="880" w:hanging="31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to new customers and markets.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Net sales in the second quarter of 2020 increased approximately 26% compared to the same period of 2019, due to a 22% increase in unit sales and a 4% increase in selling prices. Acquired operations contributed 1% to our unit sales growth, and our organic unit sales growth was 21%. Our organic unit growth was primarily driven by a 27% increase of our ProWood pressure-treated products, a 23% increase in Outdoor Essentials Fence, Lawn &amp; Garden products, and a 72% increase in our Dimensions Home &amp; Décor products including project panels and short lumber. Our new product sales contributed to these increases and were up 15.5% for the quarter. Finally, our sales to big box customers increased 33%, and sales to other independent retailers increased 13%.</w:t>
      </w:r>
    </w:p>
    <w:p>
      <w:pPr>
        <w:spacing w:after="0" w:line="17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Gross profits increased by 50.7% to $83.3 million for the second quarter of 2020 compared to the same period last year as gross margins increased to 13.7% compared to 11.5% for the same period of 2019. We estimate the higher level of lumber prices (see “Impact of the Lumber Market on Our Operating Results”) reduced gross margin by 50 basis points. Improvements in our profitability were primarily due to the impact of strong organic growth which allowed us to leverage fixed costs and the sequential rise in lumber prices which favorably impacted our gross profit per unit of products sold on a variable price such as ProWood pressure-treated lumber.</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Selling, general and administrative (“SG&amp;A”) expenses increased by approximately $4.6 million, or 14.0%, in the second quarter of 2020 compared to the same period of 2019, while we reported a 22% increase in unit sales. Acquired operations since the second quarter of 2019 contributed approximately $0.8 million to this increase. Accrued bonus expense, which varies with our overall profitability and return on investment, increased approximately $3.2 million and totaled approximately $8.4 million for the quarter. The remaining increase was due to increases in salaries and wages which were partially offset by decreases in advertising and travel and related costs.</w:t>
      </w:r>
    </w:p>
    <w:p>
      <w:pPr>
        <w:spacing w:after="0" w:line="17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Earnings from operations for the Retail reportable segment increased in the second quarter of 2020 compared to 2019 by $23.3 million, or 104.1%, well in excess of our 22% increase in unit sales as a result of the factors above.</w:t>
      </w:r>
    </w:p>
    <w:p>
      <w:pPr>
        <w:spacing w:after="0" w:line="14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sales in the first six months of 2020 increased 18% compared to the same period of 2019, due to a 17% increase in unit sales and a 1% increase in selling prices. Acquired operations contributed 1% to our unit sales growth, and organic unit sales growth was 16%. Our organic unit growth was primarily driven by a 22% increase in our ProWood pressure-treated products, a 17% increase in Outdoor Essentials Fence, Lawn &amp; Garden products, and a 51% increase in our Dimensions Home &amp; Décor products including project panels and short lumber. Our new product sales contributed to these increases and were up 15.8%. Sales to big box customers were up 23% and sales to other independent retailers increased 8%.</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Gross profits in the first six months of 2020 increased 38.4% to $127.0 million compared to the same period of 2019 as gross margins increased to 13.2% compared to 11.3% for the same period of 2019. The impact of higher lumber prices contributed to a 10 basis point decline in our gross margin. Improvements in our profitability were primarily due to the impact of effective inventory positioning resulting in lower lumber costs, favorable changes in product mix, and strong organic growth which allowed us to leverage fixed costs, and the sequential rise in lumber prices in the second quarter which favorably impacted our gross profit per unit of products sold on a variable price such as ProWood pressure-treated lumber.</w:t>
      </w:r>
    </w:p>
    <w:p>
      <w:pPr>
        <w:spacing w:after="0" w:line="19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Selling, general and administrative (“SG&amp;A”) expenses increased by approximately $8.5 million, or 14.4%, in the first six months of 2020 compared to the same period of 2019, while we reported a 17% increase in unit sales. Acquired operations since the second quarter of 2019 contributed approximately $1.6 million to this increase. Accrued bonus expense increased approximately $4.2 million and totaled approximately $11.9 for the first six months of 2020. The remaining increase was due to increases in salaries and wages and in-store merchandise offset by a decline in advertising and other costs.</w:t>
      </w:r>
    </w:p>
    <w:p>
      <w:pPr>
        <w:spacing w:after="0" w:line="16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Earnings from operations for the Retail reportable segment increased in the first six months of 2020 compared to 2019 by $26.6 million, or 79.9%, well in excess of our 17% increase in unit sales as a result of the factors mentioned above.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Industrial Segment</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Net sales in the second quarter of 2020 decreased 23% compared to the same period of 2019, due to a 27% decrease in unit sales due to the impact of the pandemic, offset by a 4% increase in selling prices due to the Lumber Market.</w:t>
      </w:r>
    </w:p>
    <w:p>
      <w:pPr>
        <w:spacing w:after="0" w:line="1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Gross profits decreased by 17.3% to $37.2 million for the second quarter of 2020 compared to the same period of 2019 due to the decline in unit sales. However, gross margin increased to 16.6% from 15.4% for the same period last year. We estimate the higher level of lumber prices (see “Impact of the Lumber Market on Our Operating Results”) caused a decline in margin of 90 basis points. The remaining improvement in our profitability was primarily due to the impact of effective inventory positioning resulting in lower lumber costs and favorable improvements in our sales mix.</w:t>
      </w:r>
    </w:p>
    <w:p>
      <w:pPr>
        <w:spacing w:after="0" w:line="1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Selling, general and administrative (“SG&amp;A”) expenses decreased by approximately $2.6 million, or 10.7%, in the second quarter of 2020 compared to the same period of 2019. Acquired operations since the second quarter of 2019 contributed approximately $0.5 million to our costs. Accrued bonus expense, which varies with our pre-bonus operating profit and return on investment, decreased approximately $2.9 million, and totaled $2.2 million for the quarter.</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Industrial reportable segment decreased in the second quarter of 2020 compared to 2019 by $5.3 million, or 25.5%, due to the factors discussed above.</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sales in the first six months of 2020 decreased 15% compared to the same period of 2019, due to a 14% decrease in unit sales due to the impact of the pandemic and a 1% decline in selling prices.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Gross profits in the first six months of 2020 declined 9.7% to $79.5 million compared to the same period of 2019, while gross margins increased to 16.5% compared to 15.5% for the same period of 2019. We estimate the impact of the Lumber Market contributed 20 basis points to our improvement in gross margin. The remaining improvement in our gross margin was primarily due to the impact of effective inventory positioning resulting in lower lumber costs and favorable changes in product mix.</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Selling, general and administrative (“SG&amp;A”) expenses decreased by approximately $1.0 million, or 2.0%, in the first six months of 2020 compared to the same period of 2019. Acquired operations since the second quarter of 2019 contributed approximately $0.9 million to total SG&amp;A expenses. Accrued bonus expense decreased approximately $3.4 million compared to the same period of 2019 and totaled approximately $9.8 for the first six months of 2020. This decrease was partially offset by increases in salaries and wages, sales compensation,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Industrial reportable segment decreased in the first six months of 2020 compared to 2019 by $7.6 million, or 19.4%,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sales in the second quarter of 2020 decreased 13% compared to the same period of 2019, due to a 3% increase in selling prices primarily due to the Lumber Market, offset by a 16% decrease in unit sales due to the impact of the pandemic. Unit changes within this segment consisted of declines of 5% in concrete forming, 15% in site-built construction, 19% in commercial construction, and 20% in factory-built housing.</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Gross profits decreased by 9.4% to $61.7 million for the second quarter of 2020 compared to the same period of 2019. Gross margin increased to 17.2% from 16.4% for the same period last year. We estimate the higher level of the lumber prices (see “Impact of the Lumber Market on Our Operating Results”) contributed 50 basis points in improved gross margin.</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Selling, general and administrative (“SG&amp;A”) expenses decreased by approximately $5.7 million, or 11.8%, in the second quarter of 2020 compared to the same period of 2019, while we reported a 16% decrease in unit sales. Acquired operations since the second quarter of 2019 contributed approximately $0.9 million to total SG&amp;A expenses for the quarter. Accrued bonus expense, which varies with our overall profitability and return on investment, decreased approximately $1.8 million, and totaled $3.2 million for the quarter. Decreases in salaries and wages, travel and medical expenses also contributed to the overall decrease in SG&amp;A.</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Construction reportable segment decreased in the second quarter of 2020 compared to 2019 by $0.7 million, or 3.6%, due to the factors mentioned above.</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Net sales in the first six months of 2020 decreased 5% compared to the same period of 2019, due to a 7% decrease in unit sales due to the impact of the pandemic, offset by a 2% increase in selling prices primarily due to the Lumber Market. Unit changes within this segment consisted of declines of 5% in factory-built housing, 8% in site-built construction, and 9% in commercial construction. These declines were offset with unit increases of 4% in concrete forming.</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Gross profits in the first six months of 2020 declined 4.7% to $122.4 million compared to the same period of 2019, while gross margins remained flat at 16.5% compared to the same period of 2019. We estimate the higher level of lumber prices caused a 30 basis point decrease in our gross margin.</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Selling, general and administrative (“SG&amp;A”) expenses decreased by approximately $4.9 million, or 5.2%, in the first six months of 2020 compared to the same period of 2019. Acquired operations since the second quarter of 2019 contributed approximately $0.9 million to total SG&amp;A expenses. Accrued bonus expense decreased approximately $1.9 million compared to the same period of 2019 and totaled approximately $8.6 for the first six months of 2020. Decreases in salaries and wages, travel and medical expenses also contributed to the overall decrease in SG&amp;A.</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Construction reportable segment decreased in the first six months of 2020 compared to 2019 by $0.8 million, or 2.4%,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All Other reportable segment consists of our International and Ardellis (our insurance captive) segments that are not significant.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expense was lower in the second quarter and year-to-date of 2020 compared to the same period of 2019 primarily due to lower outstanding debt balances and variable interest rates in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UNREALIZED LOSS (GAIN) ON INVESTMENTS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Ardellis (our insurance captive) recorded a $2.7 million unrealized gain on equity investments held in its portfolio in the second quarter of 2020 compared to a $0.2 million gain in the same period of the prior year.</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the first six months of 2020, Ardellis recorded a $0.5 million unrealized loss on equity investments held in its portfolio compared to a $1.5 million gain in the same period of the prior year.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Effective tax rates differ from statutory federal income tax rates, primarily due to provisions for foreign, state and local income taxes and permanent tax differences. Our effective tax rate was 25.3% in the second quarter of 2020 compared to 24.0% for same period in 2019. </w:t>
      </w:r>
      <w:r>
        <w:rPr>
          <w:rFonts w:ascii="Arial" w:cs="Arial" w:eastAsia="Arial" w:hAnsi="Arial"/>
          <w:sz w:val="18"/>
          <w:szCs w:val="18"/>
          <w:color w:val="212529"/>
        </w:rPr>
        <w:t>Our effective tax rate was 25.1% in the first six months of 2020 compared to 24.1% for</w:t>
      </w:r>
      <w:r>
        <w:rPr>
          <w:rFonts w:ascii="Arial" w:cs="Arial" w:eastAsia="Arial" w:hAnsi="Arial"/>
          <w:sz w:val="18"/>
          <w:szCs w:val="18"/>
          <w:color w:val="auto"/>
        </w:rPr>
        <w:t xml:space="preserve"> </w:t>
      </w:r>
      <w:r>
        <w:rPr>
          <w:rFonts w:ascii="Arial" w:cs="Arial" w:eastAsia="Arial" w:hAnsi="Arial"/>
          <w:sz w:val="18"/>
          <w:szCs w:val="18"/>
          <w:color w:val="212529"/>
        </w:rPr>
        <w:t xml:space="preserve">the same period in 2019. </w:t>
      </w:r>
      <w:r>
        <w:rPr>
          <w:rFonts w:ascii="Arial" w:cs="Arial" w:eastAsia="Arial" w:hAnsi="Arial"/>
          <w:sz w:val="18"/>
          <w:szCs w:val="18"/>
          <w:color w:val="000000"/>
        </w:rPr>
        <w:t>The increase was primarily due to the foreign tax rate differential on foreign income and a</w:t>
      </w:r>
      <w:r>
        <w:rPr>
          <w:rFonts w:ascii="Arial" w:cs="Arial" w:eastAsia="Arial" w:hAnsi="Arial"/>
          <w:sz w:val="18"/>
          <w:szCs w:val="18"/>
          <w:color w:val="212529"/>
        </w:rPr>
        <w:t xml:space="preserve"> </w:t>
      </w:r>
      <w:r>
        <w:rPr>
          <w:rFonts w:ascii="Arial" w:cs="Arial" w:eastAsia="Arial" w:hAnsi="Arial"/>
          <w:sz w:val="18"/>
          <w:szCs w:val="18"/>
          <w:color w:val="000000"/>
        </w:rPr>
        <w:t>reduction in state tax credits in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58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75"/>
              <w:spacing w:after="0" w:line="126" w:lineRule="exact"/>
              <w:rPr>
                <w:sz w:val="20"/>
                <w:szCs w:val="20"/>
                <w:color w:val="auto"/>
              </w:rPr>
            </w:pPr>
            <w:r>
              <w:rPr>
                <w:rFonts w:ascii="Arial" w:cs="Arial" w:eastAsia="Arial" w:hAnsi="Arial"/>
                <w:sz w:val="14"/>
                <w:szCs w:val="14"/>
                <w:b w:val="1"/>
                <w:bCs w:val="1"/>
                <w:color w:val="auto"/>
                <w:w w:val="96"/>
              </w:rPr>
              <w:t>June 27,</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74"/>
              <w:spacing w:after="0" w:line="126" w:lineRule="exact"/>
              <w:rPr>
                <w:sz w:val="20"/>
                <w:szCs w:val="20"/>
                <w:color w:val="auto"/>
              </w:rPr>
            </w:pPr>
            <w:r>
              <w:rPr>
                <w:rFonts w:ascii="Arial" w:cs="Arial" w:eastAsia="Arial" w:hAnsi="Arial"/>
                <w:sz w:val="14"/>
                <w:szCs w:val="14"/>
                <w:b w:val="1"/>
                <w:bCs w:val="1"/>
                <w:color w:val="auto"/>
                <w:w w:val="92"/>
              </w:rPr>
              <w:t>June 29,</w:t>
            </w:r>
          </w:p>
        </w:tc>
      </w:tr>
      <w:tr>
        <w:trPr>
          <w:trHeight w:val="178"/>
        </w:trPr>
        <w:tc>
          <w:tcPr>
            <w:tcW w:w="58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147,210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70,948</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(47,736)</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(30,255)</w:t>
            </w:r>
          </w:p>
        </w:tc>
      </w:tr>
      <w:tr>
        <w:trPr>
          <w:trHeight w:val="223"/>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r>
      <w:tr>
        <w:trPr>
          <w:trHeight w:val="223"/>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168,666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28,198</w:t>
            </w:r>
          </w:p>
        </w:tc>
      </w:tr>
      <w:tr>
        <w:trPr>
          <w:trHeight w:val="216"/>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201,270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21,521</w:t>
            </w:r>
          </w:p>
        </w:tc>
      </w:tr>
      <w:tr>
        <w:trPr>
          <w:trHeight w:val="20"/>
        </w:trPr>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improved to 49 days from 53 days during the second quarter and to 53 days from 58 days during the first six months of 2020 compared to the prior periods.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r>
      <w:tr>
        <w:trPr>
          <w:trHeight w:val="126"/>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76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rPr>
              <w:t>June 27,</w:t>
            </w:r>
          </w:p>
        </w:tc>
        <w:tc>
          <w:tcPr>
            <w:tcW w:w="5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2"/>
              </w:rPr>
              <w:t>June 29,</w:t>
            </w:r>
          </w:p>
        </w:tc>
        <w:tc>
          <w:tcPr>
            <w:tcW w:w="20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85"/>
              </w:rPr>
              <w:t>June 27,</w:t>
            </w:r>
          </w:p>
        </w:tc>
        <w:tc>
          <w:tcPr>
            <w:tcW w:w="70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rPr>
              <w:t>June 29,</w:t>
            </w:r>
          </w:p>
        </w:tc>
      </w:t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7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r>
      <w:tr>
        <w:trPr>
          <w:trHeight w:val="216"/>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3"/>
        </w:trPr>
        <w:tc>
          <w:tcPr>
            <w:tcW w:w="4380" w:type="dxa"/>
            <w:vAlign w:val="bottom"/>
            <w:gridSpan w:val="2"/>
          </w:tcPr>
          <w:p>
            <w:pPr>
              <w:spacing w:after="0" w:line="203" w:lineRule="exact"/>
              <w:rPr>
                <w:sz w:val="20"/>
                <w:szCs w:val="20"/>
                <w:color w:val="auto"/>
              </w:rPr>
            </w:pPr>
            <w:r>
              <w:rPr>
                <w:rFonts w:ascii="Arial" w:cs="Arial" w:eastAsia="Arial" w:hAnsi="Arial"/>
                <w:sz w:val="18"/>
                <w:szCs w:val="18"/>
                <w:color w:val="auto"/>
              </w:rPr>
              <w:t>Days in cash cycle</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180" w:type="dxa"/>
            <w:vAlign w:val="bottom"/>
          </w:tcPr>
          <w:p>
            <w:pPr>
              <w:spacing w:after="0"/>
              <w:rPr>
                <w:sz w:val="17"/>
                <w:szCs w:val="17"/>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200" w:type="dxa"/>
            <w:vAlign w:val="bottom"/>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200" w:type="dxa"/>
            <w:vAlign w:val="bottom"/>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decrease in our days supply of inventory for the first six months of 2020 was primarily due to opportunistic buying when lumber prices were low during the fourth quarter of 2018 and early 2019 to improve gross profits and higher levels of “safety stock” we carried to address transportation challenges and ensure timely deliveries to our customers. The company did not engage in this level of opportunistic buying in late 2019 and early 2020. In addition, strong demand in our retail segment and shortages of supply has contributed to lower inventories in the second quarter of 2020.</w:t>
      </w:r>
    </w:p>
    <w:p>
      <w:pPr>
        <w:spacing w:after="0" w:line="16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the first six months of 2020, our cash provided by in operating activities was $147.2 million, which was comprised of net earnings of $110.3 million and $38.2 million of non-cash expenses, offset by a $1.3 million seasonal increase in working capital since the end of December 2019. Our operating cash flow this year improved by $76.3 million compared to the same period of last year primarily due to an improvement in earnings, an increase in non-cash expenses and losses, and an increase in our accrued liabilities since year end. Our accrued liabilities increased primarily due to accrued income taxes and compensation and benefit costs.</w:t>
      </w:r>
    </w:p>
    <w:p>
      <w:pPr>
        <w:spacing w:after="0" w:line="17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Acquisitions and purchases of property, plant, and equipment comprised most of our cash used in investing activities during the first six months of 2020 and totaled $18.7 million and $46.7 million, respectively. Outstanding purchase commitments on existing capital projects totaled approximately $22.6 million on June 27, 2020. Notable areas of capital spending include projects to expand capacity and enhance the productivity of our Deckorators product line, several projects to expand manufacturing capacity to serve industrial customers and achieve efficiencies through automation, improvements to a number of facilities, and an increase our transportation capacity (tractors, trailers) in order to meet higher volumes and replace old rolling stock. We intend to fund capital expenditures and purchase commitments through our operating cash flows or cash surplus for the balance of the year. The sales and purchases of investments totaling $18.7 million and $20.1 million, respectively, are due to investment activity in our captive insurance subsidiary.</w:t>
      </w:r>
    </w:p>
    <w:p>
      <w:pPr>
        <w:spacing w:after="0" w:line="166"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Cash flows from financing activities primarily consisted of net repayments of debt of approximately $2.8 million. Additionally, we paid quarterly dividends totaling $15.4 million, or $0.125 per share, and repurchased approximately 756,000 shares of our common stock for $29.2 million resulting in an average price paid of $38.62.</w:t>
      </w:r>
    </w:p>
    <w:p>
      <w:pPr>
        <w:spacing w:after="0" w:line="16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June 27, 2020, we had $4.2 million outstanding on our $375 million revolving credit facility, and we had approximately $361.0 million in remaining availability after considering $9.8 million in outstanding letters of credit. Additionally, we have $150 million in availability under an existing “shelf agreement” for long term debt.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June 27, 2020.</w:t>
      </w:r>
    </w:p>
    <w:p>
      <w:pPr>
        <w:sectPr>
          <w:pgSz w:w="11900" w:h="16838" w:orient="portrait"/>
          <w:cols w:equalWidth="0" w:num="1">
            <w:col w:w="9019"/>
          </w:cols>
          <w:pgMar w:left="1440" w:top="544"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28, 2019.</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Under the recent re-organization of our reportable segments now centered on our primary markets (retail, industrial, and construction), there were no indicators of impairment for any of the new reporting units. We continue to monitor the results of our commercial business unit (a reporting unit under the Construction segment), which primarily includes idX, as it has performed below expectations through 2019. While idX has faced challenging end market conditions resulting in this under-performance, we believe our growth and operating improvement strategies and related long-term projections for idX are still reasonable and attainable. Consequently, while the risk of impairment exists, management does not believe an impairment is currently required. Should the Company’s future analysis indicate a significant change in any of the triggering events for this reporting unit, it could result in impairment of the carrying value of goodwill to its implied fair value. There can be no assurance that the Company’s future goodwill impairment testing will not result in a charge to earnings. The total value of goodwill and identifiable intangibles associated with the commercial reporting unit is $12.3 million and $4.5 million, respectively, at the end of June 2020.</w:t>
      </w:r>
    </w:p>
    <w:p>
      <w:pPr>
        <w:spacing w:after="0" w:line="178"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Most recently, the Company’s goals have been to:</w:t>
      </w:r>
    </w:p>
    <w:p>
      <w:pPr>
        <w:spacing w:after="0" w:line="63" w:lineRule="exact"/>
        <w:rPr>
          <w:sz w:val="20"/>
          <w:szCs w:val="20"/>
          <w:color w:val="auto"/>
        </w:rPr>
      </w:pPr>
    </w:p>
    <w:p>
      <w:pPr>
        <w:ind w:left="880" w:hanging="31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long-term unit sales growth that exceeds positive U.S. GDP by 4 percent to 6 percent;</w:t>
      </w:r>
    </w:p>
    <w:p>
      <w:pPr>
        <w:spacing w:after="0" w:line="63" w:lineRule="exact"/>
        <w:rPr>
          <w:rFonts w:ascii="Arial" w:cs="Arial" w:eastAsia="Arial" w:hAnsi="Arial"/>
          <w:sz w:val="18"/>
          <w:szCs w:val="18"/>
          <w:color w:val="auto"/>
        </w:rPr>
      </w:pPr>
    </w:p>
    <w:p>
      <w:pPr>
        <w:ind w:left="880" w:hanging="31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 earnings from operations in excess of our unit sales growth; and</w:t>
      </w:r>
    </w:p>
    <w:p>
      <w:pPr>
        <w:spacing w:after="0" w:line="63" w:lineRule="exact"/>
        <w:rPr>
          <w:rFonts w:ascii="Arial" w:cs="Arial" w:eastAsia="Arial" w:hAnsi="Arial"/>
          <w:sz w:val="18"/>
          <w:szCs w:val="18"/>
          <w:color w:val="auto"/>
        </w:rPr>
      </w:pPr>
    </w:p>
    <w:p>
      <w:pPr>
        <w:ind w:left="880" w:hanging="31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 a return on invested capital in excess of our weighted average cost of capital.</w:t>
      </w:r>
    </w:p>
    <w:p>
      <w:pPr>
        <w:spacing w:after="0" w:line="27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While we believe the effective execution of our strategies will allow us to continue to achieve these long-term goals in the future, our ability to achieve them in 2020 may be adversely impacted by the COVID-19 pandemic. The following variables should be considered when evaluating our performance for the remainder of 2020.</w:t>
      </w:r>
    </w:p>
    <w:p>
      <w:pPr>
        <w:spacing w:after="0" w:line="184" w:lineRule="exact"/>
        <w:rPr>
          <w:sz w:val="20"/>
          <w:szCs w:val="20"/>
          <w:color w:val="auto"/>
        </w:rPr>
      </w:pPr>
    </w:p>
    <w:p>
      <w:pPr>
        <w:jc w:val="both"/>
        <w:ind w:left="880" w:right="79" w:hanging="317"/>
        <w:spacing w:after="0" w:line="288"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experienced a decrease in customer demand and sales in our industrial and construction segments. While the vast majority of our customers and operations have been deemed to be essential businesses under the numerous stay at home orders that have been issued by states in which we operate earlier this year, some of our customers do not meet these requirements and were temporarily shut down. For those customers who remained operating, demand declined for the majority of them. While the demand trends improved significantly during the quarter there can be no assurance that a “second wave” of COVID-19 will not occur and result in additional “stay at home” and similar orders that would impact the demand of our products. In addition, demand for our products in the retail segment has been strong as consumers have increased their home improvement activities during the pandemic. There can be no assurance that demand will continue at these strong levels in the future. Market indicators that should be considered when evaluating future demand for our products include:</w:t>
      </w:r>
    </w:p>
    <w:p>
      <w:pPr>
        <w:spacing w:after="0" w:line="60" w:lineRule="exact"/>
        <w:rPr>
          <w:rFonts w:ascii="Arial" w:cs="Arial" w:eastAsia="Arial" w:hAnsi="Arial"/>
          <w:sz w:val="16"/>
          <w:szCs w:val="16"/>
          <w:color w:val="auto"/>
        </w:rPr>
      </w:pPr>
    </w:p>
    <w:p>
      <w:pPr>
        <w:jc w:val="both"/>
        <w:ind w:left="1220" w:right="79" w:hanging="333"/>
        <w:spacing w:after="0" w:line="263"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Same store sales growth of national home improvement retail customers, the leading indicator for remodeling activity and home improvement spending forecasts. Sales of our Retail segment comprises approximately 42% of our annual total sales.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1220" w:right="79" w:hanging="333"/>
        <w:spacing w:after="0" w:line="298" w:lineRule="auto"/>
        <w:tabs>
          <w:tab w:leader="none" w:pos="12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Housing starts in the northeast and mid-Atlantic states, Colorado, and Texas. Sales of our Site Built business unit within our Construction segment comprises approximately 14% of our total annual sales.</w:t>
      </w:r>
    </w:p>
    <w:p>
      <w:pPr>
        <w:ind w:left="1220" w:right="79" w:hanging="333"/>
        <w:spacing w:after="0" w:line="277"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Production of manufactured housing. Sales of our Factory Built business unit within our Construction segment comprises 10% of our total annual sales.</w:t>
      </w:r>
    </w:p>
    <w:p>
      <w:pPr>
        <w:spacing w:after="0" w:line="8" w:lineRule="exact"/>
        <w:rPr>
          <w:rFonts w:ascii="Arial" w:cs="Arial" w:eastAsia="Arial" w:hAnsi="Arial"/>
          <w:sz w:val="18"/>
          <w:szCs w:val="18"/>
          <w:color w:val="auto"/>
        </w:rPr>
      </w:pPr>
    </w:p>
    <w:p>
      <w:pPr>
        <w:ind w:left="1220" w:right="79" w:hanging="333"/>
        <w:spacing w:after="0" w:line="277"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Non-residential construction spending. Sales of our Commercial and Concrete Forming business units within our Construction segment comprises approximately 8% of our total annual sales.</w:t>
      </w:r>
    </w:p>
    <w:p>
      <w:pPr>
        <w:spacing w:after="0" w:line="8" w:lineRule="exact"/>
        <w:rPr>
          <w:rFonts w:ascii="Arial" w:cs="Arial" w:eastAsia="Arial" w:hAnsi="Arial"/>
          <w:sz w:val="18"/>
          <w:szCs w:val="18"/>
          <w:color w:val="auto"/>
        </w:rPr>
      </w:pPr>
    </w:p>
    <w:p>
      <w:pPr>
        <w:ind w:left="1220" w:right="79" w:hanging="333"/>
        <w:spacing w:after="0" w:line="277"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Industrial production, Purchasing Managers Index, and U.S. GDP. Sales of our Industrial segment comprises approximately 21% of our total annual sales.</w:t>
      </w:r>
    </w:p>
    <w:p>
      <w:pPr>
        <w:spacing w:after="0" w:line="170" w:lineRule="exact"/>
        <w:rPr>
          <w:rFonts w:ascii="Arial" w:cs="Arial" w:eastAsia="Arial" w:hAnsi="Arial"/>
          <w:sz w:val="18"/>
          <w:szCs w:val="18"/>
          <w:color w:val="auto"/>
        </w:rPr>
      </w:pPr>
    </w:p>
    <w:p>
      <w:pPr>
        <w:jc w:val="both"/>
        <w:ind w:left="880" w:right="79" w:hanging="317"/>
        <w:spacing w:after="0" w:line="271"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have over 150 geographically dispersed plant locations, many of which have the ability to serve multiple market segments. These capabilities enhance our ability to supply our customers from multiple locations in the event an operation is idled due to the pandemic. To date, two of our operations have been temporarily idled and one has been permanently idled. We do not anticipate a significant loss of sales from these actions. Depending on the length of the “stay at home” orders and the severity of the impact on future customer demand, we may temporarily or permanently idle additional locations in the future. These actions could result in certain losses including asset impairment charges to property, plant and equipment, right of use leased assets, inventory and other long-lived assets as well certain exit costs.</w:t>
      </w:r>
    </w:p>
    <w:p>
      <w:pPr>
        <w:spacing w:after="0" w:line="178" w:lineRule="exact"/>
        <w:rPr>
          <w:rFonts w:ascii="Arial" w:cs="Arial" w:eastAsia="Arial" w:hAnsi="Arial"/>
          <w:sz w:val="17"/>
          <w:szCs w:val="17"/>
          <w:color w:val="auto"/>
        </w:rPr>
      </w:pPr>
    </w:p>
    <w:p>
      <w:pPr>
        <w:jc w:val="both"/>
        <w:ind w:left="880" w:right="79" w:hanging="317"/>
        <w:spacing w:after="0" w:line="273"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a consolidated basis, and based on our 2019 results of operations and business mix, we believe our decremental operating margin is in a range of 10% to 15% of net sales. In other words, we believe for every dollar decrease in sales, relative to the prior year, our earnings from operations may decline by 10 cents to 15 cents. As a point of reference, our peak to trough decremental operating margin during the Great Recession was approximately 13.5% (2006 peak to 2011 trough). In addition to the variables above, factors that may cause our actual results to vary significantly from this range include:</w:t>
      </w:r>
    </w:p>
    <w:p>
      <w:pPr>
        <w:spacing w:after="0" w:line="69" w:lineRule="exact"/>
        <w:rPr>
          <w:rFonts w:ascii="Arial" w:cs="Arial" w:eastAsia="Arial" w:hAnsi="Arial"/>
          <w:sz w:val="17"/>
          <w:szCs w:val="17"/>
          <w:color w:val="auto"/>
        </w:rPr>
      </w:pPr>
    </w:p>
    <w:p>
      <w:pPr>
        <w:ind w:left="1220" w:hanging="333"/>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Changes in our selling prices</w:t>
      </w:r>
    </w:p>
    <w:p>
      <w:pPr>
        <w:spacing w:after="0" w:line="63" w:lineRule="exact"/>
        <w:rPr>
          <w:rFonts w:ascii="Arial" w:cs="Arial" w:eastAsia="Arial" w:hAnsi="Arial"/>
          <w:sz w:val="18"/>
          <w:szCs w:val="18"/>
          <w:color w:val="auto"/>
        </w:rPr>
      </w:pPr>
    </w:p>
    <w:p>
      <w:pPr>
        <w:ind w:left="1220" w:hanging="333"/>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Changes in our sales mix by market segment and product</w:t>
      </w:r>
    </w:p>
    <w:p>
      <w:pPr>
        <w:spacing w:after="0" w:line="63" w:lineRule="exact"/>
        <w:rPr>
          <w:rFonts w:ascii="Arial" w:cs="Arial" w:eastAsia="Arial" w:hAnsi="Arial"/>
          <w:sz w:val="18"/>
          <w:szCs w:val="18"/>
          <w:color w:val="auto"/>
        </w:rPr>
      </w:pPr>
    </w:p>
    <w:p>
      <w:pPr>
        <w:ind w:left="1220" w:hanging="333"/>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impact and level of the Lumber Market and trends in the commodity costs of our products</w:t>
      </w:r>
    </w:p>
    <w:p>
      <w:pPr>
        <w:spacing w:after="0" w:line="63" w:lineRule="exact"/>
        <w:rPr>
          <w:rFonts w:ascii="Arial" w:cs="Arial" w:eastAsia="Arial" w:hAnsi="Arial"/>
          <w:sz w:val="18"/>
          <w:szCs w:val="18"/>
          <w:color w:val="auto"/>
        </w:rPr>
      </w:pPr>
    </w:p>
    <w:p>
      <w:pPr>
        <w:ind w:left="1220" w:hanging="333"/>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Changes in labor rates</w:t>
      </w:r>
    </w:p>
    <w:p>
      <w:pPr>
        <w:spacing w:after="0" w:line="63" w:lineRule="exact"/>
        <w:rPr>
          <w:rFonts w:ascii="Arial" w:cs="Arial" w:eastAsia="Arial" w:hAnsi="Arial"/>
          <w:sz w:val="18"/>
          <w:szCs w:val="18"/>
          <w:color w:val="auto"/>
        </w:rPr>
      </w:pPr>
    </w:p>
    <w:p>
      <w:pPr>
        <w:ind w:left="1220" w:right="79" w:hanging="333"/>
        <w:spacing w:after="0" w:line="277"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ability to reduce variable manufacturing, freight, selling, general, and administrative costs, particularly certain personnel costs, in line with net sales</w:t>
      </w:r>
    </w:p>
    <w:p>
      <w:pPr>
        <w:spacing w:after="0" w:line="8" w:lineRule="exact"/>
        <w:rPr>
          <w:rFonts w:ascii="Arial" w:cs="Arial" w:eastAsia="Arial" w:hAnsi="Arial"/>
          <w:sz w:val="18"/>
          <w:szCs w:val="18"/>
          <w:color w:val="auto"/>
        </w:rPr>
      </w:pPr>
    </w:p>
    <w:p>
      <w:pPr>
        <w:ind w:left="1220" w:right="79" w:hanging="333"/>
        <w:spacing w:after="0" w:line="277"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results of our salaried bonus plan, which is based on pre-bonus profits and achieving minimum levels of pre-bonus return on investment over a required hurdle rate</w:t>
      </w:r>
    </w:p>
    <w:p>
      <w:pPr>
        <w:spacing w:after="0" w:line="224" w:lineRule="exact"/>
        <w:rPr>
          <w:rFonts w:ascii="Arial" w:cs="Arial" w:eastAsia="Arial" w:hAnsi="Arial"/>
          <w:sz w:val="18"/>
          <w:szCs w:val="18"/>
          <w:color w:val="auto"/>
        </w:rPr>
      </w:pPr>
    </w:p>
    <w:p>
      <w:pPr>
        <w:ind w:left="880" w:right="79" w:hanging="317"/>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increased our capital expenditure budget to $100 million from $80 million for 2020 to capitalize on future growth opportunities due to our strong cash flow and liquidity position.</w:t>
      </w:r>
    </w:p>
    <w:p>
      <w:pPr>
        <w:spacing w:after="0" w:line="170" w:lineRule="exact"/>
        <w:rPr>
          <w:rFonts w:ascii="Arial" w:cs="Arial" w:eastAsia="Arial" w:hAnsi="Arial"/>
          <w:sz w:val="18"/>
          <w:szCs w:val="18"/>
          <w:color w:val="auto"/>
        </w:rPr>
      </w:pPr>
    </w:p>
    <w:p>
      <w:pPr>
        <w:jc w:val="both"/>
        <w:ind w:left="880" w:right="79" w:hanging="317"/>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CARES act allows us to defer certain payroll taxes from the end of March through the end of our 2020 fiscal year, which we estimate will total approximately $20 million. This liability must be paid in equal annual installments on December 31, 2021 and December 31, 2022.</w:t>
      </w:r>
    </w:p>
    <w:p>
      <w:pPr>
        <w:spacing w:after="0" w:line="183" w:lineRule="exact"/>
        <w:rPr>
          <w:rFonts w:ascii="Arial" w:cs="Arial" w:eastAsia="Arial" w:hAnsi="Arial"/>
          <w:sz w:val="18"/>
          <w:szCs w:val="18"/>
          <w:color w:val="auto"/>
        </w:rPr>
      </w:pPr>
    </w:p>
    <w:p>
      <w:pPr>
        <w:ind w:left="880" w:right="79" w:hanging="317"/>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believe our cash cycle will remain consistent with historical trends and result in a reduction in working capital and increase in cash as sales decline.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9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entered into forward foreign exchange rate contracts in 2018, which have since expired,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880" w:right="79" w:hanging="317"/>
        <w:spacing w:after="0" w:line="301"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June 27, 2020 (the “Evaluation Date”), have concluded that, as of such date, our disclosure controls and procedures were effective.</w:t>
      </w:r>
    </w:p>
    <w:p>
      <w:pPr>
        <w:spacing w:after="0" w:line="157" w:lineRule="exact"/>
        <w:rPr>
          <w:rFonts w:ascii="Arial" w:cs="Arial" w:eastAsia="Arial" w:hAnsi="Arial"/>
          <w:sz w:val="16"/>
          <w:szCs w:val="16"/>
          <w:color w:val="auto"/>
        </w:rPr>
      </w:pPr>
    </w:p>
    <w:p>
      <w:pPr>
        <w:jc w:val="both"/>
        <w:ind w:left="880" w:right="79" w:hanging="317"/>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June 27, 2020,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b w:val="1"/>
          <w:bCs w:val="1"/>
          <w:i w:val="1"/>
          <w:iCs w:val="1"/>
          <w:color w:val="auto"/>
        </w:rPr>
        <w:t>We may be adversely affected by the impact of COVID-19 (Coronavirus) pandemic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 outbreaks, such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COVID-19 pandemic, could have an adverse impact on the Company's operations and financial results. These outbreaks may adversely impact our business, consolidated results of operations and financial condition, such as the current COVID-19 pandemic. COVID-19, as well as measures taken by governmental authorities and businesses to limit the spread of this virus, may result in an adverse change in customer demand and our sales, interfere with the ability of our employees and suppliers to perform and function in a manner consistent with targeted objectives and otherwise adversely impact the efficiency of our operations. This has caused, and may continue to cause, us to materially curtail certain of our business operations, and has had and could continue to have, a material adverse effect on the results of our operations and cash flow.</w:t>
      </w:r>
    </w:p>
    <w:p>
      <w:pPr>
        <w:spacing w:after="0" w:line="163"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Adverse economic conditions and our customers’ ability to operate may impact their ability to pay. </w:t>
      </w:r>
      <w:r>
        <w:rPr>
          <w:rFonts w:ascii="Arial" w:cs="Arial" w:eastAsia="Arial" w:hAnsi="Arial"/>
          <w:sz w:val="18"/>
          <w:szCs w:val="18"/>
          <w:color w:val="auto"/>
        </w:rPr>
        <w:t>This may result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write-offs of receivables than we normally experience. We continue to monitor our customers’ business activities, payment patterns, and credit profiles carefully and make changes in our terms when necessary in response to this risk. As a result, our accounts receivable aging at the end of June was approximately 94% current. Most recently our bad debt expense as a percentage of sales was 0.09%, 0.03%, and 0.03%, in 2019, 2018, and 2017, respectively. During the most difficult collection period of the Great Recession, from 2008 through 2010, our bad debt expense as a percentage of sales averaged 0.25%.</w:t>
      </w:r>
    </w:p>
    <w:p>
      <w:pPr>
        <w:spacing w:after="0" w:line="19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 xml:space="preserve">There could be limited future availability of materials from our suppliers. </w:t>
      </w:r>
      <w:r>
        <w:rPr>
          <w:rFonts w:ascii="Arial" w:cs="Arial" w:eastAsia="Arial" w:hAnsi="Arial"/>
          <w:sz w:val="18"/>
          <w:szCs w:val="18"/>
          <w:color w:val="auto"/>
        </w:rPr>
        <w:t>Many of our suppliers reduced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capacity in response to the anticipated reduction in demand from the pandemic, which in turn impacted our ability to fulfill all of our customers’ orders. Our suppliers are currently taking actions to increase capacity to meet expectations of future demand.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4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Month</w:t>
            </w: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(b)</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210"/>
        </w:trPr>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29, 2019 – May 2, 2020</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216"/>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May 3 – 30, 2020</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1,103,957</w:t>
            </w:r>
          </w:p>
        </w:tc>
      </w:tr>
      <w:tr>
        <w:trPr>
          <w:trHeight w:val="216"/>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31 – June 27, 2020</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108"/>
        </w:trPr>
        <w:tc>
          <w:tcPr>
            <w:tcW w:w="22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80"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remaining shares that may be repurchased under the program is approximately 1.1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540" w:right="41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40" w:hanging="490"/>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26"/>
        </w:numPr>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Certificate of the Chief Executive Officer of UFP Industries, Inc., pursuant to Section 302 of the Sarbanes-</w:t>
        </w:r>
      </w:hyperlink>
      <w:hyperlink w:anchor="page37">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1100" w:right="139" w:hanging="564"/>
        <w:spacing w:after="0" w:line="277" w:lineRule="auto"/>
        <w:tabs>
          <w:tab w:leader="none" w:pos="1100" w:val="left"/>
        </w:tabs>
        <w:numPr>
          <w:ilvl w:val="1"/>
          <w:numId w:val="26"/>
        </w:numPr>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Certificate of the Chief Financial Officer of UFP Industries, Inc., pursuant to Section 302 of the Sarbanes-</w:t>
        </w:r>
      </w:hyperlink>
      <w:hyperlink w:anchor="page38">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540" w:hanging="490"/>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26"/>
        </w:numPr>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Certificate of the Chief Executive Officer of UFP Industries, Inc., pursuant to Section 906 of the Sarbanes-</w:t>
        </w:r>
      </w:hyperlink>
      <w:hyperlink w:anchor="page39">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1100" w:right="139" w:hanging="564"/>
        <w:spacing w:after="0" w:line="277" w:lineRule="auto"/>
        <w:tabs>
          <w:tab w:leader="none" w:pos="1100" w:val="left"/>
        </w:tabs>
        <w:numPr>
          <w:ilvl w:val="1"/>
          <w:numId w:val="26"/>
        </w:numPr>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Certificate of the Chief Financial Officer of UFP Industries, Inc., pursuant to Section 906 of the Sarbanes-</w:t>
        </w:r>
      </w:hyperlink>
      <w:hyperlink w:anchor="page40">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color w:val="auto"/>
        </w:rPr>
      </w:pPr>
    </w:p>
    <w:p>
      <w:pPr>
        <w:ind w:left="60"/>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1">
        <w:r>
          <w:rPr>
            <w:rFonts w:ascii="Arial" w:cs="Arial" w:eastAsia="Arial" w:hAnsi="Arial"/>
            <w:sz w:val="16"/>
            <w:szCs w:val="16"/>
            <w:u w:val="single" w:color="auto"/>
            <w:color w:val="0000EE"/>
          </w:rPr>
          <w:t>2019 Operating Results by Segment.</w:t>
        </w:r>
      </w:hyperlink>
    </w:p>
    <w:p>
      <w:pPr>
        <w:spacing w:after="0" w:line="225" w:lineRule="exact"/>
        <w:rPr>
          <w:rFonts w:ascii="Arial" w:cs="Arial" w:eastAsia="Arial" w:hAnsi="Arial"/>
          <w:sz w:val="18"/>
          <w:szCs w:val="18"/>
          <w:color w:val="auto"/>
        </w:rPr>
      </w:pPr>
    </w:p>
    <w:p>
      <w:pPr>
        <w:ind w:left="540" w:right="1859" w:hanging="490"/>
        <w:spacing w:after="0" w:line="50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Interactive Data File formatted in iXBRL (Inline eXtensible Business Reporting Language). (INS) iXBRL Instance Document.</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(SCH) iXBRL Schema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(CAL) iXBRL Taxonomy Extension Calculation Linkbase Document.</w:t>
      </w:r>
    </w:p>
    <w:p>
      <w:pPr>
        <w:spacing w:after="0" w:line="225" w:lineRule="exact"/>
        <w:rPr>
          <w:rFonts w:ascii="Arial" w:cs="Arial" w:eastAsia="Arial" w:hAnsi="Arial"/>
          <w:sz w:val="18"/>
          <w:szCs w:val="18"/>
          <w:color w:val="auto"/>
        </w:rPr>
      </w:pPr>
    </w:p>
    <w:p>
      <w:pPr>
        <w:ind w:left="540" w:right="3339"/>
        <w:spacing w:after="0" w:line="563" w:lineRule="auto"/>
        <w:rPr>
          <w:rFonts w:ascii="Arial" w:cs="Arial" w:eastAsia="Arial" w:hAnsi="Arial"/>
          <w:sz w:val="18"/>
          <w:szCs w:val="18"/>
          <w:color w:val="auto"/>
        </w:rPr>
      </w:pPr>
      <w:r>
        <w:rPr>
          <w:rFonts w:ascii="Arial" w:cs="Arial" w:eastAsia="Arial" w:hAnsi="Arial"/>
          <w:sz w:val="16"/>
          <w:szCs w:val="16"/>
          <w:color w:val="auto"/>
        </w:rPr>
        <w:t>(LAB) iXBRL Taxonomy Extension Label Linkbase Document. (PRE) iXBRL Taxonomy Extension Presentation Linkbase Document.</w:t>
      </w:r>
    </w:p>
    <w:p>
      <w:pPr>
        <w:spacing w:after="0" w:line="1" w:lineRule="exact"/>
        <w:rPr>
          <w:rFonts w:ascii="Arial" w:cs="Arial" w:eastAsia="Arial" w:hAnsi="Arial"/>
          <w:sz w:val="18"/>
          <w:szCs w:val="18"/>
          <w:color w:val="auto"/>
        </w:rPr>
      </w:pPr>
    </w:p>
    <w:p>
      <w:pPr>
        <w:ind w:left="540"/>
        <w:spacing w:after="0"/>
        <w:rPr>
          <w:sz w:val="20"/>
          <w:szCs w:val="20"/>
          <w:color w:val="auto"/>
        </w:rPr>
      </w:pPr>
      <w:r>
        <w:rPr>
          <w:rFonts w:ascii="Arial" w:cs="Arial" w:eastAsia="Arial" w:hAnsi="Arial"/>
          <w:sz w:val="18"/>
          <w:szCs w:val="18"/>
          <w:color w:val="auto"/>
        </w:rPr>
        <w:t>(DEF) iXBRL Taxonomy Extension Definition Linkbase Document.</w:t>
      </w:r>
    </w:p>
    <w:p>
      <w:pPr>
        <w:spacing w:after="0" w:line="225" w:lineRule="exact"/>
        <w:rPr>
          <w:rFonts w:ascii="Arial" w:cs="Arial" w:eastAsia="Arial" w:hAnsi="Arial"/>
          <w:sz w:val="18"/>
          <w:szCs w:val="18"/>
          <w:color w:val="auto"/>
        </w:rPr>
      </w:pPr>
    </w:p>
    <w:p>
      <w:pPr>
        <w:ind w:left="540" w:hanging="490"/>
        <w:spacing w:after="0"/>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Cover Page Interactive Data File (the cover page XBRL tags are embedded 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4420"/>
        <w:spacing w:after="0"/>
        <w:rPr>
          <w:rFonts w:ascii="Arial" w:cs="Arial" w:eastAsia="Arial" w:hAnsi="Arial"/>
          <w:sz w:val="17"/>
          <w:szCs w:val="17"/>
          <w:color w:val="auto"/>
        </w:rPr>
      </w:pPr>
      <w:r>
        <w:rPr>
          <w:rFonts w:ascii="Arial" w:cs="Arial" w:eastAsia="Arial" w:hAnsi="Arial"/>
          <w:sz w:val="18"/>
          <w:szCs w:val="18"/>
          <w:color w:val="auto"/>
        </w:rPr>
        <w:t>35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July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July 29, 2020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720"/>
            <w:col w:w="4599"/>
          </w:cols>
          <w:pgMar w:left="1440" w:top="544" w:right="1440"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July 29, 2020</w:t>
            </w:r>
          </w:p>
        </w:tc>
        <w:tc>
          <w:tcPr>
            <w:tcW w:w="444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7" w:name="page38"/>
    <w:bookmarkEnd w:id="37"/>
    <w:p>
      <w:pPr>
        <w:jc w:val="right"/>
        <w:ind w:right="59"/>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July 29, 2020</w:t>
            </w:r>
          </w:p>
        </w:tc>
        <w:tc>
          <w:tcPr>
            <w:tcW w:w="444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Matthew J. Missad, Chief Executive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27, 2020,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ind w:left="620" w:right="79" w:hanging="570"/>
        <w:spacing w:after="0" w:line="308"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June 27, 2020, fairly presents, in all material respects, the financial condition and results of operations of UFP Industries, Inc.</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July 29, 2020</w:t>
            </w:r>
          </w:p>
        </w:tc>
        <w:tc>
          <w:tcPr>
            <w:tcW w:w="444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0"/>
        </w:trPr>
        <w:tc>
          <w:tcPr>
            <w:tcW w:w="4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Michael R. Cole, Chief Financial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27, 2020,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ind w:left="620" w:right="79" w:hanging="570"/>
        <w:spacing w:after="0" w:line="308"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June 27, 2020, fairly presents, in all material respects, the financial condition and results of operations of UFP Industries, Inc.</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July 29, 2020</w:t>
            </w:r>
          </w:p>
        </w:tc>
        <w:tc>
          <w:tcPr>
            <w:tcW w:w="444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0"/>
        </w:trPr>
        <w:tc>
          <w:tcPr>
            <w:tcW w:w="4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649795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97955" cy="5143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93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168910</wp:posOffset>
            </wp:positionV>
            <wp:extent cx="2606040" cy="454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60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20" w:right="140"/>
        <w:spacing w:after="0" w:line="311" w:lineRule="auto"/>
        <w:rPr>
          <w:sz w:val="20"/>
          <w:szCs w:val="20"/>
          <w:color w:val="auto"/>
        </w:rPr>
      </w:pPr>
      <w:r>
        <w:rPr>
          <w:rFonts w:ascii="Arial" w:cs="Arial" w:eastAsia="Arial" w:hAnsi="Arial"/>
          <w:sz w:val="16"/>
          <w:szCs w:val="16"/>
          <w:color w:val="auto"/>
        </w:rPr>
        <w:t>The following tables present the operating results by segment for three months ended for March 30, June 29, September 28, and December 29, 2019. During the second quarter of 2020, management retrospectively reallocated certain inter-company charges from Corporate to their respective segments to better assess segment profitability. Prior year information in these tables has been restated to reflect these changes.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30, 2019</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24"/>
                <w:szCs w:val="2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6"/>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274,759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365,137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1,015,125</w:t>
            </w:r>
          </w:p>
        </w:tc>
        <w:tc>
          <w:tcPr>
            <w:tcW w:w="20" w:type="dxa"/>
            <w:vAlign w:val="bottom"/>
          </w:tcPr>
          <w:p>
            <w:pPr>
              <w:spacing w:after="0"/>
              <w:rPr>
                <w:sz w:val="18"/>
                <w:szCs w:val="18"/>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296,547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231,752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304,740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(3,859)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860,858</w:t>
            </w:r>
          </w:p>
        </w:tc>
        <w:tc>
          <w:tcPr>
            <w:tcW w:w="20" w:type="dxa"/>
            <w:vAlign w:val="bottom"/>
          </w:tcPr>
          <w:p>
            <w:pPr>
              <w:spacing w:after="0"/>
              <w:rPr>
                <w:sz w:val="19"/>
                <w:szCs w:val="19"/>
                <w:color w:val="auto"/>
              </w:rPr>
            </w:pPr>
          </w:p>
        </w:tc>
      </w:tr>
      <w:tr>
        <w:trPr>
          <w:trHeight w:val="216"/>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154,267</w:t>
            </w:r>
          </w:p>
        </w:tc>
        <w:tc>
          <w:tcPr>
            <w:tcW w:w="20" w:type="dxa"/>
            <w:vAlign w:val="bottom"/>
          </w:tcPr>
          <w:p>
            <w:pPr>
              <w:spacing w:after="0"/>
              <w:rPr>
                <w:sz w:val="18"/>
                <w:szCs w:val="18"/>
                <w:color w:val="auto"/>
              </w:rPr>
            </w:pPr>
          </w:p>
        </w:tc>
      </w:tr>
      <w:tr>
        <w:trPr>
          <w:trHeight w:val="202"/>
        </w:trPr>
        <w:tc>
          <w:tcPr>
            <w:tcW w:w="232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25,639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45,685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105,317</w:t>
            </w:r>
          </w:p>
        </w:tc>
        <w:tc>
          <w:tcPr>
            <w:tcW w:w="20" w:type="dxa"/>
            <w:vAlign w:val="bottom"/>
          </w:tcPr>
          <w:p>
            <w:pPr>
              <w:spacing w:after="0"/>
              <w:rPr>
                <w:sz w:val="20"/>
                <w:szCs w:val="20"/>
                <w:color w:val="auto"/>
              </w:rPr>
            </w:pPr>
          </w:p>
        </w:tc>
      </w:tr>
      <w:tr>
        <w:trPr>
          <w:trHeight w:val="23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20"/>
                <w:szCs w:val="20"/>
                <w:color w:val="auto"/>
              </w:rPr>
            </w:pPr>
          </w:p>
        </w:tc>
      </w:tr>
      <w:tr>
        <w:trPr>
          <w:trHeight w:val="210"/>
        </w:trPr>
        <w:tc>
          <w:tcPr>
            <w:tcW w:w="23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10,870</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18,731</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14,589</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2,195</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2,061</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48,446</w:t>
            </w:r>
          </w:p>
        </w:tc>
        <w:tc>
          <w:tcPr>
            <w:tcW w:w="20" w:type="dxa"/>
            <w:vAlign w:val="bottom"/>
          </w:tcPr>
          <w:p>
            <w:pPr>
              <w:spacing w:after="0"/>
              <w:rPr>
                <w:sz w:val="18"/>
                <w:szCs w:val="18"/>
                <w:color w:val="auto"/>
              </w:rPr>
            </w:pPr>
          </w:p>
        </w:tc>
      </w:tr>
      <w:tr>
        <w:trPr>
          <w:trHeight w:val="601"/>
        </w:trPr>
        <w:tc>
          <w:tcPr>
            <w:tcW w:w="2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June 29, 2019</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24"/>
                <w:szCs w:val="2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6"/>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482,090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414,825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1,239,817</w:t>
            </w:r>
          </w:p>
        </w:tc>
        <w:tc>
          <w:tcPr>
            <w:tcW w:w="20" w:type="dxa"/>
            <w:vAlign w:val="bottom"/>
          </w:tcPr>
          <w:p>
            <w:pPr>
              <w:spacing w:after="0"/>
              <w:rPr>
                <w:sz w:val="18"/>
                <w:szCs w:val="18"/>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426,834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246,276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346,725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39,890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(6,634)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1,053,091</w:t>
            </w:r>
          </w:p>
        </w:tc>
        <w:tc>
          <w:tcPr>
            <w:tcW w:w="20" w:type="dxa"/>
            <w:vAlign w:val="bottom"/>
          </w:tcPr>
          <w:p>
            <w:pPr>
              <w:spacing w:after="0"/>
              <w:rPr>
                <w:sz w:val="19"/>
                <w:szCs w:val="19"/>
                <w:color w:val="auto"/>
              </w:rPr>
            </w:pPr>
          </w:p>
        </w:tc>
      </w:tr>
      <w:tr>
        <w:trPr>
          <w:trHeight w:val="216"/>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186,726</w:t>
            </w:r>
          </w:p>
        </w:tc>
        <w:tc>
          <w:tcPr>
            <w:tcW w:w="20" w:type="dxa"/>
            <w:vAlign w:val="bottom"/>
          </w:tcPr>
          <w:p>
            <w:pPr>
              <w:spacing w:after="0"/>
              <w:rPr>
                <w:sz w:val="18"/>
                <w:szCs w:val="18"/>
                <w:color w:val="auto"/>
              </w:rPr>
            </w:pPr>
          </w:p>
        </w:tc>
      </w:tr>
      <w:tr>
        <w:trPr>
          <w:trHeight w:val="202"/>
        </w:trPr>
        <w:tc>
          <w:tcPr>
            <w:tcW w:w="232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32,950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8,966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(1,206)</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112,891</w:t>
            </w:r>
          </w:p>
        </w:tc>
        <w:tc>
          <w:tcPr>
            <w:tcW w:w="20" w:type="dxa"/>
            <w:vAlign w:val="bottom"/>
          </w:tcPr>
          <w:p>
            <w:pPr>
              <w:spacing w:after="0"/>
              <w:rPr>
                <w:sz w:val="20"/>
                <w:szCs w:val="20"/>
                <w:color w:val="auto"/>
              </w:rPr>
            </w:pPr>
          </w:p>
        </w:tc>
      </w:tr>
      <w:tr>
        <w:trPr>
          <w:trHeight w:val="23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20"/>
                <w:szCs w:val="20"/>
                <w:color w:val="auto"/>
              </w:rPr>
            </w:pPr>
          </w:p>
        </w:tc>
      </w:tr>
      <w:tr>
        <w:trPr>
          <w:trHeight w:val="210"/>
        </w:trPr>
        <w:tc>
          <w:tcPr>
            <w:tcW w:w="23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22,430</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20,709</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20,268</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3,735</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7,095</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74,237</w:t>
            </w:r>
          </w:p>
        </w:tc>
        <w:tc>
          <w:tcPr>
            <w:tcW w:w="20" w:type="dxa"/>
            <w:vAlign w:val="bottom"/>
          </w:tcPr>
          <w:p>
            <w:pPr>
              <w:spacing w:after="0"/>
              <w:rPr>
                <w:sz w:val="18"/>
                <w:szCs w:val="18"/>
                <w:color w:val="auto"/>
              </w:rPr>
            </w:pPr>
          </w:p>
        </w:tc>
      </w:tr>
      <w:tr>
        <w:trPr>
          <w:trHeight w:val="601"/>
        </w:trPr>
        <w:tc>
          <w:tcPr>
            <w:tcW w:w="2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5"/>
              </w:rPr>
              <w:t>Three Months Ended September 28, 2019</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24"/>
                <w:szCs w:val="2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6"/>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397,140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445,505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1,163,026</w:t>
            </w:r>
          </w:p>
        </w:tc>
        <w:tc>
          <w:tcPr>
            <w:tcW w:w="20" w:type="dxa"/>
            <w:vAlign w:val="bottom"/>
          </w:tcPr>
          <w:p>
            <w:pPr>
              <w:spacing w:after="0"/>
              <w:rPr>
                <w:sz w:val="18"/>
                <w:szCs w:val="18"/>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353,291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224,363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373,181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35,532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(10,611)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975,756</w:t>
            </w:r>
          </w:p>
        </w:tc>
        <w:tc>
          <w:tcPr>
            <w:tcW w:w="20" w:type="dxa"/>
            <w:vAlign w:val="bottom"/>
          </w:tcPr>
          <w:p>
            <w:pPr>
              <w:spacing w:after="0"/>
              <w:rPr>
                <w:sz w:val="19"/>
                <w:szCs w:val="19"/>
                <w:color w:val="auto"/>
              </w:rPr>
            </w:pPr>
          </w:p>
        </w:tc>
      </w:tr>
      <w:tr>
        <w:trPr>
          <w:trHeight w:val="216"/>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187,270</w:t>
            </w:r>
          </w:p>
        </w:tc>
        <w:tc>
          <w:tcPr>
            <w:tcW w:w="20" w:type="dxa"/>
            <w:vAlign w:val="bottom"/>
          </w:tcPr>
          <w:p>
            <w:pPr>
              <w:spacing w:after="0"/>
              <w:rPr>
                <w:sz w:val="18"/>
                <w:szCs w:val="18"/>
                <w:color w:val="auto"/>
              </w:rPr>
            </w:pPr>
          </w:p>
        </w:tc>
      </w:tr>
      <w:tr>
        <w:trPr>
          <w:trHeight w:val="202"/>
        </w:trPr>
        <w:tc>
          <w:tcPr>
            <w:tcW w:w="232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29,534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49,897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9,359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115,958</w:t>
            </w:r>
          </w:p>
        </w:tc>
        <w:tc>
          <w:tcPr>
            <w:tcW w:w="20" w:type="dxa"/>
            <w:vAlign w:val="bottom"/>
          </w:tcPr>
          <w:p>
            <w:pPr>
              <w:spacing w:after="0"/>
              <w:rPr>
                <w:sz w:val="20"/>
                <w:szCs w:val="20"/>
                <w:color w:val="auto"/>
              </w:rPr>
            </w:pPr>
          </w:p>
        </w:tc>
      </w:tr>
      <w:tr>
        <w:trPr>
          <w:trHeight w:val="23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20"/>
                <w:szCs w:val="20"/>
                <w:color w:val="auto"/>
              </w:rPr>
            </w:pPr>
          </w:p>
        </w:tc>
      </w:tr>
      <w:tr>
        <w:trPr>
          <w:trHeight w:val="210"/>
        </w:trPr>
        <w:tc>
          <w:tcPr>
            <w:tcW w:w="23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14,297</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20,768</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21,406</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3,561</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10,435</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70,467</w:t>
            </w:r>
          </w:p>
        </w:tc>
        <w:tc>
          <w:tcPr>
            <w:tcW w:w="20" w:type="dxa"/>
            <w:vAlign w:val="bottom"/>
          </w:tcPr>
          <w:p>
            <w:pPr>
              <w:spacing w:after="0"/>
              <w:rPr>
                <w:sz w:val="18"/>
                <w:szCs w:val="18"/>
                <w:color w:val="auto"/>
              </w:rPr>
            </w:pPr>
          </w:p>
        </w:tc>
      </w:tr>
      <w:tr>
        <w:trPr>
          <w:trHeight w:val="601"/>
        </w:trPr>
        <w:tc>
          <w:tcPr>
            <w:tcW w:w="2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9"/>
              </w:rPr>
              <w:t>Three Months Ended December 28, 2019</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24"/>
                <w:szCs w:val="2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6"/>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286,380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411,689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998,041</w:t>
            </w:r>
          </w:p>
        </w:tc>
        <w:tc>
          <w:tcPr>
            <w:tcW w:w="20" w:type="dxa"/>
            <w:vAlign w:val="bottom"/>
          </w:tcPr>
          <w:p>
            <w:pPr>
              <w:spacing w:after="0"/>
              <w:rPr>
                <w:sz w:val="18"/>
                <w:szCs w:val="18"/>
                <w:color w:val="auto"/>
              </w:rPr>
            </w:pPr>
          </w:p>
        </w:tc>
      </w:tr>
      <w:tr>
        <w:trPr>
          <w:trHeight w:val="223"/>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247,667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203,634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340,748</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34,816</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840,786</w:t>
            </w:r>
          </w:p>
        </w:tc>
        <w:tc>
          <w:tcPr>
            <w:tcW w:w="20" w:type="dxa"/>
            <w:vAlign w:val="bottom"/>
          </w:tcPr>
          <w:p>
            <w:pPr>
              <w:spacing w:after="0"/>
              <w:rPr>
                <w:sz w:val="19"/>
                <w:szCs w:val="19"/>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157,255</w:t>
            </w:r>
          </w:p>
        </w:tc>
        <w:tc>
          <w:tcPr>
            <w:tcW w:w="20" w:type="dxa"/>
            <w:vAlign w:val="bottom"/>
          </w:tcPr>
          <w:p>
            <w:pPr>
              <w:spacing w:after="0"/>
              <w:rPr>
                <w:sz w:val="18"/>
                <w:szCs w:val="18"/>
                <w:color w:val="auto"/>
              </w:rPr>
            </w:pPr>
          </w:p>
        </w:tc>
      </w:tr>
      <w:tr>
        <w:trPr>
          <w:trHeight w:val="202"/>
        </w:trPr>
        <w:tc>
          <w:tcPr>
            <w:tcW w:w="232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27,697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47,407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104,154</w:t>
            </w:r>
          </w:p>
        </w:tc>
        <w:tc>
          <w:tcPr>
            <w:tcW w:w="20" w:type="dxa"/>
            <w:vAlign w:val="bottom"/>
          </w:tcPr>
          <w:p>
            <w:pPr>
              <w:spacing w:after="0"/>
              <w:rPr>
                <w:sz w:val="20"/>
                <w:szCs w:val="20"/>
                <w:color w:val="auto"/>
              </w:rPr>
            </w:pPr>
          </w:p>
        </w:tc>
      </w:tr>
      <w:tr>
        <w:trPr>
          <w:trHeight w:val="23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 w:type="dxa"/>
            <w:vAlign w:val="bottom"/>
          </w:tcPr>
          <w:p>
            <w:pPr>
              <w:spacing w:after="0"/>
              <w:rPr>
                <w:sz w:val="20"/>
                <w:szCs w:val="20"/>
                <w:color w:val="auto"/>
              </w:rPr>
            </w:pPr>
          </w:p>
        </w:tc>
      </w:tr>
      <w:tr>
        <w:trPr>
          <w:trHeight w:val="210"/>
        </w:trPr>
        <w:tc>
          <w:tcPr>
            <w:tcW w:w="23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10,696</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20,458</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23,481</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9,593</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(12,472)</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51,756</w:t>
            </w:r>
          </w:p>
        </w:tc>
        <w:tc>
          <w:tcPr>
            <w:tcW w:w="20" w:type="dxa"/>
            <w:vAlign w:val="bottom"/>
          </w:tcPr>
          <w:p>
            <w:pPr>
              <w:spacing w:after="0"/>
              <w:rPr>
                <w:sz w:val="18"/>
                <w:szCs w:val="18"/>
                <w:color w:val="auto"/>
              </w:rPr>
            </w:pPr>
          </w:p>
        </w:tc>
      </w:tr>
      <w:tr>
        <w:trPr>
          <w:trHeight w:val="776"/>
        </w:trPr>
        <w:tc>
          <w:tcPr>
            <w:tcW w:w="2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1" w:right="839" w:bottom="1440" w:gutter="0" w:footer="0" w:header="0"/>
        </w:sectPr>
      </w:pPr>
    </w:p>
    <w:bookmarkStart w:id="41" w:name="page42"/>
    <w:bookmarkEnd w:id="41"/>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2</w:t>
      </w:r>
    </w:p>
    <w:p>
      <w:pPr>
        <w:spacing w:after="0" w:line="200" w:lineRule="exact"/>
        <w:rPr>
          <w:sz w:val="20"/>
          <w:szCs w:val="20"/>
          <w:color w:val="auto"/>
        </w:rPr>
      </w:pPr>
    </w:p>
    <w:p>
      <w:pPr>
        <w:spacing w:after="0" w:line="227" w:lineRule="exact"/>
        <w:rPr>
          <w:sz w:val="20"/>
          <w:szCs w:val="20"/>
          <w:color w:val="auto"/>
        </w:rPr>
      </w:pPr>
    </w:p>
    <w:p>
      <w:pPr>
        <w:ind w:left="20" w:right="240"/>
        <w:spacing w:after="0" w:line="263" w:lineRule="auto"/>
        <w:rPr>
          <w:sz w:val="20"/>
          <w:szCs w:val="20"/>
          <w:color w:val="auto"/>
        </w:rPr>
      </w:pPr>
      <w:r>
        <w:rPr>
          <w:rFonts w:ascii="Arial" w:cs="Arial" w:eastAsia="Arial" w:hAnsi="Arial"/>
          <w:sz w:val="18"/>
          <w:szCs w:val="18"/>
          <w:color w:val="auto"/>
        </w:rPr>
        <w:t>The following table presents total assets by segment as of March 30, June 29, September 28, and December 29, 2019. During the second quarter of 2020, certain assets were reclassified to a different segment. Prior year information in this table has been restated to reflect these changes.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2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80"/>
              <w:spacing w:after="0" w:line="153" w:lineRule="exact"/>
              <w:rPr>
                <w:sz w:val="20"/>
                <w:szCs w:val="20"/>
                <w:color w:val="auto"/>
              </w:rPr>
            </w:pPr>
            <w:r>
              <w:rPr>
                <w:rFonts w:ascii="Arial" w:cs="Arial" w:eastAsia="Arial" w:hAnsi="Arial"/>
                <w:sz w:val="14"/>
                <w:szCs w:val="14"/>
                <w:b w:val="1"/>
                <w:bCs w:val="1"/>
                <w:color w:val="auto"/>
              </w:rPr>
              <w:t>March 30,</w:t>
            </w:r>
          </w:p>
        </w:tc>
        <w:tc>
          <w:tcPr>
            <w:tcW w:w="3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20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28,</w:t>
            </w: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255"/>
              <w:spacing w:after="0" w:line="153" w:lineRule="exact"/>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13"/>
                <w:szCs w:val="13"/>
                <w:color w:val="auto"/>
              </w:rPr>
            </w:pPr>
          </w:p>
        </w:tc>
      </w:tr>
      <w:tr>
        <w:trPr>
          <w:trHeight w:val="171"/>
        </w:trPr>
        <w:tc>
          <w:tcPr>
            <w:tcW w:w="332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 Classification</w:t>
            </w:r>
          </w:p>
        </w:tc>
        <w:tc>
          <w:tcPr>
            <w:tcW w:w="280" w:type="dxa"/>
            <w:vAlign w:val="bottom"/>
          </w:tcPr>
          <w:p>
            <w:pPr>
              <w:spacing w:after="0"/>
              <w:rPr>
                <w:sz w:val="14"/>
                <w:szCs w:val="14"/>
                <w:color w:val="auto"/>
              </w:rPr>
            </w:pPr>
          </w:p>
        </w:tc>
        <w:tc>
          <w:tcPr>
            <w:tcW w:w="1260" w:type="dxa"/>
            <w:vAlign w:val="bottom"/>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126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2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34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130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332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Retail</w:t>
            </w:r>
          </w:p>
        </w:tc>
        <w:tc>
          <w:tcPr>
            <w:tcW w:w="28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523,266</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514,674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462,058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402,221</w:t>
            </w:r>
          </w:p>
        </w:tc>
        <w:tc>
          <w:tcPr>
            <w:tcW w:w="20" w:type="dxa"/>
            <w:vAlign w:val="bottom"/>
          </w:tcPr>
          <w:p>
            <w:pPr>
              <w:spacing w:after="0"/>
              <w:rPr>
                <w:sz w:val="17"/>
                <w:szCs w:val="17"/>
                <w:color w:val="auto"/>
              </w:rPr>
            </w:pPr>
          </w:p>
        </w:tc>
      </w:tr>
      <w:tr>
        <w:trPr>
          <w:trHeight w:val="216"/>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369,464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371,976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368,239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377,329</w:t>
            </w:r>
          </w:p>
        </w:tc>
        <w:tc>
          <w:tcPr>
            <w:tcW w:w="20" w:type="dxa"/>
            <w:vAlign w:val="bottom"/>
          </w:tcPr>
          <w:p>
            <w:pPr>
              <w:spacing w:after="0"/>
              <w:rPr>
                <w:sz w:val="18"/>
                <w:szCs w:val="18"/>
                <w:color w:val="auto"/>
              </w:rPr>
            </w:pPr>
          </w:p>
        </w:tc>
      </w:tr>
      <w:tr>
        <w:trPr>
          <w:trHeight w:val="216"/>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521,105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522,638</w:t>
            </w:r>
          </w:p>
        </w:tc>
        <w:tc>
          <w:tcPr>
            <w:tcW w:w="20" w:type="dxa"/>
            <w:vAlign w:val="bottom"/>
          </w:tcPr>
          <w:p>
            <w:pPr>
              <w:spacing w:after="0"/>
              <w:rPr>
                <w:sz w:val="18"/>
                <w:szCs w:val="18"/>
                <w:color w:val="auto"/>
              </w:rPr>
            </w:pPr>
          </w:p>
        </w:tc>
      </w:tr>
      <w:tr>
        <w:trPr>
          <w:trHeight w:val="216"/>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All Other</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130,691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126,683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136,990</w:t>
            </w:r>
          </w:p>
        </w:tc>
        <w:tc>
          <w:tcPr>
            <w:tcW w:w="20" w:type="dxa"/>
            <w:vAlign w:val="bottom"/>
          </w:tcPr>
          <w:p>
            <w:pPr>
              <w:spacing w:after="0"/>
              <w:rPr>
                <w:sz w:val="18"/>
                <w:szCs w:val="18"/>
                <w:color w:val="auto"/>
              </w:rPr>
            </w:pPr>
          </w:p>
        </w:tc>
      </w:tr>
      <w:tr>
        <w:trPr>
          <w:trHeight w:val="236"/>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276,872</w:t>
            </w:r>
          </w:p>
        </w:tc>
        <w:tc>
          <w:tcPr>
            <w:tcW w:w="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303,050</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347,856</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450,299</w:t>
            </w:r>
          </w:p>
        </w:tc>
        <w:tc>
          <w:tcPr>
            <w:tcW w:w="20" w:type="dxa"/>
            <w:vAlign w:val="bottom"/>
          </w:tcPr>
          <w:p>
            <w:pPr>
              <w:spacing w:after="0"/>
              <w:rPr>
                <w:sz w:val="20"/>
                <w:szCs w:val="20"/>
                <w:color w:val="auto"/>
              </w:rPr>
            </w:pPr>
          </w:p>
        </w:tc>
      </w:tr>
      <w:tr>
        <w:trPr>
          <w:trHeight w:val="203"/>
        </w:trPr>
        <w:tc>
          <w:tcPr>
            <w:tcW w:w="332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1,821,398</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1,850,659</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1,880,625</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1,889,477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4"/>
        </w:trPr>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40"/>
      </w:cols>
      <w:pgMar w:left="820" w:top="513"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upperLetter"/>
      <w:start w:val="1"/>
    </w:lvl>
  </w:abstractNum>
  <w:abstractNum w:abstractNumId="3">
    <w:nsid w:val="431BD7B7"/>
    <w:multiLevelType w:val="hybridMultilevel"/>
    <w:lvl w:ilvl="0">
      <w:lvlJc w:val="left"/>
      <w:lvlText w:val="%1."/>
      <w:numFmt w:val="upperLetter"/>
      <w:start w:val="2"/>
    </w:lvl>
  </w:abstractNum>
  <w:abstractNum w:abstractNumId="4">
    <w:nsid w:val="3F2DBA31"/>
    <w:multiLevelType w:val="hybridMultilevel"/>
    <w:lvl w:ilvl="0">
      <w:lvlJc w:val="left"/>
      <w:lvlText w:val="%1."/>
      <w:numFmt w:val="upperLetter"/>
      <w:start w:val="3"/>
    </w:lvl>
  </w:abstractNum>
  <w:abstractNum w:abstractNumId="5">
    <w:nsid w:val="7C83E458"/>
    <w:multiLevelType w:val="hybridMultilevel"/>
    <w:lvl w:ilvl="0">
      <w:lvlJc w:val="left"/>
      <w:lvlText w:val="%1."/>
      <w:numFmt w:val="upperLetter"/>
      <w:start w:val="4"/>
    </w:lvl>
  </w:abstractNum>
  <w:abstractNum w:abstractNumId="6">
    <w:nsid w:val="257130A3"/>
    <w:multiLevelType w:val="hybridMultilevel"/>
    <w:lvl w:ilvl="0">
      <w:lvlJc w:val="left"/>
      <w:lvlText w:val="%1."/>
      <w:numFmt w:val="upperLetter"/>
      <w:start w:val="5"/>
    </w:lvl>
  </w:abstractNum>
  <w:abstractNum w:abstractNumId="7">
    <w:nsid w:val="62BBD95A"/>
    <w:multiLevelType w:val="hybridMultilevel"/>
    <w:lvl w:ilvl="0">
      <w:lvlJc w:val="left"/>
      <w:lvlText w:val="%1."/>
      <w:numFmt w:val="upperLetter"/>
      <w:start w:val="6"/>
    </w:lvl>
  </w:abstractNum>
  <w:abstractNum w:abstractNumId="8">
    <w:nsid w:val="436C6125"/>
    <w:multiLevelType w:val="hybridMultilevel"/>
    <w:lvl w:ilvl="0">
      <w:lvlJc w:val="left"/>
      <w:lvlText w:val="%1."/>
      <w:numFmt w:val="upperLetter"/>
      <w:start w:val="7"/>
    </w:lvl>
  </w:abstractNum>
  <w:abstractNum w:abstractNumId="9">
    <w:nsid w:val="628C895D"/>
    <w:multiLevelType w:val="hybridMultilevel"/>
    <w:lvl w:ilvl="0">
      <w:lvlJc w:val="left"/>
      <w:lvlText w:val="%1."/>
      <w:numFmt w:val="upperLetter"/>
      <w:start w:val="8"/>
    </w:lvl>
  </w:abstractNum>
  <w:abstractNum w:abstractNumId="10">
    <w:nsid w:val="333AB105"/>
    <w:multiLevelType w:val="hybridMultilevel"/>
    <w:lvl w:ilvl="0">
      <w:lvlJc w:val="left"/>
      <w:lvlText w:val="%1."/>
      <w:numFmt w:val="upperLetter"/>
      <w:start w:val="9"/>
    </w:lvl>
  </w:abstractNum>
  <w:abstractNum w:abstractNumId="11">
    <w:nsid w:val="721DA317"/>
    <w:multiLevelType w:val="hybridMultilevel"/>
    <w:lvl w:ilvl="0">
      <w:lvlJc w:val="left"/>
      <w:lvlText w:val="%1."/>
      <w:numFmt w:val="upperLetter"/>
      <w:start w:val="10"/>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lvl w:ilvl="1">
      <w:lvlJc w:val="left"/>
      <w:lvlText w:val="-"/>
      <w:numFmt w:val="bullet"/>
      <w:start w:val="1"/>
    </w:lvl>
  </w:abstractNum>
  <w:abstractNum w:abstractNumId="21">
    <w:nsid w:val="54E49EB4"/>
    <w:multiLevelType w:val="hybridMultilevel"/>
    <w:lvl w:ilvl="0">
      <w:lvlJc w:val="left"/>
      <w:lvlText w:val="●"/>
      <w:numFmt w:val="bullet"/>
      <w:start w:val="1"/>
    </w:lvl>
    <w:lvl w:ilvl="1">
      <w:lvlJc w:val="left"/>
      <w:lvlText w:val="-"/>
      <w:numFmt w:val="bullet"/>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31"/>
    </w:lvl>
    <w:lvl w:ilvl="1">
      <w:lvlJc w:val="left"/>
      <w:lvlText w:val="(%2)"/>
      <w:numFmt w:val="lowerLetter"/>
      <w:start w:val="1"/>
    </w:lvl>
  </w:abstractNum>
  <w:abstractNum w:abstractNumId="26">
    <w:nsid w:val="3A95F874"/>
    <w:multiLevelType w:val="hybridMultilevel"/>
    <w:lvl w:ilvl="0">
      <w:lvlJc w:val="left"/>
      <w:lvlText w:val="%1"/>
      <w:numFmt w:val="decimal"/>
      <w:start w:val="101"/>
    </w:lvl>
  </w:abstractNum>
  <w:abstractNum w:abstractNumId="27">
    <w:nsid w:val="8138641"/>
    <w:multiLevelType w:val="hybridMultilevel"/>
    <w:lvl w:ilvl="0">
      <w:lvlJc w:val="left"/>
      <w:lvlText w:val="%1"/>
      <w:numFmt w:val="decimal"/>
      <w:start w:val="10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2020-07-30T05:23:46Z</dcterms:created>
  <dcterms:modified xsi:type="dcterms:W3CDTF">2020-07-30T05:23:46Z</dcterms:modified>
</cp:coreProperties>
</file>