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COLE MICHAEL R</w:t>
              </w:r>
            </w:hyperlink>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500"/>
              <w:spacing w:after="0" w:line="195" w:lineRule="exact"/>
              <w:rPr>
                <w:sz w:val="20"/>
                <w:szCs w:val="20"/>
                <w:color w:val="auto"/>
              </w:rPr>
            </w:pPr>
            <w:r>
              <w:rPr>
                <w:rFonts w:ascii="Arial" w:cs="Arial" w:eastAsia="Arial" w:hAnsi="Arial"/>
                <w:sz w:val="18"/>
                <w:szCs w:val="18"/>
                <w:color w:val="0000FF"/>
                <w:w w:val="99"/>
              </w:rPr>
              <w:t>Chief Financial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12/28/2019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3"/>
          </w:tcPr>
          <w:p>
            <w:pPr>
              <w:jc w:val="center"/>
              <w:ind w:right="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0000FF"/>
                <w:w w:val="87"/>
              </w:rPr>
              <w:t>99,372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12/28/2019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54"/>
              <w:spacing w:after="0"/>
              <w:rPr>
                <w:sz w:val="20"/>
                <w:szCs w:val="20"/>
                <w:color w:val="auto"/>
              </w:rPr>
            </w:pPr>
            <w:r>
              <w:rPr>
                <w:rFonts w:ascii="Arial" w:cs="Arial" w:eastAsia="Arial" w:hAnsi="Arial"/>
                <w:sz w:val="18"/>
                <w:szCs w:val="18"/>
                <w:color w:val="0000FF"/>
              </w:rPr>
              <w:t>172</w:t>
            </w:r>
          </w:p>
        </w:tc>
        <w:tc>
          <w:tcPr>
            <w:tcW w:w="540" w:type="dxa"/>
            <w:vAlign w:val="bottom"/>
          </w:tcPr>
          <w:p>
            <w:pPr>
              <w:ind w:left="18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0000FF"/>
                <w:w w:val="87"/>
              </w:rPr>
              <w:t>28,455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4"/>
              <w:spacing w:after="0"/>
              <w:rPr>
                <w:sz w:val="20"/>
                <w:szCs w:val="20"/>
                <w:color w:val="auto"/>
              </w:rPr>
            </w:pPr>
            <w:r>
              <w:rPr>
                <w:rFonts w:ascii="Arial" w:cs="Arial" w:eastAsia="Arial" w:hAnsi="Arial"/>
                <w:sz w:val="18"/>
                <w:szCs w:val="18"/>
                <w:color w:val="0000FF"/>
              </w:rPr>
              <w:t>208</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48.19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8"/>
                <w:szCs w:val="18"/>
                <w:color w:val="0000FF"/>
                <w:w w:val="87"/>
              </w:rPr>
              <w:t>21,959</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264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264</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28,115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33</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33</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3,507</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-7009765</wp:posOffset>
            </wp:positionV>
            <wp:extent cx="7297420" cy="706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0662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Compensation Plan and are payable in shares of the Company's common stock until the reporting person's death, disability or retirement.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01/30/2020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0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14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7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2020-01-31T13:11:32Z</dcterms:created>
  <dcterms:modified xsi:type="dcterms:W3CDTF">2020-01-31T13:11:32Z</dcterms:modified>
</cp:coreProperties>
</file>