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87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14,840</w:t>
            </w:r>
          </w:p>
        </w:tc>
        <w:tc>
          <w:tcPr>
            <w:tcW w:w="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1,632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(5)(6)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00" w:type="dxa"/>
            <w:vAlign w:val="bottom"/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115.32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74 shares credited to account based on dividends paid on December 16, 2024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36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2025-02-05T14:59:46Z</dcterms:created>
  <dcterms:modified xsi:type="dcterms:W3CDTF">2025-02-05T14:59:46Z</dcterms:modified>
</cp:coreProperties>
</file>