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BELTINE N 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jc w:val="center"/>
              <w:ind w:left="65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311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35.11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22,139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35.12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21,639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35.13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21,539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35.14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21,139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35.15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20,839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35.16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20,639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35.17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20,439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35.18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20,339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35.19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20,239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189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35.2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20,050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35.21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19,950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35.4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19,650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35.41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19,450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35.42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19,250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35.43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19,140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35.44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18,640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35.46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18,140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35.47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17,940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35.48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17,840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35.55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17,750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35.56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17,550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35.73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17,450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2,014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8,365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44,830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124,893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0" w:type="dxa"/>
            <w:vAlign w:val="bottom"/>
            <w:gridSpan w:val="15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960" w:type="dxa"/>
            <w:vAlign w:val="bottom"/>
            <w:gridSpan w:val="12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 iv</w:t>
            </w:r>
          </w:p>
        </w:tc>
        <w:tc>
          <w:tcPr>
            <w:tcW w:w="32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tive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ind w:left="4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highlight w:val="white"/>
              </w:rPr>
              <w:t>/s/ Christina A. Holderman, as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 w:line="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90"/>
              </w:rPr>
              <w:t>Attorney in Fact for William G. 12/08/2010</w:t>
            </w: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Currie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39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3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7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2019-12-16T09:20:03Z</dcterms:created>
  <dcterms:modified xsi:type="dcterms:W3CDTF">2019-12-16T09:20:03Z</dcterms:modified>
</cp:coreProperties>
</file>