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661225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99" w:lineRule="exact"/>
        <w:rPr>
          <w:sz w:val="24"/>
          <w:szCs w:val="24"/>
          <w:color w:val="auto"/>
        </w:rPr>
      </w:pPr>
    </w:p>
    <w:p>
      <w:pPr>
        <w:ind w:left="3660" w:right="1440" w:hanging="3649"/>
        <w:spacing w:after="0" w:line="501" w:lineRule="auto"/>
        <w:tabs>
          <w:tab w:leader="none" w:pos="31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July 1, 2017</w:t>
      </w:r>
    </w:p>
    <w:p>
      <w:pPr>
        <w:ind w:left="50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39" w:lineRule="exact"/>
        <w:rPr>
          <w:sz w:val="24"/>
          <w:szCs w:val="24"/>
          <w:color w:val="auto"/>
        </w:rPr>
      </w:pPr>
    </w:p>
    <w:p>
      <w:pPr>
        <w:ind w:left="3960" w:right="1420" w:hanging="3949"/>
        <w:spacing w:after="0" w:line="311" w:lineRule="exact"/>
        <w:tabs>
          <w:tab w:leader="none" w:pos="3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22684</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320" w:type="dxa"/>
            <w:vAlign w:val="bottom"/>
            <w:gridSpan w:val="4"/>
          </w:tcPr>
          <w:p>
            <w:pPr>
              <w:jc w:val="center"/>
              <w:ind w:right="1180"/>
              <w:spacing w:after="0"/>
              <w:rPr>
                <w:sz w:val="20"/>
                <w:szCs w:val="20"/>
                <w:color w:val="auto"/>
              </w:rPr>
            </w:pPr>
            <w:r>
              <w:rPr>
                <w:rFonts w:ascii="Arial" w:cs="Arial" w:eastAsia="Arial" w:hAnsi="Arial"/>
                <w:sz w:val="18"/>
                <w:szCs w:val="18"/>
                <w:color w:val="auto"/>
                <w:w w:val="97"/>
              </w:rPr>
              <w:t>Michigan</w:t>
            </w:r>
          </w:p>
        </w:tc>
        <w:tc>
          <w:tcPr>
            <w:tcW w:w="4060" w:type="dxa"/>
            <w:vAlign w:val="bottom"/>
          </w:tcPr>
          <w:p>
            <w:pPr>
              <w:jc w:val="center"/>
              <w:ind w:right="50"/>
              <w:spacing w:after="0" w:line="207" w:lineRule="exact"/>
              <w:rPr>
                <w:sz w:val="20"/>
                <w:szCs w:val="20"/>
                <w:color w:val="auto"/>
              </w:rPr>
            </w:pPr>
            <w:r>
              <w:rPr>
                <w:rFonts w:ascii="Arial" w:cs="Arial" w:eastAsia="Arial" w:hAnsi="Arial"/>
                <w:sz w:val="18"/>
                <w:szCs w:val="18"/>
                <w:color w:val="auto"/>
                <w:w w:val="91"/>
              </w:rPr>
              <w:t>38</w:t>
            </w:r>
            <w:r>
              <w:rPr>
                <w:rFonts w:ascii="MS PGothic" w:cs="MS PGothic" w:eastAsia="MS PGothic" w:hAnsi="MS PGothic"/>
                <w:sz w:val="18"/>
                <w:szCs w:val="18"/>
                <w:color w:val="auto"/>
                <w:w w:val="91"/>
              </w:rPr>
              <w:t>‑</w:t>
            </w:r>
            <w:r>
              <w:rPr>
                <w:rFonts w:ascii="Arial" w:cs="Arial" w:eastAsia="Arial" w:hAnsi="Arial"/>
                <w:sz w:val="18"/>
                <w:szCs w:val="18"/>
                <w:color w:val="auto"/>
                <w:w w:val="91"/>
              </w:rPr>
              <w:t>1465835</w:t>
            </w:r>
          </w:p>
        </w:tc>
      </w:tr>
      <w:tr>
        <w:trPr>
          <w:trHeight w:val="202"/>
        </w:trPr>
        <w:tc>
          <w:tcPr>
            <w:tcW w:w="41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6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180"/>
              <w:spacing w:after="0"/>
              <w:rPr>
                <w:sz w:val="20"/>
                <w:szCs w:val="20"/>
                <w:color w:val="auto"/>
              </w:rPr>
            </w:pPr>
            <w:r>
              <w:rPr>
                <w:rFonts w:ascii="Arial" w:cs="Arial" w:eastAsia="Arial" w:hAnsi="Arial"/>
                <w:sz w:val="18"/>
                <w:szCs w:val="18"/>
                <w:color w:val="auto"/>
                <w:w w:val="90"/>
              </w:rPr>
              <w:t>organization)</w:t>
            </w:r>
          </w:p>
        </w:tc>
        <w:tc>
          <w:tcPr>
            <w:tcW w:w="4060" w:type="dxa"/>
            <w:vAlign w:val="bottom"/>
          </w:tcPr>
          <w:p>
            <w:pPr>
              <w:spacing w:after="0"/>
              <w:rPr>
                <w:sz w:val="20"/>
                <w:szCs w:val="20"/>
                <w:color w:val="auto"/>
              </w:rPr>
            </w:pPr>
          </w:p>
        </w:tc>
      </w:tr>
      <w:tr>
        <w:trPr>
          <w:trHeight w:val="439"/>
        </w:trPr>
        <w:tc>
          <w:tcPr>
            <w:tcW w:w="5320" w:type="dxa"/>
            <w:vAlign w:val="bottom"/>
            <w:gridSpan w:val="4"/>
          </w:tcPr>
          <w:p>
            <w:pPr>
              <w:jc w:val="center"/>
              <w:ind w:right="1160"/>
              <w:spacing w:after="0"/>
              <w:rPr>
                <w:sz w:val="20"/>
                <w:szCs w:val="20"/>
                <w:color w:val="auto"/>
              </w:rPr>
            </w:pPr>
            <w:r>
              <w:rPr>
                <w:rFonts w:ascii="Arial" w:cs="Arial" w:eastAsia="Arial" w:hAnsi="Arial"/>
                <w:sz w:val="18"/>
                <w:szCs w:val="18"/>
                <w:color w:val="auto"/>
                <w:w w:val="92"/>
              </w:rPr>
              <w:t>2801 East Beltline NE, Grand Rapids, Michigan</w:t>
            </w:r>
          </w:p>
        </w:tc>
        <w:tc>
          <w:tcPr>
            <w:tcW w:w="406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(Zip Code)</w:t>
            </w:r>
          </w:p>
        </w:tc>
      </w:tr>
      <w:tr>
        <w:trPr>
          <w:trHeight w:val="350"/>
        </w:trPr>
        <w:tc>
          <w:tcPr>
            <w:tcW w:w="5320" w:type="dxa"/>
            <w:vAlign w:val="bottom"/>
            <w:gridSpan w:val="4"/>
          </w:tcPr>
          <w:p>
            <w:pPr>
              <w:ind w:left="460"/>
              <w:spacing w:after="0" w:line="207" w:lineRule="exact"/>
              <w:rPr>
                <w:sz w:val="20"/>
                <w:szCs w:val="20"/>
                <w:color w:val="auto"/>
              </w:rPr>
            </w:pPr>
            <w:r>
              <w:rPr>
                <w:rFonts w:ascii="Arial" w:cs="Arial" w:eastAsia="Arial" w:hAnsi="Arial"/>
                <w:sz w:val="18"/>
                <w:szCs w:val="18"/>
                <w:color w:val="auto"/>
                <w:w w:val="89"/>
              </w:rPr>
              <w:t>Registrant’s telephone number, including area code (616) 364</w:t>
            </w:r>
            <w:r>
              <w:rPr>
                <w:rFonts w:ascii="MS PGothic" w:cs="MS PGothic" w:eastAsia="MS PGothic" w:hAnsi="MS PGothic"/>
                <w:sz w:val="18"/>
                <w:szCs w:val="18"/>
                <w:color w:val="auto"/>
                <w:w w:val="89"/>
              </w:rPr>
              <w:t>‑</w:t>
            </w:r>
            <w:r>
              <w:rPr>
                <w:rFonts w:ascii="Arial" w:cs="Arial" w:eastAsia="Arial" w:hAnsi="Arial"/>
                <w:sz w:val="18"/>
                <w:szCs w:val="18"/>
                <w:color w:val="auto"/>
                <w:w w:val="89"/>
              </w:rPr>
              <w:t>6161</w:t>
            </w:r>
          </w:p>
        </w:tc>
        <w:tc>
          <w:tcPr>
            <w:tcW w:w="4060" w:type="dxa"/>
            <w:vAlign w:val="bottom"/>
          </w:tcPr>
          <w:p>
            <w:pPr>
              <w:spacing w:after="0"/>
              <w:rPr>
                <w:sz w:val="24"/>
                <w:szCs w:val="24"/>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30270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jc w:val="both"/>
        <w:ind w:left="2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spacing w:after="0" w:line="221" w:lineRule="exact"/>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ectPr>
          <w:pgSz w:w="11900" w:h="16838" w:orient="portrait"/>
          <w:cols w:equalWidth="0" w:num="1">
            <w:col w:w="10420"/>
          </w:cols>
          <w:pgMar w:left="740" w:top="233" w:right="739" w:bottom="1440" w:gutter="0" w:footer="0" w:header="0"/>
        </w:sectPr>
      </w:pPr>
    </w:p>
    <w:p>
      <w:pPr>
        <w:spacing w:after="0" w:line="75"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both"/>
        <w:ind w:right="138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34" w:lineRule="exact"/>
        <w:rPr>
          <w:sz w:val="24"/>
          <w:szCs w:val="24"/>
          <w:color w:val="auto"/>
        </w:rPr>
      </w:pPr>
    </w:p>
    <w:p>
      <w:pPr>
        <w:sectPr>
          <w:pgSz w:w="11900" w:h="16838" w:orient="portrait"/>
          <w:cols w:equalWidth="0" w:num="4">
            <w:col w:w="1960" w:space="720"/>
            <w:col w:w="1440" w:space="320"/>
            <w:col w:w="1820" w:space="520"/>
            <w:col w:w="3640"/>
          </w:cols>
          <w:pgMar w:left="740" w:top="233" w:right="739" w:bottom="1440" w:gutter="0" w:footer="0" w:header="0"/>
          <w:type w:val="continuous"/>
        </w:sectPr>
      </w:pPr>
    </w:p>
    <w:p>
      <w:pPr>
        <w:ind w:left="20" w:right="3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Indicate by checkmark whether the registrant is a shell company (as defined by Rule 12b</w:t>
      </w:r>
      <w:r>
        <w:rPr>
          <w:rFonts w:ascii="MS PGothic" w:cs="MS PGothic" w:eastAsia="MS PGothic" w:hAnsi="MS PGothic"/>
          <w:sz w:val="18"/>
          <w:szCs w:val="18"/>
          <w:color w:val="auto"/>
        </w:rPr>
        <w:t>‑</w:t>
      </w:r>
      <w:r>
        <w:rPr>
          <w:rFonts w:ascii="Arial" w:cs="Arial" w:eastAsia="Arial" w:hAnsi="Arial"/>
          <w:sz w:val="18"/>
          <w:szCs w:val="18"/>
          <w:color w:val="auto"/>
        </w:rPr>
        <w:t xml:space="preserve">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p>
        </w:tc>
        <w:tc>
          <w:tcPr>
            <w:tcW w:w="5220" w:type="dxa"/>
            <w:vAlign w:val="bottom"/>
            <w:gridSpan w:val="2"/>
          </w:tcPr>
          <w:p>
            <w:pPr>
              <w:jc w:val="center"/>
              <w:ind w:right="1080"/>
              <w:spacing w:after="0"/>
              <w:rPr>
                <w:sz w:val="20"/>
                <w:szCs w:val="20"/>
                <w:color w:val="auto"/>
              </w:rPr>
            </w:pPr>
            <w:r>
              <w:rPr>
                <w:rFonts w:ascii="Arial" w:cs="Arial" w:eastAsia="Arial" w:hAnsi="Arial"/>
                <w:sz w:val="18"/>
                <w:szCs w:val="18"/>
                <w:color w:val="auto"/>
                <w:w w:val="84"/>
              </w:rPr>
              <w:t>Class</w:t>
            </w: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Outstanding as of July 1, 2017</w:t>
            </w:r>
          </w:p>
        </w:tc>
        <w:tc>
          <w:tcPr>
            <w:tcW w:w="520" w:type="dxa"/>
            <w:vAlign w:val="bottom"/>
          </w:tcPr>
          <w:p>
            <w:pPr>
              <w:spacing w:after="0"/>
              <w:rPr>
                <w:sz w:val="20"/>
                <w:szCs w:val="20"/>
                <w:color w:val="auto"/>
              </w:rPr>
            </w:pPr>
          </w:p>
        </w:tc>
      </w:tr>
      <w:tr>
        <w:trPr>
          <w:trHeight w:val="230"/>
        </w:trPr>
        <w:tc>
          <w:tcPr>
            <w:tcW w:w="520" w:type="dxa"/>
            <w:vAlign w:val="bottom"/>
          </w:tcPr>
          <w:p>
            <w:pPr>
              <w:spacing w:after="0"/>
              <w:rPr>
                <w:sz w:val="20"/>
                <w:szCs w:val="20"/>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1040" w:type="dxa"/>
            <w:vAlign w:val="bottom"/>
          </w:tcPr>
          <w:p>
            <w:pPr>
              <w:spacing w:after="0"/>
              <w:rPr>
                <w:sz w:val="20"/>
                <w:szCs w:val="20"/>
                <w:color w:val="auto"/>
              </w:rPr>
            </w:pPr>
          </w:p>
        </w:tc>
        <w:tc>
          <w:tcPr>
            <w:tcW w:w="416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20,421,775</w:t>
            </w:r>
          </w:p>
        </w:tc>
        <w:tc>
          <w:tcPr>
            <w:tcW w:w="520" w:type="dxa"/>
            <w:vAlign w:val="bottom"/>
          </w:tcPr>
          <w:p>
            <w:pPr>
              <w:spacing w:after="0"/>
              <w:rPr>
                <w:sz w:val="20"/>
                <w:szCs w:val="20"/>
                <w:color w:val="auto"/>
              </w:rPr>
            </w:pPr>
          </w:p>
        </w:tc>
      </w:tr>
      <w:tr>
        <w:trPr>
          <w:trHeight w:val="107"/>
        </w:trPr>
        <w:tc>
          <w:tcPr>
            <w:tcW w:w="52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68"/>
        </w:trPr>
        <w:tc>
          <w:tcPr>
            <w:tcW w:w="520" w:type="dxa"/>
            <w:vAlign w:val="bottom"/>
            <w:tcBorders>
              <w:left w:val="single" w:sz="8" w:color="auto"/>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1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r>
      <w:tr>
        <w:trPr>
          <w:trHeight w:val="588"/>
        </w:trPr>
        <w:tc>
          <w:tcPr>
            <w:tcW w:w="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233" w:right="7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84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80" w:type="dxa"/>
            <w:vAlign w:val="bottom"/>
            <w:gridSpan w:val="12"/>
          </w:tcPr>
          <w:p>
            <w:pPr>
              <w:jc w:val="center"/>
              <w:ind w:right="1440"/>
              <w:spacing w:after="0"/>
              <w:rPr>
                <w:sz w:val="20"/>
                <w:szCs w:val="20"/>
                <w:color w:val="auto"/>
              </w:rPr>
            </w:pPr>
            <w:r>
              <w:rPr>
                <w:rFonts w:ascii="Arial" w:cs="Arial" w:eastAsia="Arial" w:hAnsi="Arial"/>
                <w:sz w:val="18"/>
                <w:szCs w:val="18"/>
                <w:b w:val="1"/>
                <w:bCs w:val="1"/>
                <w:color w:val="auto"/>
                <w:w w:val="99"/>
              </w:rPr>
              <w:t>UNIVERSAL FOREST PRODUCTS, INC.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gridSpan w:val="6"/>
          </w:tcPr>
          <w:p>
            <w:pPr>
              <w:spacing w:after="0"/>
              <w:rPr>
                <w:sz w:val="20"/>
                <w:szCs w:val="20"/>
                <w:color w:val="auto"/>
              </w:rPr>
            </w:pPr>
            <w:r>
              <w:rPr>
                <w:rFonts w:ascii="Arial" w:cs="Arial" w:eastAsia="Arial" w:hAnsi="Arial"/>
                <w:sz w:val="18"/>
                <w:szCs w:val="18"/>
                <w:b w:val="1"/>
                <w:bCs w:val="1"/>
                <w:color w:val="auto"/>
              </w:rPr>
              <w:t>PART I.</w:t>
            </w:r>
          </w:p>
        </w:tc>
        <w:tc>
          <w:tcPr>
            <w:tcW w:w="668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0" w:type="dxa"/>
            <w:vAlign w:val="bottom"/>
            <w:gridSpan w:val="5"/>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80" w:type="dxa"/>
            <w:vAlign w:val="bottom"/>
            <w:gridSpan w:val="14"/>
            <w:shd w:val="clear" w:color="auto" w:fill="CCEEFF"/>
          </w:tcPr>
          <w:p>
            <w:pPr>
              <w:spacing w:after="0" w:line="17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Condensed Balance Sheets at July 1, 2017, December 31, 2016 and June 25,</w:t>
              </w:r>
            </w:hyperlink>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2016</w:t>
              </w:r>
            </w:hyperlink>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72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20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700" w:type="dxa"/>
            <w:vAlign w:val="bottom"/>
            <w:tcBorders>
              <w:top w:val="single" w:sz="8" w:color="0000EE"/>
              <w:bottom w:val="single" w:sz="8" w:color="CCEEFF"/>
            </w:tcBorders>
            <w:shd w:val="clear" w:color="auto" w:fill="CCEEFF"/>
          </w:tcPr>
          <w:p>
            <w:pPr>
              <w:spacing w:after="0"/>
              <w:rPr>
                <w:sz w:val="18"/>
                <w:szCs w:val="18"/>
                <w:color w:val="auto"/>
              </w:rPr>
            </w:pPr>
          </w:p>
        </w:tc>
        <w:tc>
          <w:tcPr>
            <w:tcW w:w="960" w:type="dxa"/>
            <w:vAlign w:val="bottom"/>
            <w:tcBorders>
              <w:top w:val="single" w:sz="8" w:color="0000EE"/>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Condensed Statements of Earnings and Comprehensive Income for the</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4"/>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Months Ended and Six Months Ended July 1, 2017 and June 25, 2016</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Condensed Statements of Shareholders’ Equity for the Six Months Ended</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4"/>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July 1, 2017 and June 25, 2016</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80" w:type="dxa"/>
            <w:vAlign w:val="bottom"/>
            <w:gridSpan w:val="14"/>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Condensed Statements of Cash Flows for the Six Months Ended July 1, 2017</w:t>
              </w:r>
            </w:hyperlink>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June 25, 2016</w:t>
              </w:r>
            </w:hyperlink>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Condensed Financial Statements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Management’s Discussion and Analysis of Financial Condition and Results of Operations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3.</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4.</w:t>
            </w:r>
          </w:p>
        </w:tc>
        <w:tc>
          <w:tcPr>
            <w:tcW w:w="66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6680" w:type="dxa"/>
            <w:vAlign w:val="bottom"/>
            <w:gridSpan w:val="1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July 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25,</w:t>
            </w:r>
          </w:p>
        </w:tc>
        <w:tc>
          <w:tcPr>
            <w:tcW w:w="0" w:type="dxa"/>
            <w:vAlign w:val="bottom"/>
          </w:tcPr>
          <w:p>
            <w:pPr>
              <w:spacing w:after="0"/>
              <w:rPr>
                <w:sz w:val="1"/>
                <w:szCs w:val="1"/>
                <w:color w:val="auto"/>
              </w:rPr>
            </w:pPr>
          </w:p>
        </w:tc>
      </w:tr>
      <w:tr>
        <w:trPr>
          <w:trHeight w:val="111"/>
        </w:trPr>
        <w:tc>
          <w:tcPr>
            <w:tcW w:w="4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9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24,625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34,091</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398,529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282,253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318,505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218,356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198,954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165,857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5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220,079</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198,273</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131,939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80" w:type="dxa"/>
            <w:vAlign w:val="bottom"/>
          </w:tcPr>
          <w:p>
            <w:pPr>
              <w:ind w:left="440"/>
              <w:spacing w:after="0" w:line="136" w:lineRule="exact"/>
              <w:rPr>
                <w:sz w:val="20"/>
                <w:szCs w:val="20"/>
                <w:color w:val="auto"/>
              </w:rPr>
            </w:pPr>
            <w:r>
              <w:rPr>
                <w:rFonts w:ascii="Arial" w:cs="Arial" w:eastAsia="Arial" w:hAnsi="Arial"/>
                <w:sz w:val="14"/>
                <w:szCs w:val="14"/>
                <w:color w:val="auto"/>
              </w:rPr>
              <w:t>Total inventories</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438,435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397,227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297,796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21,970</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20,662</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15,238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894,865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756,438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729,705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7,842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8,617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213,597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198,535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37,547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735,474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699,462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649,652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5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(419,518)</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(401,611)</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(392,753)</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PROPERTY, PLANT AND EQUIPMENT, NET</w:t>
            </w:r>
          </w:p>
        </w:tc>
        <w:tc>
          <w:tcPr>
            <w:tcW w:w="5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315,956</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297,851</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256,899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1,482,039</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1,292,058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1,194,506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overdraft</w:t>
            </w: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22,769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19,761</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160,250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124,660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126,095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77,187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92,441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74,919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48,063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32,281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35,321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5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2,378</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2,634</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1,093</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80" w:type="dxa"/>
            <w:vAlign w:val="bottom"/>
          </w:tcPr>
          <w:p>
            <w:pPr>
              <w:ind w:left="440"/>
              <w:spacing w:after="0" w:line="136" w:lineRule="exact"/>
              <w:rPr>
                <w:sz w:val="20"/>
                <w:szCs w:val="20"/>
                <w:color w:val="auto"/>
              </w:rPr>
            </w:pPr>
            <w:r>
              <w:rPr>
                <w:rFonts w:ascii="Arial" w:cs="Arial" w:eastAsia="Arial" w:hAnsi="Arial"/>
                <w:sz w:val="14"/>
                <w:szCs w:val="14"/>
                <w:color w:val="auto"/>
              </w:rPr>
              <w:t>TOTAL CURRENT LIABILITIES</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311,607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271,777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239,183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204,752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20,360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20,817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25,092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28,959</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29,939</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26,066</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80" w:type="dxa"/>
            <w:vAlign w:val="bottom"/>
          </w:tcPr>
          <w:p>
            <w:pPr>
              <w:ind w:left="440"/>
              <w:spacing w:after="0" w:line="136" w:lineRule="exact"/>
              <w:rPr>
                <w:sz w:val="20"/>
                <w:szCs w:val="20"/>
                <w:color w:val="auto"/>
              </w:rPr>
            </w:pPr>
            <w:r>
              <w:rPr>
                <w:rFonts w:ascii="Arial" w:cs="Arial" w:eastAsia="Arial" w:hAnsi="Arial"/>
                <w:sz w:val="14"/>
                <w:szCs w:val="14"/>
                <w:color w:val="auto"/>
              </w:rPr>
              <w:t>TOTAL LIABILITIES</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565,678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431,592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374,871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Controlling interest shareholders’ equity:</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none</w:t>
            </w: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980" w:type="dxa"/>
            <w:vAlign w:val="bottom"/>
          </w:tcPr>
          <w:p>
            <w:pPr>
              <w:ind w:left="320"/>
              <w:spacing w:after="0" w:line="130" w:lineRule="exact"/>
              <w:rPr>
                <w:sz w:val="20"/>
                <w:szCs w:val="20"/>
                <w:color w:val="auto"/>
              </w:rPr>
            </w:pPr>
            <w:r>
              <w:rPr>
                <w:rFonts w:ascii="Arial" w:cs="Arial" w:eastAsia="Arial" w:hAnsi="Arial"/>
                <w:sz w:val="14"/>
                <w:szCs w:val="14"/>
                <w:color w:val="auto"/>
              </w:rPr>
              <w:t>Common stock, no par value; shares authorized 80,000,000; issued and</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80" w:type="dxa"/>
            <w:vAlign w:val="bottom"/>
          </w:tcPr>
          <w:p>
            <w:pPr>
              <w:ind w:left="320"/>
              <w:spacing w:after="0"/>
              <w:rPr>
                <w:sz w:val="20"/>
                <w:szCs w:val="20"/>
                <w:color w:val="auto"/>
              </w:rPr>
            </w:pPr>
            <w:r>
              <w:rPr>
                <w:rFonts w:ascii="Arial" w:cs="Arial" w:eastAsia="Arial" w:hAnsi="Arial"/>
                <w:sz w:val="14"/>
                <w:szCs w:val="14"/>
                <w:color w:val="auto"/>
              </w:rPr>
              <w:t>outstanding, 20,421,775, 20,342,069 and 20,307,463</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20,307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199,092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185,333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684,808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649,135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609,718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(5,630)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80" w:type="dxa"/>
            <w:vAlign w:val="bottom"/>
            <w:tcBorders>
              <w:top w:val="single" w:sz="8" w:color="CCEEFF"/>
            </w:tcBorders>
          </w:tcPr>
          <w:p>
            <w:pPr>
              <w:ind w:left="440"/>
              <w:spacing w:after="0" w:line="136" w:lineRule="exact"/>
              <w:rPr>
                <w:sz w:val="20"/>
                <w:szCs w:val="20"/>
                <w:color w:val="auto"/>
              </w:rPr>
            </w:pPr>
            <w:r>
              <w:rPr>
                <w:rFonts w:ascii="Arial" w:cs="Arial" w:eastAsia="Arial" w:hAnsi="Arial"/>
                <w:sz w:val="14"/>
                <w:szCs w:val="14"/>
                <w:color w:val="auto"/>
              </w:rPr>
              <w:t>Total controlling interest shareholders’ equity</w:t>
            </w:r>
          </w:p>
        </w:tc>
        <w:tc>
          <w:tcPr>
            <w:tcW w:w="54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901,732</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849,180</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808,586</w:t>
            </w: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5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14,629</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11,286</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11,049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80" w:type="dxa"/>
            <w:vAlign w:val="bottom"/>
            <w:tcBorders>
              <w:bottom w:val="single" w:sz="8" w:color="CCEEFF"/>
            </w:tcBorders>
          </w:tcPr>
          <w:p>
            <w:pPr>
              <w:ind w:left="440"/>
              <w:spacing w:after="0" w:line="136" w:lineRule="exact"/>
              <w:rPr>
                <w:sz w:val="20"/>
                <w:szCs w:val="20"/>
                <w:color w:val="auto"/>
              </w:rPr>
            </w:pPr>
            <w:r>
              <w:rPr>
                <w:rFonts w:ascii="Arial" w:cs="Arial" w:eastAsia="Arial" w:hAnsi="Arial"/>
                <w:sz w:val="14"/>
                <w:szCs w:val="14"/>
                <w:color w:val="auto"/>
              </w:rPr>
              <w:t>TOTAL SHAREHOLDERS’ EQUITY</w:t>
            </w: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916,361</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860,466</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819,635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5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1,482,039</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1,292,058</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1,194,506</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left="1440" w:right="1940"/>
        <w:spacing w:after="0" w:line="275" w:lineRule="auto"/>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vMerge w:val="restart"/>
          </w:tcPr>
          <w:p>
            <w:pPr>
              <w:jc w:val="right"/>
              <w:ind w:right="23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2"/>
              <w:spacing w:after="0" w:line="126" w:lineRule="exact"/>
              <w:rPr>
                <w:sz w:val="20"/>
                <w:szCs w:val="20"/>
                <w:color w:val="auto"/>
              </w:rPr>
            </w:pPr>
            <w:r>
              <w:rPr>
                <w:rFonts w:ascii="Arial" w:cs="Arial" w:eastAsia="Arial" w:hAnsi="Arial"/>
                <w:sz w:val="14"/>
                <w:szCs w:val="14"/>
                <w:b w:val="1"/>
                <w:bCs w:val="1"/>
                <w:color w:val="auto"/>
              </w:rPr>
              <w:t>July 1,</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52"/>
              <w:spacing w:after="0" w:line="126" w:lineRule="exact"/>
              <w:rPr>
                <w:sz w:val="20"/>
                <w:szCs w:val="20"/>
                <w:color w:val="auto"/>
              </w:rPr>
            </w:pPr>
            <w:r>
              <w:rPr>
                <w:rFonts w:ascii="Arial" w:cs="Arial" w:eastAsia="Arial" w:hAnsi="Arial"/>
                <w:sz w:val="14"/>
                <w:szCs w:val="14"/>
                <w:b w:val="1"/>
                <w:bCs w:val="1"/>
                <w:color w:val="auto"/>
                <w:w w:val="92"/>
              </w:rPr>
              <w:t>June 25,</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140"/>
              <w:spacing w:after="0" w:line="126" w:lineRule="exact"/>
              <w:rPr>
                <w:sz w:val="20"/>
                <w:szCs w:val="20"/>
                <w:color w:val="auto"/>
              </w:rPr>
            </w:pPr>
            <w:r>
              <w:rPr>
                <w:rFonts w:ascii="Arial" w:cs="Arial" w:eastAsia="Arial" w:hAnsi="Arial"/>
                <w:sz w:val="14"/>
                <w:szCs w:val="14"/>
                <w:b w:val="1"/>
                <w:bCs w:val="1"/>
                <w:color w:val="auto"/>
              </w:rPr>
              <w:t>July 1,</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32"/>
              <w:spacing w:after="0" w:line="126" w:lineRule="exact"/>
              <w:rPr>
                <w:sz w:val="20"/>
                <w:szCs w:val="20"/>
                <w:color w:val="auto"/>
              </w:rPr>
            </w:pPr>
            <w:r>
              <w:rPr>
                <w:rFonts w:ascii="Arial" w:cs="Arial" w:eastAsia="Arial" w:hAnsi="Arial"/>
                <w:sz w:val="14"/>
                <w:szCs w:val="14"/>
                <w:b w:val="1"/>
                <w:bCs w:val="1"/>
                <w:color w:val="auto"/>
              </w:rPr>
              <w:t>June 25,</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1,072,375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872,093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1,918,505</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1,554,244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924,135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740,606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1,649,526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1,320,018</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131,487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268,979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94,341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77,822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181,259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148,651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EARNINGS OF INVESTEE</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3" w:lineRule="exact"/>
              <w:rPr>
                <w:sz w:val="20"/>
                <w:szCs w:val="20"/>
                <w:color w:val="auto"/>
              </w:rPr>
            </w:pPr>
            <w:r>
              <w:rPr>
                <w:rFonts w:ascii="Arial" w:cs="Arial" w:eastAsia="Arial" w:hAnsi="Arial"/>
                <w:sz w:val="18"/>
                <w:szCs w:val="18"/>
                <w:color w:val="auto"/>
              </w:rPr>
              <w:t>EARNINGS BEFORE INCOME TAXES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52,409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52,880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84,814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83,900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17,835</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18,643</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28,605</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29,407</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3" w:lineRule="exact"/>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34,574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34,237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56,209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54,493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EARNINGS ATTRIBUTABLE TO</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spacing w:after="0" w:line="176" w:lineRule="exact"/>
              <w:rPr>
                <w:sz w:val="20"/>
                <w:szCs w:val="20"/>
                <w:color w:val="auto"/>
              </w:rPr>
            </w:pPr>
            <w:r>
              <w:rPr>
                <w:rFonts w:ascii="Arial" w:cs="Arial" w:eastAsia="Arial" w:hAnsi="Arial"/>
                <w:sz w:val="18"/>
                <w:szCs w:val="18"/>
                <w:color w:val="auto"/>
              </w:rPr>
              <w:t>NET EARNINGS ATTRIBUTABLE TO CONTROLLING</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33,642</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33,398</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54,704</w:t>
            </w:r>
          </w:p>
        </w:tc>
        <w:tc>
          <w:tcPr>
            <w:tcW w:w="2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52,611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GAIN (LOSS)</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3" w:lineRule="exact"/>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35,961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33,430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60,631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54,128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LESS COMPREHENSIVE INCOME ATTRIBUTABLE TO</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spacing w:after="0" w:line="176" w:lineRule="exact"/>
              <w:rPr>
                <w:sz w:val="20"/>
                <w:szCs w:val="20"/>
                <w:color w:val="auto"/>
              </w:rPr>
            </w:pPr>
            <w:r>
              <w:rPr>
                <w:rFonts w:ascii="Arial" w:cs="Arial" w:eastAsia="Arial" w:hAnsi="Arial"/>
                <w:sz w:val="18"/>
                <w:szCs w:val="18"/>
                <w:color w:val="auto"/>
              </w:rPr>
              <w:t>COMPREHENSIVE INCOME ATTRIBUTABLE TO</w:t>
            </w:r>
          </w:p>
        </w:tc>
        <w:tc>
          <w:tcPr>
            <w:tcW w:w="14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34,501</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33,195</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57,744</w:t>
            </w:r>
          </w:p>
        </w:tc>
        <w:tc>
          <w:tcPr>
            <w:tcW w:w="2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53,047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20" w:type="dxa"/>
            <w:vAlign w:val="bottom"/>
            <w:gridSpan w:val="2"/>
          </w:tcPr>
          <w:p>
            <w:pPr>
              <w:spacing w:after="0"/>
              <w:rPr>
                <w:sz w:val="20"/>
                <w:szCs w:val="20"/>
                <w:color w:val="auto"/>
              </w:rPr>
            </w:pPr>
            <w:r>
              <w:rPr>
                <w:rFonts w:ascii="Arial" w:cs="Arial" w:eastAsia="Arial" w:hAnsi="Arial"/>
                <w:sz w:val="18"/>
                <w:szCs w:val="18"/>
                <w:color w:val="auto"/>
              </w:rPr>
              <w:t>CONTROLLING INTEREST</w:t>
            </w:r>
          </w:p>
        </w:tc>
        <w:tc>
          <w:tcPr>
            <w:tcW w:w="1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 except share and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9"/>
          </w:tcPr>
          <w:p>
            <w:pPr>
              <w:ind w:left="80"/>
              <w:spacing w:after="0"/>
              <w:rPr>
                <w:sz w:val="20"/>
                <w:szCs w:val="20"/>
                <w:color w:val="auto"/>
              </w:rPr>
            </w:pPr>
            <w:r>
              <w:rPr>
                <w:rFonts w:ascii="Arial" w:cs="Arial" w:eastAsia="Arial" w:hAnsi="Arial"/>
                <w:sz w:val="11"/>
                <w:szCs w:val="11"/>
                <w:b w:val="1"/>
                <w:bCs w:val="1"/>
                <w:color w:val="auto"/>
                <w:w w:val="88"/>
              </w:rPr>
              <w:t>Controlling Interest Shareholders’ Equity</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108"/>
        </w:trPr>
        <w:tc>
          <w:tcPr>
            <w:tcW w:w="3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6"/>
              </w:rPr>
              <w:t>Accumulated</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22"/>
        </w:trPr>
        <w:tc>
          <w:tcPr>
            <w:tcW w:w="3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38"/>
              <w:spacing w:after="0" w:line="122" w:lineRule="exact"/>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2"/>
        </w:trPr>
        <w:tc>
          <w:tcPr>
            <w:tcW w:w="3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w w:val="96"/>
              </w:rPr>
              <w:t>Common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18"/>
              <w:spacing w:after="0" w:line="12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79"/>
              <w:spacing w:after="0" w:line="122" w:lineRule="exact"/>
              <w:rPr>
                <w:sz w:val="20"/>
                <w:szCs w:val="20"/>
                <w:color w:val="auto"/>
              </w:rPr>
            </w:pPr>
            <w:r>
              <w:rPr>
                <w:rFonts w:ascii="Arial" w:cs="Arial" w:eastAsia="Arial" w:hAnsi="Arial"/>
                <w:sz w:val="11"/>
                <w:szCs w:val="11"/>
                <w:b w:val="1"/>
                <w:bCs w:val="1"/>
                <w:color w:val="auto"/>
                <w:w w:val="94"/>
              </w:rPr>
              <w:t>Retained</w:t>
            </w:r>
          </w:p>
        </w:tc>
        <w:tc>
          <w:tcPr>
            <w:tcW w:w="140" w:type="dxa"/>
            <w:vAlign w:val="bottom"/>
          </w:tcPr>
          <w:p>
            <w:pPr>
              <w:spacing w:after="0"/>
              <w:rPr>
                <w:sz w:val="10"/>
                <w:szCs w:val="10"/>
                <w:color w:val="auto"/>
              </w:rPr>
            </w:pP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4"/>
              </w:rPr>
              <w:t>Comprehensive</w:t>
            </w:r>
          </w:p>
        </w:tc>
        <w:tc>
          <w:tcPr>
            <w:tcW w:w="60" w:type="dxa"/>
            <w:vAlign w:val="bottom"/>
          </w:tcPr>
          <w:p>
            <w:pPr>
              <w:spacing w:after="0"/>
              <w:rPr>
                <w:sz w:val="10"/>
                <w:szCs w:val="10"/>
                <w:color w:val="auto"/>
              </w:rPr>
            </w:pPr>
          </w:p>
        </w:tc>
        <w:tc>
          <w:tcPr>
            <w:tcW w:w="7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6"/>
              </w:rPr>
              <w:t>Noncontrolling</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2"/>
        </w:trPr>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18"/>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79"/>
              <w:spacing w:after="0"/>
              <w:rPr>
                <w:sz w:val="20"/>
                <w:szCs w:val="20"/>
                <w:color w:val="auto"/>
              </w:rPr>
            </w:pPr>
            <w:r>
              <w:rPr>
                <w:rFonts w:ascii="Arial" w:cs="Arial" w:eastAsia="Arial" w:hAnsi="Arial"/>
                <w:sz w:val="11"/>
                <w:szCs w:val="11"/>
                <w:b w:val="1"/>
                <w:bCs w:val="1"/>
                <w:color w:val="auto"/>
                <w:w w:val="93"/>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Earnings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98"/>
              <w:spacing w:after="0"/>
              <w:rPr>
                <w:sz w:val="20"/>
                <w:szCs w:val="20"/>
                <w:color w:val="auto"/>
              </w:rPr>
            </w:pPr>
            <w:r>
              <w:rPr>
                <w:rFonts w:ascii="Arial" w:cs="Arial" w:eastAsia="Arial" w:hAnsi="Arial"/>
                <w:sz w:val="11"/>
                <w:szCs w:val="11"/>
                <w:b w:val="1"/>
                <w:bCs w:val="1"/>
                <w:color w:val="auto"/>
                <w:w w:val="90"/>
              </w:rPr>
              <w:t>Interest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17"/>
              <w:spacing w:after="0"/>
              <w:rPr>
                <w:sz w:val="20"/>
                <w:szCs w:val="20"/>
                <w:color w:val="auto"/>
              </w:rPr>
            </w:pPr>
            <w:r>
              <w:rPr>
                <w:rFonts w:ascii="Arial" w:cs="Arial" w:eastAsia="Arial" w:hAnsi="Arial"/>
                <w:sz w:val="11"/>
                <w:szCs w:val="11"/>
                <w:b w:val="1"/>
                <w:bCs w:val="1"/>
                <w:color w:val="auto"/>
              </w:rPr>
              <w:t>Total</w:t>
            </w:r>
          </w:p>
        </w:tc>
      </w:tr>
      <w:tr>
        <w:trPr>
          <w:trHeight w:val="135"/>
        </w:trPr>
        <w:tc>
          <w:tcPr>
            <w:tcW w:w="35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26, 2015</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20,142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171,562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565,636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(4,585)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13,654</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766,409</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52,611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1,882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54,493</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(551)</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186</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(1,731)</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Purchases of noncontrolling interest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855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(1,955)</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(1,100)</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$0.420 per share</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(8,529)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(8,529)</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Issuance of 3,708 shares under employee stock plans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287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290</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114,132 shares under stock grant programs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5,134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5,248</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w w:val="97"/>
              </w:rPr>
              <w:t>Issuance of 47,914 shares under deferred compensation plans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Expense associated with share-based compensation arrangements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977</w:t>
            </w:r>
          </w:p>
        </w:tc>
      </w:tr>
      <w:tr>
        <w:trPr>
          <w:trHeight w:val="142"/>
        </w:trPr>
        <w:tc>
          <w:tcPr>
            <w:tcW w:w="354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3,943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3,943</w:t>
            </w:r>
          </w:p>
        </w:tc>
      </w:tr>
      <w:tr>
        <w:trPr>
          <w:trHeight w:val="155"/>
        </w:trPr>
        <w:tc>
          <w:tcPr>
            <w:tcW w:w="35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June 25, 2016</w:t>
            </w:r>
          </w:p>
        </w:tc>
        <w:tc>
          <w:tcPr>
            <w:tcW w:w="2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20,307</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182,710</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609,718</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(4,149)</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11,049</w:t>
            </w: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819,635</w:t>
            </w:r>
          </w:p>
        </w:tc>
      </w:tr>
      <w:tr>
        <w:trPr>
          <w:trHeight w:val="122"/>
        </w:trPr>
        <w:tc>
          <w:tcPr>
            <w:tcW w:w="3540" w:type="dxa"/>
            <w:vAlign w:val="bottom"/>
          </w:tcPr>
          <w:p>
            <w:pPr>
              <w:spacing w:after="0" w:line="122" w:lineRule="exact"/>
              <w:rPr>
                <w:sz w:val="20"/>
                <w:szCs w:val="20"/>
                <w:color w:val="auto"/>
              </w:rPr>
            </w:pPr>
            <w:r>
              <w:rPr>
                <w:rFonts w:ascii="Arial" w:cs="Arial" w:eastAsia="Arial" w:hAnsi="Arial"/>
                <w:sz w:val="13"/>
                <w:szCs w:val="13"/>
                <w:b w:val="1"/>
                <w:bCs w:val="1"/>
                <w:color w:val="auto"/>
              </w:rPr>
              <w:t>Balance at December 31, 2016</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20,342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185,333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649,135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(5,630)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11,286</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860,466</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earnings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54,704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56,209</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2,817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1,382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4,199</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(1,953)</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(1,953)</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Additional purchases of noncontrolling interest</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2,409</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2,409</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Cash dividends - $0.450 per share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(9,208)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(9,208)</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4,233 shares under employee stock plans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Issuance of 142,145 shares under stock grant programs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7,068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7,210</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Issuance of 44,208 shares under deferred compensation plans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Repurchase of 110,880 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(9,823)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(9,934)</w:t>
            </w: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Expense associated with share-based compensation arrangements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1,282</w:t>
            </w:r>
          </w:p>
        </w:tc>
      </w:tr>
      <w:tr>
        <w:trPr>
          <w:trHeight w:val="142"/>
        </w:trPr>
        <w:tc>
          <w:tcPr>
            <w:tcW w:w="354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5,126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5,126</w:t>
            </w:r>
          </w:p>
        </w:tc>
      </w:tr>
      <w:tr>
        <w:trPr>
          <w:trHeight w:val="142"/>
        </w:trPr>
        <w:tc>
          <w:tcPr>
            <w:tcW w:w="35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July 1, 2017</w:t>
            </w:r>
          </w:p>
        </w:tc>
        <w:tc>
          <w:tcPr>
            <w:tcW w:w="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20,422</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199,092</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684,808</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(2,590)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14,629</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916,361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88"/>
              <w:spacing w:after="0" w:line="126" w:lineRule="exact"/>
              <w:rPr>
                <w:sz w:val="20"/>
                <w:szCs w:val="20"/>
                <w:color w:val="auto"/>
              </w:rPr>
            </w:pPr>
            <w:r>
              <w:rPr>
                <w:rFonts w:ascii="Arial" w:cs="Arial" w:eastAsia="Arial" w:hAnsi="Arial"/>
                <w:sz w:val="14"/>
                <w:szCs w:val="14"/>
                <w:b w:val="1"/>
                <w:bCs w:val="1"/>
                <w:color w:val="auto"/>
              </w:rPr>
              <w:t>July 1,</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28"/>
              <w:spacing w:after="0" w:line="126" w:lineRule="exact"/>
              <w:rPr>
                <w:sz w:val="20"/>
                <w:szCs w:val="20"/>
                <w:color w:val="auto"/>
              </w:rPr>
            </w:pPr>
            <w:r>
              <w:rPr>
                <w:rFonts w:ascii="Arial" w:cs="Arial" w:eastAsia="Arial" w:hAnsi="Arial"/>
                <w:sz w:val="14"/>
                <w:szCs w:val="14"/>
                <w:b w:val="1"/>
                <w:bCs w:val="1"/>
                <w:color w:val="auto"/>
              </w:rPr>
              <w:t>June 25,</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56,209</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54,493</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Depreciation</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23,248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19,178</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1,285</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Expense associated with share-based compensation arrangements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1,282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Expense associated with stock grant plans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 in earnings of investee</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Net loss on disposition and impairment of assets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(101,239)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(95,198)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7,564</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38,146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31,320</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5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22,067</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20,439</w:t>
            </w:r>
          </w:p>
        </w:tc>
        <w:tc>
          <w:tcPr>
            <w:tcW w:w="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ind w:left="100"/>
              <w:spacing w:after="0" w:line="136" w:lineRule="exact"/>
              <w:rPr>
                <w:sz w:val="20"/>
                <w:szCs w:val="20"/>
                <w:color w:val="auto"/>
              </w:rPr>
            </w:pPr>
            <w:r>
              <w:rPr>
                <w:rFonts w:ascii="Arial" w:cs="Arial" w:eastAsia="Arial" w:hAnsi="Arial"/>
                <w:sz w:val="14"/>
                <w:szCs w:val="14"/>
                <w:color w:val="auto"/>
              </w:rPr>
              <w:t>NET CASH FROM OPERATING ACTIVITIES</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15,211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4"/>
                <w:szCs w:val="14"/>
                <w:color w:val="auto"/>
              </w:rPr>
              <w:t>40,041</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(34,549)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(24,269)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Acquisitions, net of cash received</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(59,658)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remaining noncontrolling interest, net of cash received</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Cash contributed from noncontrolling interest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Advances of notes receivable</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Collections on notes receivable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1,041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3,731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7,247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901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(736)</w:t>
            </w:r>
          </w:p>
        </w:tc>
        <w:tc>
          <w:tcPr>
            <w:tcW w:w="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00" w:type="dxa"/>
            <w:vAlign w:val="bottom"/>
          </w:tcPr>
          <w:p>
            <w:pPr>
              <w:ind w:left="100"/>
              <w:spacing w:after="0" w:line="136" w:lineRule="exact"/>
              <w:rPr>
                <w:sz w:val="20"/>
                <w:szCs w:val="20"/>
                <w:color w:val="auto"/>
              </w:rPr>
            </w:pPr>
            <w:r>
              <w:rPr>
                <w:rFonts w:ascii="Arial" w:cs="Arial" w:eastAsia="Arial" w:hAnsi="Arial"/>
                <w:sz w:val="14"/>
                <w:szCs w:val="14"/>
                <w:color w:val="auto"/>
              </w:rPr>
              <w:t>NET CASH USED IN INVESTING ACTIVITIES</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(99,887)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4"/>
                <w:szCs w:val="14"/>
                <w:color w:val="auto"/>
              </w:rPr>
              <w:t>(29,363)</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444,601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3,162</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(349,311)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290</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(1,953)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w:t>
            </w: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w:t>
            </w:r>
          </w:p>
        </w:tc>
        <w:tc>
          <w:tcPr>
            <w:tcW w:w="3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CASH FROM (USED IN) FINANCING ACTIVITIES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74,521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(10,033)</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1,196</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(561)</w:t>
            </w:r>
          </w:p>
        </w:tc>
        <w:tc>
          <w:tcPr>
            <w:tcW w:w="3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34,489</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88,342</w:t>
            </w:r>
          </w:p>
        </w:tc>
        <w:tc>
          <w:tcPr>
            <w:tcW w:w="3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5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25,530</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88,426</w:t>
            </w:r>
          </w:p>
        </w:tc>
        <w:tc>
          <w:tcPr>
            <w:tcW w:w="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34,091</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87,756</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586</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34,489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88,342</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6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12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24,625</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87,517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25,530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88,426</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6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120" w:type="dxa"/>
            <w:vAlign w:val="bottom"/>
            <w:gridSpan w:val="2"/>
          </w:tcPr>
          <w:p>
            <w:pPr>
              <w:spacing w:after="0" w:line="149" w:lineRule="exact"/>
              <w:rPr>
                <w:sz w:val="20"/>
                <w:szCs w:val="20"/>
                <w:color w:val="auto"/>
              </w:rPr>
            </w:pPr>
            <w:r>
              <w:rPr>
                <w:rFonts w:ascii="Arial" w:cs="Arial" w:eastAsia="Arial" w:hAnsi="Arial"/>
                <w:sz w:val="14"/>
                <w:szCs w:val="14"/>
                <w:color w:val="auto"/>
              </w:rPr>
              <w:t>SUPPLEMENTAL INFORMATION:</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paid</w:t>
            </w:r>
          </w:p>
        </w:tc>
        <w:tc>
          <w:tcPr>
            <w:tcW w:w="6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2,220</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15,895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19,789</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00" w:type="dxa"/>
            <w:vAlign w:val="bottom"/>
          </w:tcPr>
          <w:p>
            <w:pPr>
              <w:spacing w:after="0"/>
              <w:rPr>
                <w:sz w:val="20"/>
                <w:szCs w:val="20"/>
                <w:color w:val="auto"/>
              </w:rPr>
            </w:pPr>
            <w:r>
              <w:rPr>
                <w:rFonts w:ascii="Arial" w:cs="Arial" w:eastAsia="Arial" w:hAnsi="Arial"/>
                <w:sz w:val="14"/>
                <w:szCs w:val="14"/>
                <w:color w:val="auto"/>
              </w:rPr>
              <w:t>Common stock issued under deferred compensation plans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3,375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07" w:lineRule="exact"/>
        <w:rPr>
          <w:sz w:val="20"/>
          <w:szCs w:val="20"/>
          <w:color w:val="auto"/>
        </w:rPr>
      </w:pPr>
    </w:p>
    <w:p>
      <w:pPr>
        <w:ind w:left="500" w:hanging="497"/>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48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78" w:lineRule="exact"/>
        <w:rPr>
          <w:rFonts w:ascii="Arial" w:cs="Arial" w:eastAsia="Arial" w:hAnsi="Arial"/>
          <w:sz w:val="18"/>
          <w:szCs w:val="18"/>
          <w:b w:val="1"/>
          <w:bCs w:val="1"/>
          <w:color w:val="auto"/>
        </w:rPr>
      </w:pPr>
    </w:p>
    <w:p>
      <w:pPr>
        <w:ind w:left="480" w:right="80"/>
        <w:spacing w:after="0" w:line="219" w:lineRule="exact"/>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2016.</w:t>
      </w:r>
    </w:p>
    <w:p>
      <w:pPr>
        <w:spacing w:after="0" w:line="205" w:lineRule="exact"/>
        <w:rPr>
          <w:rFonts w:ascii="Arial" w:cs="Arial" w:eastAsia="Arial" w:hAnsi="Arial"/>
          <w:sz w:val="18"/>
          <w:szCs w:val="18"/>
          <w:b w:val="1"/>
          <w:bCs w:val="1"/>
          <w:color w:val="auto"/>
        </w:rPr>
      </w:pPr>
    </w:p>
    <w:p>
      <w:pPr>
        <w:ind w:left="480" w:right="2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25, 2016 balances in the accompanying unaudited consolidated condensed balance sheets.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480" w:hanging="477"/>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rFonts w:ascii="Arial" w:cs="Arial" w:eastAsia="Arial" w:hAnsi="Arial"/>
          <w:sz w:val="18"/>
          <w:szCs w:val="18"/>
          <w:b w:val="1"/>
          <w:bCs w:val="1"/>
          <w:color w:val="auto"/>
        </w:rPr>
      </w:pPr>
    </w:p>
    <w:p>
      <w:pPr>
        <w:ind w:left="48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July 1, 2017</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6"/>
              </w:rPr>
              <w:t>June 25, 2016</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26"/>
        </w:trPr>
        <w:tc>
          <w:tcPr>
            <w:tcW w:w="2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6"/>
              <w:spacing w:after="0" w:line="126"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0"/>
                <w:szCs w:val="10"/>
                <w:color w:val="auto"/>
              </w:rPr>
            </w:pPr>
          </w:p>
        </w:tc>
        <w:tc>
          <w:tcPr>
            <w:tcW w:w="82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0"/>
                <w:szCs w:val="10"/>
                <w:color w:val="auto"/>
              </w:rPr>
            </w:pPr>
          </w:p>
        </w:tc>
        <w:tc>
          <w:tcPr>
            <w:tcW w:w="920" w:type="dxa"/>
            <w:vAlign w:val="bottom"/>
            <w:gridSpan w:val="3"/>
          </w:tcPr>
          <w:p>
            <w:pPr>
              <w:jc w:val="center"/>
              <w:ind w:right="20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5"/>
              </w:rPr>
              <w:t>Active</w:t>
            </w:r>
          </w:p>
        </w:tc>
        <w:tc>
          <w:tcPr>
            <w:tcW w:w="18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8"/>
        </w:trPr>
        <w:tc>
          <w:tcPr>
            <w:tcW w:w="2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Fixed income funds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4,318</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Mutual funds: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Domestic stock funds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16"/>
        </w:trPr>
        <w:tc>
          <w:tcPr>
            <w:tcW w:w="2900" w:type="dxa"/>
            <w:vAlign w:val="bottom"/>
          </w:tcPr>
          <w:p>
            <w:pPr>
              <w:ind w:left="120"/>
              <w:spacing w:after="0"/>
              <w:rPr>
                <w:sz w:val="20"/>
                <w:szCs w:val="20"/>
                <w:color w:val="auto"/>
              </w:rPr>
            </w:pPr>
            <w:r>
              <w:rPr>
                <w:rFonts w:ascii="Arial" w:cs="Arial" w:eastAsia="Arial" w:hAnsi="Arial"/>
                <w:sz w:val="18"/>
                <w:szCs w:val="18"/>
                <w:color w:val="auto"/>
              </w:rPr>
              <w:t>International stock funds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Target funds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2900" w:type="dxa"/>
            <w:vAlign w:val="bottom"/>
          </w:tcPr>
          <w:p>
            <w:pPr>
              <w:ind w:left="120"/>
              <w:spacing w:after="0"/>
              <w:rPr>
                <w:sz w:val="20"/>
                <w:szCs w:val="20"/>
                <w:color w:val="auto"/>
              </w:rPr>
            </w:pPr>
            <w:r>
              <w:rPr>
                <w:rFonts w:ascii="Arial" w:cs="Arial" w:eastAsia="Arial" w:hAnsi="Arial"/>
                <w:sz w:val="18"/>
                <w:szCs w:val="18"/>
                <w:color w:val="auto"/>
              </w:rPr>
              <w:t>Bond funds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mutual funds</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16"/>
        </w:trPr>
        <w:tc>
          <w:tcPr>
            <w:tcW w:w="2900" w:type="dxa"/>
            <w:vAlign w:val="bottom"/>
          </w:tcPr>
          <w:p>
            <w:pPr>
              <w:ind w:left="120"/>
              <w:spacing w:after="0"/>
              <w:rPr>
                <w:sz w:val="20"/>
                <w:szCs w:val="20"/>
                <w:color w:val="auto"/>
              </w:rPr>
            </w:pPr>
            <w:r>
              <w:rPr>
                <w:rFonts w:ascii="Arial" w:cs="Arial" w:eastAsia="Arial" w:hAnsi="Arial"/>
                <w:sz w:val="18"/>
                <w:szCs w:val="18"/>
                <w:color w:val="auto"/>
              </w:rPr>
              <w:t>Assets at fair value</w:t>
            </w:r>
          </w:p>
        </w:tc>
        <w:tc>
          <w:tcPr>
            <w:tcW w:w="10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12,255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19,597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8,199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2,889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11,088</w:t>
            </w:r>
          </w:p>
        </w:tc>
      </w:tr>
      <w:tr>
        <w:trPr>
          <w:trHeight w:val="27"/>
        </w:trPr>
        <w:tc>
          <w:tcPr>
            <w:tcW w:w="2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left="480" w:right="100"/>
        <w:spacing w:after="0" w:line="286" w:lineRule="auto"/>
        <w:rPr>
          <w:sz w:val="20"/>
          <w:szCs w:val="20"/>
          <w:color w:val="auto"/>
        </w:rPr>
      </w:pPr>
      <w:r>
        <w:rPr>
          <w:rFonts w:ascii="Arial" w:cs="Arial" w:eastAsia="Arial" w:hAnsi="Arial"/>
          <w:sz w:val="17"/>
          <w:szCs w:val="17"/>
          <w:color w:val="auto"/>
        </w:rPr>
        <w:t>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“Restricted Cash”,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20"/>
        <w:spacing w:after="0" w:line="277" w:lineRule="auto"/>
        <w:rPr>
          <w:sz w:val="20"/>
          <w:szCs w:val="20"/>
          <w:color w:val="auto"/>
        </w:rPr>
      </w:pPr>
      <w:r>
        <w:rPr>
          <w:rFonts w:ascii="Arial" w:cs="Arial" w:eastAsia="Arial" w:hAnsi="Arial"/>
          <w:sz w:val="18"/>
          <w:szCs w:val="18"/>
          <w:color w:val="auto"/>
        </w:rPr>
        <w:t xml:space="preserve">“Restricted Investments”. We have elected not to apply the fair value option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any of our financial instruments except for those expressly required by U.S. GAAP.</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1F497D"/>
        </w:rPr>
        <w:t>We did not maintain any Level 3 assets or liabilities at July 1, 2017 or June 25, 2016.</w:t>
      </w:r>
    </w:p>
    <w:p>
      <w:pPr>
        <w:spacing w:after="0" w:line="225"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color w:val="auto"/>
        </w:rPr>
        <w:t>In November 2016, the Financial Accounting Standards Board (FASB) issued Accounting Standard Update (ASU) No. 2016-18, “Statement of Cash Flows (Topic 230)” (ASU 2016-18). Under ASU 2016-18, an entity will be required to explain changes in the statement of cash flows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should be applied using retrospective transition method to each period presented. Companies are required to adopt the new standard for fiscal years beginning after December 15, 2017. Early adoption of ASU 2016-18 is permitted, including adoption in an interim period. The Company has early adopted this standard during the first quarter of 2017.</w:t>
      </w:r>
    </w:p>
    <w:p>
      <w:pPr>
        <w:spacing w:after="0" w:line="178" w:lineRule="exact"/>
        <w:rPr>
          <w:sz w:val="20"/>
          <w:szCs w:val="20"/>
          <w:color w:val="auto"/>
        </w:rPr>
      </w:pPr>
    </w:p>
    <w:p>
      <w:pPr>
        <w:ind w:left="480"/>
        <w:spacing w:after="0" w:line="276" w:lineRule="auto"/>
        <w:rPr>
          <w:sz w:val="20"/>
          <w:szCs w:val="20"/>
          <w:color w:val="auto"/>
        </w:rPr>
      </w:pPr>
      <w:r>
        <w:rPr>
          <w:rFonts w:ascii="Arial" w:cs="Arial" w:eastAsia="Arial" w:hAnsi="Arial"/>
          <w:sz w:val="17"/>
          <w:szCs w:val="17"/>
          <w:color w:val="auto"/>
        </w:rPr>
        <w:t>In the first six months of 2017, our wholly-owned captive, Ardellis Insurance Ltd. (“Ardellis”) transferred $4.1 million in fixed income securities from its Investment Account and purchased an additional $3.8 million in fixed income securities which are held in a newly formed collateral trust account in line with regulatory requirements in the State of Michigan to allow Ardellis to act as an admitted carrier in the State. These funds are intended to safeguard the insureds of the Michigan Branch of Ardellis. The funds are classified as “Restricted Investments”.</w:t>
      </w:r>
    </w:p>
    <w:p>
      <w:pPr>
        <w:spacing w:after="0" w:line="173" w:lineRule="exact"/>
        <w:rPr>
          <w:sz w:val="20"/>
          <w:szCs w:val="20"/>
          <w:color w:val="auto"/>
        </w:rPr>
      </w:pPr>
    </w:p>
    <w:p>
      <w:pPr>
        <w:jc w:val="both"/>
        <w:ind w:left="480" w:right="100"/>
        <w:spacing w:after="0" w:line="264"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$17.8 million as of July 1, 2017, consisting of domestic and international stocks, and fixed income bonds.</w:t>
      </w:r>
    </w:p>
    <w:p>
      <w:pPr>
        <w:spacing w:after="0" w:line="181" w:lineRule="exact"/>
        <w:rPr>
          <w:sz w:val="20"/>
          <w:szCs w:val="20"/>
          <w:color w:val="auto"/>
        </w:rPr>
      </w:pPr>
    </w:p>
    <w:p>
      <w:pPr>
        <w:ind w:left="480" w:right="500"/>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Gain/(Loss)</w:t>
            </w:r>
          </w:p>
        </w:tc>
        <w:tc>
          <w:tcPr>
            <w:tcW w:w="1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9,045</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17,768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right="180" w:firstLine="648"/>
        <w:spacing w:after="0" w:line="254" w:lineRule="auto"/>
        <w:rPr>
          <w:sz w:val="20"/>
          <w:szCs w:val="20"/>
          <w:color w:val="auto"/>
        </w:rPr>
      </w:pPr>
      <w:r>
        <w:rPr>
          <w:rFonts w:ascii="Arial" w:cs="Arial" w:eastAsia="Arial" w:hAnsi="Arial"/>
          <w:sz w:val="18"/>
          <w:szCs w:val="18"/>
          <w:color w:val="auto"/>
        </w:rPr>
        <w:t>Our Fixed Income investments consist of short, intermediate, and long term bonds, as well as fixed blend bonds. Within the fixed income investments, we maintain a specific mixture of US treasury notes, US agency mortgage backed securities, private label mortgage backed securities, and various corporate securities. Our equity investments consist of small, mid, and large cap growth and value funds, as well as international equity. The net pre-tax effected unrealized gain was $784 thousand. Carrying amounts above are recorded in the investments and restricted investments line items within the balance sheet as of July 1, 2017. During the first six months of 2017, Ardellis investments reported a net realized gain of $156 thousand, which was recorded in interest income on the statement of earnings.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hanging="497"/>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4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20"/>
        <w:spacing w:after="0" w:line="274" w:lineRule="auto"/>
        <w:rPr>
          <w:sz w:val="20"/>
          <w:szCs w:val="20"/>
          <w:color w:val="auto"/>
        </w:rPr>
      </w:pPr>
      <w:r>
        <w:rPr>
          <w:rFonts w:ascii="Arial" w:cs="Arial" w:eastAsia="Arial" w:hAnsi="Arial"/>
          <w:sz w:val="17"/>
          <w:szCs w:val="17"/>
          <w:color w:val="auto"/>
        </w:rPr>
        <w:t>Earnings on construction contracts are reflected in operations using percentage-of-completion accounting, under either cost to cost or units of delivery methods, depending on the nature of the business at individual operations.</w:t>
      </w:r>
    </w:p>
    <w:p>
      <w:pPr>
        <w:ind w:left="480"/>
        <w:spacing w:after="0" w:line="287" w:lineRule="auto"/>
        <w:rPr>
          <w:sz w:val="20"/>
          <w:szCs w:val="20"/>
          <w:color w:val="auto"/>
        </w:rPr>
      </w:pPr>
      <w:r>
        <w:rPr>
          <w:rFonts w:ascii="Arial" w:cs="Arial" w:eastAsia="Arial" w:hAnsi="Arial"/>
          <w:sz w:val="16"/>
          <w:szCs w:val="16"/>
          <w:color w:val="auto"/>
        </w:rPr>
        <w:t>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Construction contract revenue increased to approximately $31.1 million, during the second quarter of 2017, from $30.9 million during the same period of 2016. Construction contract revenue was approximately $63.0 million and $63.4 million through the first six months of 2017 and 2016, respectively.</w:t>
      </w:r>
    </w:p>
    <w:p>
      <w:pPr>
        <w:spacing w:after="0" w:line="166"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480" w:right="120"/>
        <w:spacing w:after="0" w:line="277" w:lineRule="auto"/>
        <w:rPr>
          <w:sz w:val="20"/>
          <w:szCs w:val="20"/>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25,</w:t>
            </w:r>
          </w:p>
        </w:tc>
      </w:tr>
      <w:tr>
        <w:trPr>
          <w:trHeight w:val="178"/>
        </w:trPr>
        <w:tc>
          <w:tcPr>
            <w:tcW w:w="59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5"/>
                <w:szCs w:val="15"/>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80" w:type="dxa"/>
            <w:vAlign w:val="bottom"/>
            <w:shd w:val="clear" w:color="auto" w:fill="CCEEFF"/>
          </w:tcPr>
          <w:p>
            <w:pPr>
              <w:spacing w:after="0"/>
              <w:rPr>
                <w:sz w:val="18"/>
                <w:szCs w:val="18"/>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5,407</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ind w:left="500" w:hanging="497"/>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5"/>
          </w:tcPr>
          <w:p>
            <w:pPr>
              <w:ind w:left="4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5"/>
          </w:tcPr>
          <w:p>
            <w:pPr>
              <w:ind w:left="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26"/>
        </w:trPr>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13"/>
              <w:spacing w:after="0" w:line="126" w:lineRule="exact"/>
              <w:rPr>
                <w:sz w:val="20"/>
                <w:szCs w:val="20"/>
                <w:color w:val="auto"/>
              </w:rPr>
            </w:pPr>
            <w:r>
              <w:rPr>
                <w:rFonts w:ascii="Arial" w:cs="Arial" w:eastAsia="Arial" w:hAnsi="Arial"/>
                <w:sz w:val="14"/>
                <w:szCs w:val="14"/>
                <w:b w:val="1"/>
                <w:bCs w:val="1"/>
                <w:color w:val="auto"/>
              </w:rPr>
              <w:t>July 1,</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4"/>
                <w:szCs w:val="14"/>
                <w:b w:val="1"/>
                <w:bCs w:val="1"/>
                <w:color w:val="auto"/>
                <w:w w:val="92"/>
              </w:rPr>
              <w:t>June 25,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33"/>
              <w:spacing w:after="0" w:line="126" w:lineRule="exact"/>
              <w:rPr>
                <w:sz w:val="20"/>
                <w:szCs w:val="20"/>
                <w:color w:val="auto"/>
              </w:rPr>
            </w:pPr>
            <w:r>
              <w:rPr>
                <w:rFonts w:ascii="Arial" w:cs="Arial" w:eastAsia="Arial" w:hAnsi="Arial"/>
                <w:sz w:val="14"/>
                <w:szCs w:val="14"/>
                <w:b w:val="1"/>
                <w:bCs w:val="1"/>
                <w:color w:val="auto"/>
              </w:rPr>
              <w:t>July 1,</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6" w:lineRule="exact"/>
              <w:rPr>
                <w:sz w:val="20"/>
                <w:szCs w:val="20"/>
                <w:color w:val="auto"/>
              </w:rPr>
            </w:pPr>
            <w:r>
              <w:rPr>
                <w:rFonts w:ascii="Arial" w:cs="Arial" w:eastAsia="Arial" w:hAnsi="Arial"/>
                <w:sz w:val="14"/>
                <w:szCs w:val="14"/>
                <w:b w:val="1"/>
                <w:bCs w:val="1"/>
                <w:color w:val="auto"/>
                <w:w w:val="92"/>
              </w:rPr>
              <w:t>June 25,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04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earnings attributable to controlling interest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33,398</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120"/>
              <w:spacing w:after="0" w:line="201" w:lineRule="exact"/>
              <w:rPr>
                <w:sz w:val="20"/>
                <w:szCs w:val="20"/>
                <w:color w:val="auto"/>
              </w:rPr>
            </w:pPr>
            <w:r>
              <w:rPr>
                <w:rFonts w:ascii="Arial" w:cs="Arial" w:eastAsia="Arial" w:hAnsi="Arial"/>
                <w:sz w:val="18"/>
                <w:szCs w:val="18"/>
                <w:color w:val="auto"/>
                <w:w w:val="91"/>
              </w:rPr>
              <w:t>Adjustment for earnings allocated to non-vested restricted common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40" w:type="dxa"/>
            <w:vAlign w:val="bottom"/>
          </w:tcPr>
          <w:p>
            <w:pPr>
              <w:ind w:left="12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earnings for calculating EPS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3" w:lineRule="exact"/>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20"/>
              <w:spacing w:after="0"/>
              <w:rPr>
                <w:sz w:val="20"/>
                <w:szCs w:val="20"/>
                <w:color w:val="auto"/>
              </w:rPr>
            </w:pPr>
            <w:r>
              <w:rPr>
                <w:rFonts w:ascii="Arial" w:cs="Arial" w:eastAsia="Arial" w:hAnsi="Arial"/>
                <w:sz w:val="18"/>
                <w:szCs w:val="18"/>
                <w:color w:val="auto"/>
              </w:rPr>
              <w:t>Adjustment for non-vested restricted common stock</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Shares for calculating basic EPS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Shares for calculating diluted EPS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20,078</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20,051</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3" w:lineRule="exact"/>
              <w:rPr>
                <w:sz w:val="20"/>
                <w:szCs w:val="20"/>
                <w:color w:val="auto"/>
              </w:rPr>
            </w:pPr>
            <w:r>
              <w:rPr>
                <w:rFonts w:ascii="Arial" w:cs="Arial" w:eastAsia="Arial" w:hAnsi="Arial"/>
                <w:sz w:val="18"/>
                <w:szCs w:val="18"/>
                <w:color w:val="auto"/>
              </w:rPr>
              <w:t>Net earnings per share: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20"/>
                <w:szCs w:val="20"/>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 options were excluded from the computation of diluted EPS for the quarters ended July 1, 2017 or June 25, 2016.</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ind w:left="480" w:hanging="477"/>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rFonts w:ascii="Arial" w:cs="Arial" w:eastAsia="Arial" w:hAnsi="Arial"/>
          <w:sz w:val="18"/>
          <w:szCs w:val="18"/>
          <w:b w:val="1"/>
          <w:bCs w:val="1"/>
          <w:color w:val="auto"/>
        </w:rPr>
      </w:pPr>
    </w:p>
    <w:p>
      <w:pPr>
        <w:ind w:left="48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rFonts w:ascii="Arial" w:cs="Arial" w:eastAsia="Arial" w:hAnsi="Arial"/>
          <w:sz w:val="18"/>
          <w:szCs w:val="18"/>
          <w:b w:val="1"/>
          <w:bCs w:val="1"/>
          <w:color w:val="auto"/>
        </w:rPr>
      </w:pPr>
    </w:p>
    <w:p>
      <w:pPr>
        <w:ind w:left="48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Auburndale, FL; and Medley, FL. In addition, a reserve was established for our facility in Thornton, CA to remove certain lead containing materials which existed on the property at the time of purchase.</w:t>
      </w:r>
    </w:p>
    <w:p>
      <w:pPr>
        <w:spacing w:after="0" w:line="178" w:lineRule="exact"/>
        <w:rPr>
          <w:rFonts w:ascii="Arial" w:cs="Arial" w:eastAsia="Arial" w:hAnsi="Arial"/>
          <w:sz w:val="18"/>
          <w:szCs w:val="18"/>
          <w:b w:val="1"/>
          <w:bCs w:val="1"/>
          <w:color w:val="auto"/>
        </w:rPr>
      </w:pPr>
    </w:p>
    <w:p>
      <w:pPr>
        <w:ind w:left="48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 consolidated basis, we have reserved approximately $3.6 million and $3.4 million on July 1, 2017, and June 25, 2016, respectively, representing the estimated costs to complete future remediation efforts. These amounts have not been reduced by an insurance receivable.</w:t>
      </w:r>
    </w:p>
    <w:p>
      <w:pPr>
        <w:spacing w:after="0" w:line="181" w:lineRule="exact"/>
        <w:rPr>
          <w:rFonts w:ascii="Arial" w:cs="Arial" w:eastAsia="Arial" w:hAnsi="Arial"/>
          <w:sz w:val="18"/>
          <w:szCs w:val="18"/>
          <w:b w:val="1"/>
          <w:bCs w:val="1"/>
          <w:color w:val="auto"/>
        </w:rPr>
      </w:pPr>
    </w:p>
    <w:p>
      <w:pPr>
        <w:ind w:left="4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$0.2 million. As a result, this amount is recorded in other long-term liabilities on July 1, 2017.</w:t>
      </w:r>
    </w:p>
    <w:p>
      <w:pPr>
        <w:spacing w:after="0" w:line="166" w:lineRule="exact"/>
        <w:rPr>
          <w:rFonts w:ascii="Arial" w:cs="Arial" w:eastAsia="Arial" w:hAnsi="Arial"/>
          <w:sz w:val="18"/>
          <w:szCs w:val="18"/>
          <w:b w:val="1"/>
          <w:bCs w:val="1"/>
          <w:color w:val="auto"/>
        </w:rPr>
      </w:pPr>
    </w:p>
    <w:p>
      <w:pPr>
        <w:ind w:left="480" w:right="2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In February 2014, one of our operations was served with a federal grand jury subpoena from the Southern District of New York. The subpoena was issued in connection with an investigation being conducted by the US Attorney’s Office for the Southern District of New York. The subpoena requested documents relating to a developer and construction projects for which our operation had provided materials and labor. Following receipt of the subpoena, the Audit Committee of the Company’s Board of Directors retained outside counsel to conduct an internal investigation and respond to the subpoena. The Company cooperated in all respects with the US Attorney’s Office, complied with this subpoena and voluntarily provided additional information. As a result of the internal investigation, in 2014, two Company employees were terminated for violating the Company’s Code of Business Conduct and Ethics. In</w:t>
      </w:r>
    </w:p>
    <w:p>
      <w:pPr>
        <w:spacing w:after="0" w:line="1" w:lineRule="exact"/>
        <w:rPr>
          <w:rFonts w:ascii="Arial" w:cs="Arial" w:eastAsia="Arial" w:hAnsi="Arial"/>
          <w:sz w:val="18"/>
          <w:szCs w:val="18"/>
          <w:b w:val="1"/>
          <w:bCs w:val="1"/>
          <w:color w:val="auto"/>
        </w:rPr>
      </w:pPr>
    </w:p>
    <w:p>
      <w:pPr>
        <w:ind w:left="4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May 2015, those ex-employees were indicted by the grand jury. In April 2016, one of the two former employees pled guilty to four of the charges included in the indictment. In May 2016, the other former employee was found guilty by a jury on four of the charges included in the indictment. The Company has not been named as a target and continues to cooperate with the US Attorney’s Office in this matter; however, because of the duration and unique nature of this proceeding, any potential, adverse financial implications to the Company are uncertain. Based upon prior communications with the US Attorney’s Office, we do not believe that the resolution of this matter will have a material adverse impact on our financial condition or the results of our operations.</w:t>
      </w:r>
    </w:p>
    <w:p>
      <w:pPr>
        <w:spacing w:after="0" w:line="180" w:lineRule="exact"/>
        <w:rPr>
          <w:rFonts w:ascii="Arial" w:cs="Arial" w:eastAsia="Arial" w:hAnsi="Arial"/>
          <w:sz w:val="18"/>
          <w:szCs w:val="18"/>
          <w:b w:val="1"/>
          <w:bCs w:val="1"/>
          <w:color w:val="auto"/>
        </w:rPr>
      </w:pPr>
    </w:p>
    <w:p>
      <w:pPr>
        <w:ind w:left="4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on July 1, 2017,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81" w:lineRule="exact"/>
        <w:rPr>
          <w:rFonts w:ascii="Arial" w:cs="Arial" w:eastAsia="Arial" w:hAnsi="Arial"/>
          <w:sz w:val="18"/>
          <w:szCs w:val="18"/>
          <w:b w:val="1"/>
          <w:bCs w:val="1"/>
          <w:color w:val="auto"/>
        </w:rPr>
      </w:pPr>
    </w:p>
    <w:p>
      <w:pPr>
        <w:ind w:left="48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July 1, 2017, we had outstanding purchase commitments on commenced capital projects of approximately $29.5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80"/>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ind w:left="480" w:right="120"/>
        <w:spacing w:after="0" w:line="255"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July 1, 2017 we had approximately $8.2 million outstanding payment and performance bonds for open projects. We had approximately $2.3 million in payment and performance bonds outstanding for completed projects which are still under warranty.</w:t>
      </w:r>
    </w:p>
    <w:p>
      <w:pPr>
        <w:spacing w:after="0" w:line="189" w:lineRule="exact"/>
        <w:rPr>
          <w:sz w:val="20"/>
          <w:szCs w:val="20"/>
          <w:color w:val="auto"/>
        </w:rPr>
      </w:pPr>
    </w:p>
    <w:p>
      <w:pPr>
        <w:ind w:left="480" w:right="460"/>
        <w:spacing w:after="0" w:line="277" w:lineRule="auto"/>
        <w:rPr>
          <w:sz w:val="20"/>
          <w:szCs w:val="20"/>
          <w:color w:val="auto"/>
        </w:rPr>
      </w:pPr>
      <w:r>
        <w:rPr>
          <w:rFonts w:ascii="Arial" w:cs="Arial" w:eastAsia="Arial" w:hAnsi="Arial"/>
          <w:sz w:val="18"/>
          <w:szCs w:val="18"/>
          <w:color w:val="auto"/>
        </w:rPr>
        <w:t>On July 1, 2017, we had outstanding letters of credit totaling $26.5 million, primarily related to certain insurance contracts and industrial development revenue bonds described further below.</w:t>
      </w:r>
    </w:p>
    <w:p>
      <w:pPr>
        <w:spacing w:after="0" w:line="170" w:lineRule="exact"/>
        <w:rPr>
          <w:sz w:val="20"/>
          <w:szCs w:val="20"/>
          <w:color w:val="auto"/>
        </w:rPr>
      </w:pPr>
    </w:p>
    <w:p>
      <w:pPr>
        <w:jc w:val="both"/>
        <w:ind w:left="500" w:right="160"/>
        <w:spacing w:after="0" w:line="302"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We currently have irrevocable letters of credit outstanding totaling approximately $16.7 million for these types of insurance arrangements. We have reserves recorded on our balance sheet, in accrued liabilities, that reflect our expected future liabilities under these insurance arrangements.</w:t>
      </w:r>
    </w:p>
    <w:p>
      <w:pPr>
        <w:spacing w:after="0" w:line="154" w:lineRule="exact"/>
        <w:rPr>
          <w:sz w:val="20"/>
          <w:szCs w:val="20"/>
          <w:color w:val="auto"/>
        </w:rPr>
      </w:pPr>
    </w:p>
    <w:p>
      <w:pPr>
        <w:ind w:left="480" w:right="100"/>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ind w:left="480" w:right="280"/>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71" w:lineRule="exact"/>
        <w:rPr>
          <w:sz w:val="20"/>
          <w:szCs w:val="20"/>
          <w:color w:val="auto"/>
        </w:rPr>
      </w:pPr>
    </w:p>
    <w:p>
      <w:pPr>
        <w:ind w:left="480" w:right="260"/>
        <w:spacing w:after="0" w:line="277" w:lineRule="auto"/>
        <w:rPr>
          <w:sz w:val="20"/>
          <w:szCs w:val="20"/>
          <w:color w:val="auto"/>
        </w:rPr>
      </w:pPr>
      <w:r>
        <w:rPr>
          <w:rFonts w:ascii="Arial" w:cs="Arial" w:eastAsia="Arial" w:hAnsi="Arial"/>
          <w:sz w:val="18"/>
          <w:szCs w:val="18"/>
          <w:color w:val="auto"/>
        </w:rPr>
        <w:t>We did not enter into any new guarantee arrangements during the second quarter of 2017 which would require us to recognize a liability on our balance sheet.</w:t>
      </w:r>
    </w:p>
    <w:p>
      <w:pPr>
        <w:spacing w:after="0" w:line="166" w:lineRule="exact"/>
        <w:rPr>
          <w:sz w:val="20"/>
          <w:szCs w:val="20"/>
          <w:color w:val="auto"/>
        </w:rPr>
      </w:pPr>
    </w:p>
    <w:p>
      <w:pPr>
        <w:ind w:left="460" w:hanging="457"/>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480" w:right="440"/>
        <w:spacing w:after="0" w:line="277" w:lineRule="auto"/>
        <w:rPr>
          <w:sz w:val="20"/>
          <w:szCs w:val="20"/>
          <w:color w:val="auto"/>
        </w:rPr>
      </w:pPr>
      <w:r>
        <w:rPr>
          <w:rFonts w:ascii="Arial" w:cs="Arial" w:eastAsia="Arial" w:hAnsi="Arial"/>
          <w:sz w:val="18"/>
          <w:szCs w:val="18"/>
          <w:color w:val="auto"/>
        </w:rPr>
        <w:t>We completed the following acquisitions in six months ended 2017 and 2016 which were accounted for using the purchase method in thousands unless otherwise noted: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300" w:type="dxa"/>
            <w:vAlign w:val="bottom"/>
            <w:tcBorders>
              <w:top w:val="single" w:sz="8" w:color="auto"/>
              <w:left w:val="single" w:sz="8" w:color="auto"/>
              <w:righ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spacing w:after="0"/>
              <w:rPr>
                <w:sz w:val="17"/>
                <w:szCs w:val="17"/>
                <w:color w:val="auto"/>
              </w:rPr>
            </w:pPr>
          </w:p>
        </w:tc>
        <w:tc>
          <w:tcPr>
            <w:tcW w:w="194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2"/>
              </w:rPr>
              <w:t>Net</w:t>
            </w:r>
          </w:p>
        </w:tc>
        <w:tc>
          <w:tcPr>
            <w:tcW w:w="7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Company</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Acquisition</w:t>
            </w:r>
          </w:p>
        </w:tc>
        <w:tc>
          <w:tcPr>
            <w:tcW w:w="19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5"/>
              </w:rPr>
              <w:t>Intangible</w:t>
            </w:r>
          </w:p>
        </w:tc>
        <w:tc>
          <w:tcPr>
            <w:tcW w:w="180" w:type="dxa"/>
            <w:vAlign w:val="bottom"/>
          </w:tcPr>
          <w:p>
            <w:pPr>
              <w:spacing w:after="0"/>
              <w:rPr>
                <w:sz w:val="17"/>
                <w:szCs w:val="17"/>
                <w:color w:val="auto"/>
              </w:rPr>
            </w:pPr>
          </w:p>
        </w:tc>
        <w:tc>
          <w:tcPr>
            <w:tcW w:w="104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1"/>
              </w:rPr>
              <w:t>Tangible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Operating</w:t>
            </w:r>
          </w:p>
        </w:tc>
        <w:tc>
          <w:tcPr>
            <w:tcW w:w="0" w:type="dxa"/>
            <w:vAlign w:val="bottom"/>
          </w:tcPr>
          <w:p>
            <w:pPr>
              <w:spacing w:after="0"/>
              <w:rPr>
                <w:sz w:val="1"/>
                <w:szCs w:val="1"/>
                <w:color w:val="auto"/>
              </w:rPr>
            </w:pPr>
          </w:p>
        </w:tc>
      </w:tr>
      <w:tr>
        <w:trPr>
          <w:trHeight w:val="223"/>
        </w:trPr>
        <w:tc>
          <w:tcPr>
            <w:tcW w:w="2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Name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Purchase Price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3"/>
              </w:rPr>
              <w:t>Assets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79"/>
              </w:rPr>
              <w:t>Assets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93"/>
        </w:trPr>
        <w:tc>
          <w:tcPr>
            <w:tcW w:w="2300" w:type="dxa"/>
            <w:vAlign w:val="bottom"/>
            <w:tcBorders>
              <w:left w:val="single" w:sz="8" w:color="auto"/>
              <w:right w:val="single" w:sz="8" w:color="auto"/>
            </w:tcBorders>
            <w:shd w:val="clear" w:color="auto" w:fill="CCEEFF"/>
          </w:tcPr>
          <w:p>
            <w:pPr>
              <w:spacing w:after="0"/>
              <w:rPr>
                <w:sz w:val="16"/>
                <w:szCs w:val="16"/>
                <w:color w:val="auto"/>
              </w:rPr>
            </w:pPr>
          </w:p>
        </w:tc>
        <w:tc>
          <w:tcPr>
            <w:tcW w:w="1600" w:type="dxa"/>
            <w:vAlign w:val="bottom"/>
            <w:tcBorders>
              <w:right w:val="single" w:sz="8" w:color="auto"/>
            </w:tcBorders>
            <w:shd w:val="clear" w:color="auto" w:fill="CCEEFF"/>
          </w:tcPr>
          <w:p>
            <w:pPr>
              <w:spacing w:after="0"/>
              <w:rPr>
                <w:sz w:val="16"/>
                <w:szCs w:val="16"/>
                <w:color w:val="auto"/>
              </w:rPr>
            </w:pPr>
          </w:p>
        </w:tc>
        <w:tc>
          <w:tcPr>
            <w:tcW w:w="19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$5,042</w:t>
            </w:r>
          </w:p>
        </w:tc>
        <w:tc>
          <w:tcPr>
            <w:tcW w:w="140" w:type="dxa"/>
            <w:vAlign w:val="bottom"/>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16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May 26, 2017</w:t>
            </w:r>
          </w:p>
        </w:tc>
        <w:tc>
          <w:tcPr>
            <w:tcW w:w="19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5"/>
              </w:rPr>
              <w:t>South</w:t>
            </w:r>
          </w:p>
        </w:tc>
        <w:tc>
          <w:tcPr>
            <w:tcW w:w="0" w:type="dxa"/>
            <w:vAlign w:val="bottom"/>
          </w:tcPr>
          <w:p>
            <w:pPr>
              <w:spacing w:after="0"/>
              <w:rPr>
                <w:sz w:val="1"/>
                <w:szCs w:val="1"/>
                <w:color w:val="auto"/>
              </w:rPr>
            </w:pPr>
          </w:p>
        </w:tc>
      </w:tr>
      <w:tr>
        <w:trPr>
          <w:trHeight w:val="209"/>
        </w:trPr>
        <w:tc>
          <w:tcPr>
            <w:tcW w:w="230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Go Boy Pallets, LLC ("Go Boy")</w:t>
            </w: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9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78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5"/>
              </w:rPr>
              <w:t>A manufacturer and distributor of industrial pallets and packaging in Georgia and North Carolina. Go</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678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3"/>
              </w:rPr>
              <w:t>Boy has annual sales of approximately $8 million. The acquisition of Go Boy enabled us to expand our</w:t>
            </w:r>
          </w:p>
        </w:tc>
        <w:tc>
          <w:tcPr>
            <w:tcW w:w="0" w:type="dxa"/>
            <w:vAlign w:val="bottom"/>
          </w:tcPr>
          <w:p>
            <w:pPr>
              <w:spacing w:after="0"/>
              <w:rPr>
                <w:sz w:val="1"/>
                <w:szCs w:val="1"/>
                <w:color w:val="auto"/>
              </w:rPr>
            </w:pPr>
          </w:p>
        </w:tc>
      </w:tr>
      <w:tr>
        <w:trPr>
          <w:trHeight w:val="219"/>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4780" w:type="dxa"/>
            <w:vAlign w:val="bottom"/>
            <w:tcBorders>
              <w:bottom w:val="single" w:sz="8" w:color="auto"/>
              <w:right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w w:val="93"/>
              </w:rPr>
              <w:t>industrial packaging product offering and lumber sourcing in this region.</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3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$31,818</w:t>
            </w:r>
          </w:p>
        </w:tc>
        <w:tc>
          <w:tcPr>
            <w:tcW w:w="3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March 6, 2017</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7,533</w:t>
            </w:r>
          </w:p>
        </w:tc>
        <w:tc>
          <w:tcPr>
            <w:tcW w:w="660" w:type="dxa"/>
            <w:vAlign w:val="bottom"/>
          </w:tcPr>
          <w:p>
            <w:pPr>
              <w:jc w:val="right"/>
              <w:ind w:right="504"/>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8"/>
              </w:rPr>
              <w:t>24,285</w:t>
            </w:r>
          </w:p>
        </w:tc>
        <w:tc>
          <w:tcPr>
            <w:tcW w:w="60" w:type="dxa"/>
            <w:vAlign w:val="bottom"/>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South</w:t>
            </w:r>
          </w:p>
        </w:tc>
        <w:tc>
          <w:tcPr>
            <w:tcW w:w="0" w:type="dxa"/>
            <w:vAlign w:val="bottom"/>
          </w:tcPr>
          <w:p>
            <w:pPr>
              <w:spacing w:after="0"/>
              <w:rPr>
                <w:sz w:val="1"/>
                <w:szCs w:val="1"/>
                <w:color w:val="auto"/>
              </w:rPr>
            </w:pPr>
          </w:p>
        </w:tc>
      </w:tr>
      <w:tr>
        <w:trPr>
          <w:trHeight w:val="209"/>
        </w:trPr>
        <w:tc>
          <w:tcPr>
            <w:tcW w:w="2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Robbins Manufacturing Co.</w:t>
            </w:r>
          </w:p>
        </w:tc>
        <w:tc>
          <w:tcPr>
            <w:tcW w:w="158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00" w:type="dxa"/>
            <w:vAlign w:val="bottom"/>
            <w:tcBorders>
              <w:left w:val="single" w:sz="8" w:color="auto"/>
              <w:right w:val="single" w:sz="8" w:color="auto"/>
            </w:tcBorders>
            <w:vMerge w:val="continue"/>
          </w:tcPr>
          <w:p>
            <w:pPr>
              <w:spacing w:after="0"/>
              <w:rPr>
                <w:sz w:val="15"/>
                <w:szCs w:val="15"/>
                <w:color w:val="auto"/>
              </w:rPr>
            </w:pPr>
          </w:p>
        </w:tc>
        <w:tc>
          <w:tcPr>
            <w:tcW w:w="6040" w:type="dxa"/>
            <w:vAlign w:val="bottom"/>
            <w:gridSpan w:val="7"/>
          </w:tcPr>
          <w:p>
            <w:pPr>
              <w:spacing w:after="0" w:line="176" w:lineRule="exact"/>
              <w:rPr>
                <w:sz w:val="20"/>
                <w:szCs w:val="20"/>
                <w:color w:val="auto"/>
              </w:rPr>
            </w:pPr>
            <w:r>
              <w:rPr>
                <w:rFonts w:ascii="Arial" w:cs="Arial" w:eastAsia="Arial" w:hAnsi="Arial"/>
                <w:sz w:val="16"/>
                <w:szCs w:val="16"/>
                <w:color w:val="auto"/>
              </w:rPr>
              <w:t>A manufacturer of treated wood products with facilities in Florida, Georgia, and North</w:t>
            </w: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("Robbins")</w:t>
            </w:r>
          </w:p>
        </w:tc>
        <w:tc>
          <w:tcPr>
            <w:tcW w:w="678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4"/>
              </w:rPr>
              <w:t>Carolina. Robbins has annual sales of approximately $86 million. The acquisition of Robbins allowed</w:t>
            </w:r>
          </w:p>
        </w:tc>
        <w:tc>
          <w:tcPr>
            <w:tcW w:w="0" w:type="dxa"/>
            <w:vAlign w:val="bottom"/>
          </w:tcPr>
          <w:p>
            <w:pPr>
              <w:spacing w:after="0"/>
              <w:rPr>
                <w:sz w:val="1"/>
                <w:szCs w:val="1"/>
                <w:color w:val="auto"/>
              </w:rPr>
            </w:pPr>
          </w:p>
        </w:tc>
      </w:tr>
      <w:tr>
        <w:trPr>
          <w:trHeight w:val="219"/>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91"/>
              </w:rPr>
              <w:t>us to expand our presence in this region and serve customers more cost effectively.</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300" w:type="dxa"/>
            <w:vAlign w:val="bottom"/>
            <w:tcBorders>
              <w:left w:val="single" w:sz="8" w:color="auto"/>
              <w:right w:val="single" w:sz="8" w:color="auto"/>
            </w:tcBorders>
            <w:shd w:val="clear" w:color="auto" w:fill="CCEEFF"/>
          </w:tcPr>
          <w:p>
            <w:pPr>
              <w:spacing w:after="0"/>
              <w:rPr>
                <w:sz w:val="16"/>
                <w:szCs w:val="16"/>
                <w:color w:val="auto"/>
              </w:rPr>
            </w:pPr>
          </w:p>
        </w:tc>
        <w:tc>
          <w:tcPr>
            <w:tcW w:w="1580" w:type="dxa"/>
            <w:vAlign w:val="bottom"/>
            <w:tcBorders>
              <w:right w:val="single" w:sz="8" w:color="auto"/>
            </w:tcBorders>
            <w:shd w:val="clear" w:color="auto" w:fill="CCEEFF"/>
          </w:tcPr>
          <w:p>
            <w:pPr>
              <w:spacing w:after="0"/>
              <w:rPr>
                <w:sz w:val="16"/>
                <w:szCs w:val="16"/>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$22,789</w:t>
            </w:r>
          </w:p>
        </w:tc>
        <w:tc>
          <w:tcPr>
            <w:tcW w:w="3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March 6, 2017</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14,341</w:t>
            </w:r>
          </w:p>
        </w:tc>
        <w:tc>
          <w:tcPr>
            <w:tcW w:w="6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8,448</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9"/>
        </w:trPr>
        <w:tc>
          <w:tcPr>
            <w:tcW w:w="230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Quality Hardwood Sales, LLC</w:t>
            </w: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00" w:type="dxa"/>
            <w:vAlign w:val="bottom"/>
            <w:tcBorders>
              <w:left w:val="single" w:sz="8" w:color="auto"/>
              <w:right w:val="single" w:sz="8" w:color="auto"/>
            </w:tcBorders>
            <w:vMerge w:val="continue"/>
            <w:shd w:val="clear" w:color="auto" w:fill="CCEEFF"/>
          </w:tcPr>
          <w:p>
            <w:pPr>
              <w:spacing w:after="0"/>
              <w:rPr>
                <w:sz w:val="15"/>
                <w:szCs w:val="15"/>
                <w:color w:val="auto"/>
              </w:rPr>
            </w:pPr>
          </w:p>
        </w:tc>
        <w:tc>
          <w:tcPr>
            <w:tcW w:w="6780" w:type="dxa"/>
            <w:vAlign w:val="bottom"/>
            <w:tcBorders>
              <w:right w:val="single" w:sz="8" w:color="auto"/>
            </w:tcBorders>
            <w:gridSpan w:val="8"/>
            <w:shd w:val="clear" w:color="auto" w:fill="CCEEFF"/>
          </w:tcPr>
          <w:p>
            <w:pPr>
              <w:spacing w:after="0" w:line="176" w:lineRule="exact"/>
              <w:rPr>
                <w:sz w:val="20"/>
                <w:szCs w:val="20"/>
                <w:color w:val="auto"/>
              </w:rPr>
            </w:pPr>
            <w:r>
              <w:rPr>
                <w:rFonts w:ascii="Arial" w:cs="Arial" w:eastAsia="Arial" w:hAnsi="Arial"/>
                <w:sz w:val="16"/>
                <w:szCs w:val="16"/>
                <w:color w:val="auto"/>
                <w:w w:val="94"/>
              </w:rPr>
              <w:t>A manufacturer and supplier of hardwood products, including components of cabinets used in homes</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("Quality")</w:t>
            </w:r>
          </w:p>
        </w:tc>
        <w:tc>
          <w:tcPr>
            <w:tcW w:w="678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6"/>
              </w:rPr>
              <w:t>and recreational vehicles. Quality has annual sales of approximately $30 million. The acquisition of</w:t>
            </w:r>
          </w:p>
        </w:tc>
        <w:tc>
          <w:tcPr>
            <w:tcW w:w="0" w:type="dxa"/>
            <w:vAlign w:val="bottom"/>
          </w:tcPr>
          <w:p>
            <w:pPr>
              <w:spacing w:after="0"/>
              <w:rPr>
                <w:sz w:val="1"/>
                <w:szCs w:val="1"/>
                <w:color w:val="auto"/>
              </w:rPr>
            </w:pPr>
          </w:p>
        </w:tc>
      </w:tr>
      <w:tr>
        <w:trPr>
          <w:trHeight w:val="219"/>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7"/>
              </w:rPr>
              <w:t>Quality enabled us to expand our product offering to include hardwood-based products.</w:t>
            </w: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3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$9,455</w:t>
            </w:r>
          </w:p>
        </w:tc>
        <w:tc>
          <w:tcPr>
            <w:tcW w:w="3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November 29, 2016</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cash paid for 100% stock</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7,313</w:t>
            </w:r>
          </w:p>
        </w:tc>
        <w:tc>
          <w:tcPr>
            <w:tcW w:w="660" w:type="dxa"/>
            <w:vAlign w:val="bottom"/>
          </w:tcPr>
          <w:p>
            <w:pPr>
              <w:jc w:val="right"/>
              <w:ind w:right="504"/>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2,142</w:t>
            </w:r>
          </w:p>
        </w:tc>
        <w:tc>
          <w:tcPr>
            <w:tcW w:w="60" w:type="dxa"/>
            <w:vAlign w:val="bottom"/>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All Other</w:t>
            </w:r>
          </w:p>
        </w:tc>
        <w:tc>
          <w:tcPr>
            <w:tcW w:w="0" w:type="dxa"/>
            <w:vAlign w:val="bottom"/>
          </w:tcPr>
          <w:p>
            <w:pPr>
              <w:spacing w:after="0"/>
              <w:rPr>
                <w:sz w:val="1"/>
                <w:szCs w:val="1"/>
                <w:color w:val="auto"/>
              </w:rPr>
            </w:pPr>
          </w:p>
        </w:tc>
      </w:tr>
      <w:tr>
        <w:trPr>
          <w:trHeight w:val="209"/>
        </w:trPr>
        <w:tc>
          <w:tcPr>
            <w:tcW w:w="2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The UBEECO Group Pty. Ltd.</w:t>
            </w:r>
          </w:p>
        </w:tc>
        <w:tc>
          <w:tcPr>
            <w:tcW w:w="158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00" w:type="dxa"/>
            <w:vAlign w:val="bottom"/>
            <w:tcBorders>
              <w:left w:val="single" w:sz="8" w:color="auto"/>
              <w:right w:val="single" w:sz="8" w:color="auto"/>
            </w:tcBorders>
            <w:vMerge w:val="continue"/>
          </w:tcPr>
          <w:p>
            <w:pPr>
              <w:spacing w:after="0"/>
              <w:rPr>
                <w:sz w:val="15"/>
                <w:szCs w:val="15"/>
                <w:color w:val="auto"/>
              </w:rPr>
            </w:pPr>
          </w:p>
        </w:tc>
        <w:tc>
          <w:tcPr>
            <w:tcW w:w="6780" w:type="dxa"/>
            <w:vAlign w:val="bottom"/>
            <w:tcBorders>
              <w:right w:val="single" w:sz="8" w:color="auto"/>
            </w:tcBorders>
            <w:gridSpan w:val="8"/>
          </w:tcPr>
          <w:p>
            <w:pPr>
              <w:spacing w:after="0" w:line="176" w:lineRule="exact"/>
              <w:rPr>
                <w:sz w:val="20"/>
                <w:szCs w:val="20"/>
                <w:color w:val="auto"/>
              </w:rPr>
            </w:pPr>
            <w:r>
              <w:rPr>
                <w:rFonts w:ascii="Arial" w:cs="Arial" w:eastAsia="Arial" w:hAnsi="Arial"/>
                <w:sz w:val="16"/>
                <w:szCs w:val="16"/>
                <w:color w:val="auto"/>
                <w:w w:val="99"/>
              </w:rPr>
              <w:t>A manufacturer and distributor of a variety of wood packaging and alternative material products,</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("Ubeeco")</w:t>
            </w:r>
          </w:p>
        </w:tc>
        <w:tc>
          <w:tcPr>
            <w:tcW w:w="678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3"/>
              </w:rPr>
              <w:t>including boxes, crates, pallets, skids, protective packaging, packaging accessories and loose lumber.</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678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5"/>
              </w:rPr>
              <w:t>Ubeeco has annual sales of approximately $20 million. The acquisition of Ubeeco allows us to make</w:t>
            </w:r>
          </w:p>
        </w:tc>
        <w:tc>
          <w:tcPr>
            <w:tcW w:w="0" w:type="dxa"/>
            <w:vAlign w:val="bottom"/>
          </w:tcPr>
          <w:p>
            <w:pPr>
              <w:spacing w:after="0"/>
              <w:rPr>
                <w:sz w:val="1"/>
                <w:szCs w:val="1"/>
                <w:color w:val="auto"/>
              </w:rPr>
            </w:pPr>
          </w:p>
        </w:tc>
      </w:tr>
      <w:tr>
        <w:trPr>
          <w:trHeight w:val="219"/>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542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progress on our goal of becoming a global provider of packaging solutions.</w:t>
            </w: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300" w:type="dxa"/>
            <w:vAlign w:val="bottom"/>
            <w:tcBorders>
              <w:left w:val="single" w:sz="8" w:color="auto"/>
              <w:right w:val="single" w:sz="8" w:color="auto"/>
            </w:tcBorders>
            <w:shd w:val="clear" w:color="auto" w:fill="CCEEFF"/>
          </w:tcPr>
          <w:p>
            <w:pPr>
              <w:spacing w:after="0"/>
              <w:rPr>
                <w:sz w:val="16"/>
                <w:szCs w:val="16"/>
                <w:color w:val="auto"/>
              </w:rPr>
            </w:pPr>
          </w:p>
        </w:tc>
        <w:tc>
          <w:tcPr>
            <w:tcW w:w="1580" w:type="dxa"/>
            <w:vAlign w:val="bottom"/>
            <w:tcBorders>
              <w:right w:val="single" w:sz="8" w:color="auto"/>
            </w:tcBorders>
            <w:shd w:val="clear" w:color="auto" w:fill="CCEEFF"/>
          </w:tcPr>
          <w:p>
            <w:pPr>
              <w:spacing w:after="0"/>
              <w:rPr>
                <w:sz w:val="16"/>
                <w:szCs w:val="16"/>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$66,046</w:t>
            </w:r>
          </w:p>
        </w:tc>
        <w:tc>
          <w:tcPr>
            <w:tcW w:w="3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cash paid for 100% stock</w:t>
            </w:r>
          </w:p>
        </w:tc>
        <w:tc>
          <w:tcPr>
            <w:tcW w:w="3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purchase which includes</w:t>
            </w:r>
          </w:p>
        </w:tc>
        <w:tc>
          <w:tcPr>
            <w:tcW w:w="3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16, 2016</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$11,337 in net cash received.</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17,016</w:t>
            </w:r>
          </w:p>
        </w:tc>
        <w:tc>
          <w:tcPr>
            <w:tcW w:w="6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49,030</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All Other</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Also, paid $86,294 to retire</w:t>
            </w:r>
          </w:p>
        </w:tc>
        <w:tc>
          <w:tcPr>
            <w:tcW w:w="3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spacing w:after="0"/>
              <w:rPr>
                <w:sz w:val="17"/>
                <w:szCs w:val="17"/>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outstanding debt and $6,536</w:t>
            </w:r>
          </w:p>
        </w:tc>
        <w:tc>
          <w:tcPr>
            <w:tcW w:w="3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0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of certain other obligations.</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right w:val="single" w:sz="8" w:color="auto"/>
            </w:tcBorders>
            <w:shd w:val="clear" w:color="auto" w:fill="CCEEFF"/>
          </w:tcPr>
          <w:p>
            <w:pPr>
              <w:spacing w:after="0"/>
              <w:rPr>
                <w:sz w:val="16"/>
                <w:szCs w:val="16"/>
                <w:color w:val="auto"/>
              </w:rPr>
            </w:pPr>
          </w:p>
        </w:tc>
        <w:tc>
          <w:tcPr>
            <w:tcW w:w="678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2"/>
              </w:rPr>
              <w:t>A designer, producer, and installer of customized interior fixtures and related products used in a variety</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678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6"/>
              </w:rPr>
              <w:t>of commercial structures. idX has annual sales of $300 million. The acquisition of idX enables us to</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678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3"/>
              </w:rPr>
              <w:t>enhance our design, product and service offering to become a tier 1 supplier of interior fixtures to retail</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678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4"/>
              </w:rPr>
              <w:t>customers, and continue to use idX's capabilities to continue to develop new markets for growth. Our</w:t>
            </w:r>
          </w:p>
        </w:tc>
        <w:tc>
          <w:tcPr>
            <w:tcW w:w="0" w:type="dxa"/>
            <w:vAlign w:val="bottom"/>
          </w:tcPr>
          <w:p>
            <w:pPr>
              <w:spacing w:after="0"/>
              <w:rPr>
                <w:sz w:val="1"/>
                <w:szCs w:val="1"/>
                <w:color w:val="auto"/>
              </w:rPr>
            </w:pPr>
          </w:p>
        </w:tc>
      </w:tr>
      <w:tr>
        <w:trPr>
          <w:trHeight w:val="206"/>
        </w:trPr>
        <w:tc>
          <w:tcPr>
            <w:tcW w:w="23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idX Holdings, Inc. ("idX")</w:t>
            </w:r>
          </w:p>
        </w:tc>
        <w:tc>
          <w:tcPr>
            <w:tcW w:w="3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goal is to achieve long-term synergies, including:</w:t>
            </w:r>
          </w:p>
        </w:tc>
        <w:tc>
          <w:tcPr>
            <w:tcW w:w="3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w:t>
            </w: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Eliminating redundant administrative support costs.</w:t>
            </w: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00" w:type="dxa"/>
            <w:vAlign w:val="bottom"/>
            <w:tcBorders>
              <w:left w:val="single" w:sz="8" w:color="auto"/>
              <w:right w:val="single" w:sz="8" w:color="auto"/>
            </w:tcBorders>
            <w:shd w:val="clear" w:color="auto" w:fill="CCEEFF"/>
          </w:tcPr>
          <w:p>
            <w:pPr>
              <w:spacing w:after="0"/>
              <w:rPr>
                <w:sz w:val="18"/>
                <w:szCs w:val="18"/>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b.</w:t>
            </w:r>
          </w:p>
        </w:tc>
        <w:tc>
          <w:tcPr>
            <w:tcW w:w="52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1"/>
              </w:rPr>
              <w:t>Using the scale advantage of the Company to reduce material costs of common</w:t>
            </w: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right w:val="single" w:sz="8" w:color="auto"/>
            </w:tcBorders>
            <w:shd w:val="clear" w:color="auto" w:fill="CCEEFF"/>
          </w:tcPr>
          <w:p>
            <w:pPr>
              <w:spacing w:after="0"/>
              <w:rPr>
                <w:sz w:val="16"/>
                <w:szCs w:val="16"/>
                <w:color w:val="auto"/>
              </w:rPr>
            </w:pPr>
          </w:p>
        </w:tc>
        <w:tc>
          <w:tcPr>
            <w:tcW w:w="1580" w:type="dxa"/>
            <w:vAlign w:val="bottom"/>
            <w:tcBorders>
              <w:right w:val="single" w:sz="8" w:color="CCEEFF"/>
            </w:tcBorders>
            <w:shd w:val="clear" w:color="auto" w:fill="CCEEFF"/>
          </w:tcPr>
          <w:p>
            <w:pPr>
              <w:spacing w:after="0"/>
              <w:rPr>
                <w:sz w:val="16"/>
                <w:szCs w:val="16"/>
                <w:color w:val="auto"/>
              </w:rPr>
            </w:pPr>
          </w:p>
        </w:tc>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raw materials.</w:t>
            </w:r>
          </w:p>
        </w:tc>
        <w:tc>
          <w:tcPr>
            <w:tcW w:w="3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c.</w:t>
            </w:r>
          </w:p>
        </w:tc>
        <w:tc>
          <w:tcPr>
            <w:tcW w:w="52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8"/>
              </w:rPr>
              <w:t>Utilizing manufacturing capacity of certain existing locations to supply idX.</w:t>
            </w:r>
          </w:p>
        </w:tc>
        <w:tc>
          <w:tcPr>
            <w:tcW w:w="0" w:type="dxa"/>
            <w:vAlign w:val="bottom"/>
          </w:tcPr>
          <w:p>
            <w:pPr>
              <w:spacing w:after="0"/>
              <w:rPr>
                <w:sz w:val="1"/>
                <w:szCs w:val="1"/>
                <w:color w:val="auto"/>
              </w:rPr>
            </w:pPr>
          </w:p>
        </w:tc>
      </w:tr>
      <w:tr>
        <w:trPr>
          <w:trHeight w:val="217"/>
        </w:trPr>
        <w:tc>
          <w:tcPr>
            <w:tcW w:w="2300" w:type="dxa"/>
            <w:vAlign w:val="bottom"/>
            <w:tcBorders>
              <w:left w:val="single" w:sz="8" w:color="auto"/>
              <w:right w:val="single" w:sz="8" w:color="auto"/>
            </w:tcBorders>
            <w:shd w:val="clear" w:color="auto" w:fill="CCEEFF"/>
          </w:tcPr>
          <w:p>
            <w:pPr>
              <w:spacing w:after="0"/>
              <w:rPr>
                <w:sz w:val="18"/>
                <w:szCs w:val="18"/>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w:t>
            </w:r>
          </w:p>
        </w:tc>
        <w:tc>
          <w:tcPr>
            <w:tcW w:w="520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Utilizing idX’s international footprint to identify sourcing opportunities for</w:t>
            </w: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right w:val="single" w:sz="8" w:color="auto"/>
            </w:tcBorders>
            <w:shd w:val="clear" w:color="auto" w:fill="CCEEFF"/>
          </w:tcPr>
          <w:p>
            <w:pPr>
              <w:spacing w:after="0"/>
              <w:rPr>
                <w:sz w:val="16"/>
                <w:szCs w:val="16"/>
                <w:color w:val="auto"/>
              </w:rPr>
            </w:pPr>
          </w:p>
        </w:tc>
        <w:tc>
          <w:tcPr>
            <w:tcW w:w="1580" w:type="dxa"/>
            <w:vAlign w:val="bottom"/>
            <w:tcBorders>
              <w:right w:val="single" w:sz="8" w:color="CCEEFF"/>
            </w:tcBorders>
            <w:shd w:val="clear" w:color="auto" w:fill="CCEEFF"/>
          </w:tcPr>
          <w:p>
            <w:pPr>
              <w:spacing w:after="0"/>
              <w:rPr>
                <w:sz w:val="16"/>
                <w:szCs w:val="16"/>
                <w:color w:val="auto"/>
              </w:rPr>
            </w:pPr>
          </w:p>
        </w:tc>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certain products.</w:t>
            </w:r>
          </w:p>
        </w:tc>
        <w:tc>
          <w:tcPr>
            <w:tcW w:w="3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300" w:type="dxa"/>
            <w:vAlign w:val="bottom"/>
            <w:tcBorders>
              <w:left w:val="single" w:sz="8" w:color="auto"/>
              <w:right w:val="single" w:sz="8" w:color="auto"/>
            </w:tcBorders>
            <w:shd w:val="clear" w:color="auto" w:fill="CCEEFF"/>
          </w:tcPr>
          <w:p>
            <w:pPr>
              <w:spacing w:after="0"/>
              <w:rPr>
                <w:sz w:val="18"/>
                <w:szCs w:val="18"/>
                <w:color w:val="auto"/>
              </w:rPr>
            </w:pP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e.</w:t>
            </w:r>
          </w:p>
        </w:tc>
        <w:tc>
          <w:tcPr>
            <w:tcW w:w="4460" w:type="dxa"/>
            <w:vAlign w:val="bottom"/>
            <w:gridSpan w:val="6"/>
            <w:shd w:val="clear" w:color="auto" w:fill="CCEEFF"/>
          </w:tcPr>
          <w:p>
            <w:pPr>
              <w:spacing w:after="0"/>
              <w:rPr>
                <w:sz w:val="20"/>
                <w:szCs w:val="20"/>
                <w:color w:val="auto"/>
              </w:rPr>
            </w:pPr>
            <w:r>
              <w:rPr>
                <w:rFonts w:ascii="Arial" w:cs="Arial" w:eastAsia="Arial" w:hAnsi="Arial"/>
                <w:sz w:val="16"/>
                <w:szCs w:val="16"/>
                <w:color w:val="auto"/>
                <w:w w:val="90"/>
              </w:rPr>
              <w:t>Cross selling one another’s products and services with our respective</w:t>
            </w:r>
          </w:p>
        </w:tc>
        <w:tc>
          <w:tcPr>
            <w:tcW w:w="7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right w:val="single" w:sz="8" w:color="auto"/>
            </w:tcBorders>
            <w:shd w:val="clear" w:color="auto" w:fill="CCEEFF"/>
          </w:tcPr>
          <w:p>
            <w:pPr>
              <w:spacing w:after="0"/>
              <w:rPr>
                <w:sz w:val="16"/>
                <w:szCs w:val="16"/>
                <w:color w:val="auto"/>
              </w:rPr>
            </w:pPr>
          </w:p>
        </w:tc>
        <w:tc>
          <w:tcPr>
            <w:tcW w:w="1580" w:type="dxa"/>
            <w:vAlign w:val="bottom"/>
            <w:tcBorders>
              <w:right w:val="single" w:sz="8" w:color="CCEEFF"/>
            </w:tcBorders>
            <w:shd w:val="clear" w:color="auto" w:fill="CCEEFF"/>
          </w:tcPr>
          <w:p>
            <w:pPr>
              <w:spacing w:after="0"/>
              <w:rPr>
                <w:sz w:val="16"/>
                <w:szCs w:val="16"/>
                <w:color w:val="auto"/>
              </w:rPr>
            </w:pPr>
          </w:p>
        </w:tc>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customers.</w:t>
            </w:r>
          </w:p>
        </w:tc>
        <w:tc>
          <w:tcPr>
            <w:tcW w:w="38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f.</w:t>
            </w:r>
          </w:p>
        </w:tc>
        <w:tc>
          <w:tcPr>
            <w:tcW w:w="38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6"/>
                <w:szCs w:val="16"/>
                <w:color w:val="auto"/>
              </w:rPr>
              <w:t>Collaborating on new product development.</w:t>
            </w:r>
          </w:p>
        </w:tc>
        <w:tc>
          <w:tcPr>
            <w:tcW w:w="560" w:type="dxa"/>
            <w:vAlign w:val="bottom"/>
            <w:tcBorders>
              <w:bottom w:val="single" w:sz="8" w:color="auto"/>
              <w:right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3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July 29, 2016</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$1,246</w:t>
            </w:r>
          </w:p>
        </w:tc>
        <w:tc>
          <w:tcPr>
            <w:tcW w:w="380" w:type="dxa"/>
            <w:vAlign w:val="bottom"/>
            <w:vMerge w:val="restart"/>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405</w:t>
            </w:r>
          </w:p>
        </w:tc>
        <w:tc>
          <w:tcPr>
            <w:tcW w:w="660" w:type="dxa"/>
            <w:vAlign w:val="bottom"/>
            <w:vMerge w:val="restart"/>
          </w:tcPr>
          <w:p>
            <w:pPr>
              <w:jc w:val="right"/>
              <w:ind w:right="504"/>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841</w:t>
            </w:r>
          </w:p>
        </w:tc>
        <w:tc>
          <w:tcPr>
            <w:tcW w:w="60" w:type="dxa"/>
            <w:vAlign w:val="bottom"/>
          </w:tcPr>
          <w:p>
            <w:pPr>
              <w:spacing w:after="0"/>
              <w:rPr>
                <w:sz w:val="16"/>
                <w:szCs w:val="16"/>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9"/>
        </w:trPr>
        <w:tc>
          <w:tcPr>
            <w:tcW w:w="2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Seven D Truss, L.P.</w:t>
            </w: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cash paid for asset purchase</w:t>
            </w:r>
          </w:p>
        </w:tc>
        <w:tc>
          <w:tcPr>
            <w:tcW w:w="3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right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right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right w:val="single" w:sz="8" w:color="auto"/>
            </w:tcBorders>
            <w:vMerge w:val="continue"/>
          </w:tcPr>
          <w:p>
            <w:pPr>
              <w:spacing w:after="0"/>
              <w:rPr>
                <w:sz w:val="16"/>
                <w:szCs w:val="16"/>
                <w:color w:val="auto"/>
              </w:rPr>
            </w:pPr>
          </w:p>
        </w:tc>
        <w:tc>
          <w:tcPr>
            <w:tcW w:w="678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6"/>
              </w:rPr>
              <w:t>A manufacturer and distributor of roof and floor trusses. 7D had annual sales of approximately $4.0</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tcPr>
          <w:p>
            <w:pPr>
              <w:spacing w:after="0"/>
              <w:rPr>
                <w:sz w:val="17"/>
                <w:szCs w:val="17"/>
                <w:color w:val="auto"/>
              </w:rPr>
            </w:pPr>
          </w:p>
        </w:tc>
        <w:tc>
          <w:tcPr>
            <w:tcW w:w="6780" w:type="dxa"/>
            <w:vAlign w:val="bottom"/>
            <w:tcBorders>
              <w:right w:val="single" w:sz="8" w:color="auto"/>
            </w:tcBorders>
            <w:gridSpan w:val="8"/>
          </w:tcPr>
          <w:p>
            <w:pPr>
              <w:spacing w:after="0"/>
              <w:rPr>
                <w:sz w:val="20"/>
                <w:szCs w:val="20"/>
                <w:color w:val="auto"/>
              </w:rPr>
            </w:pPr>
            <w:r>
              <w:rPr>
                <w:rFonts w:ascii="Arial" w:cs="Arial" w:eastAsia="Arial" w:hAnsi="Arial"/>
                <w:sz w:val="16"/>
                <w:szCs w:val="16"/>
                <w:color w:val="auto"/>
                <w:w w:val="99"/>
              </w:rPr>
              <w:t>million. The acquisition of 7D gave us the opportunity to consolidate operations with our Gordon,</w:t>
            </w:r>
          </w:p>
        </w:tc>
        <w:tc>
          <w:tcPr>
            <w:tcW w:w="0" w:type="dxa"/>
            <w:vAlign w:val="bottom"/>
          </w:tcPr>
          <w:p>
            <w:pPr>
              <w:spacing w:after="0"/>
              <w:rPr>
                <w:sz w:val="1"/>
                <w:szCs w:val="1"/>
                <w:color w:val="auto"/>
              </w:rPr>
            </w:pPr>
          </w:p>
        </w:tc>
      </w:tr>
      <w:tr>
        <w:trPr>
          <w:trHeight w:val="219"/>
        </w:trPr>
        <w:tc>
          <w:tcPr>
            <w:tcW w:w="2300" w:type="dxa"/>
            <w:vAlign w:val="bottom"/>
            <w:tcBorders>
              <w:left w:val="single" w:sz="8" w:color="auto"/>
              <w:bottom w:val="single" w:sz="8" w:color="auto"/>
              <w:right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6"/>
              </w:rPr>
              <w:t>Pennsylvania location.</w:t>
            </w:r>
          </w:p>
        </w:tc>
        <w:tc>
          <w:tcPr>
            <w:tcW w:w="1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300" w:type="dxa"/>
            <w:vAlign w:val="bottom"/>
            <w:tcBorders>
              <w:left w:val="single" w:sz="8" w:color="auto"/>
              <w:right w:val="single" w:sz="8" w:color="auto"/>
            </w:tcBorders>
            <w:shd w:val="clear" w:color="auto" w:fill="CCEEFF"/>
          </w:tcPr>
          <w:p>
            <w:pPr>
              <w:spacing w:after="0"/>
              <w:rPr>
                <w:sz w:val="16"/>
                <w:szCs w:val="16"/>
                <w:color w:val="auto"/>
              </w:rPr>
            </w:pPr>
          </w:p>
        </w:tc>
        <w:tc>
          <w:tcPr>
            <w:tcW w:w="1580" w:type="dxa"/>
            <w:vAlign w:val="bottom"/>
            <w:tcBorders>
              <w:right w:val="single" w:sz="8" w:color="auto"/>
            </w:tcBorders>
            <w:shd w:val="clear" w:color="auto" w:fill="CCEEFF"/>
          </w:tcPr>
          <w:p>
            <w:pPr>
              <w:spacing w:after="0"/>
              <w:rPr>
                <w:sz w:val="16"/>
                <w:szCs w:val="16"/>
                <w:color w:val="auto"/>
              </w:rPr>
            </w:pP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$10,787</w:t>
            </w:r>
          </w:p>
        </w:tc>
        <w:tc>
          <w:tcPr>
            <w:tcW w:w="3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15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June 30, 2016</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cash paid for 100% stock</w:t>
            </w: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6,817</w:t>
            </w:r>
          </w:p>
        </w:tc>
        <w:tc>
          <w:tcPr>
            <w:tcW w:w="6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4,248</w:t>
            </w:r>
          </w:p>
        </w:tc>
        <w:tc>
          <w:tcPr>
            <w:tcW w:w="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209"/>
        </w:trPr>
        <w:tc>
          <w:tcPr>
            <w:tcW w:w="230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Idaho Western, Inc. ("IWI")</w:t>
            </w: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purchase plus $500 holdback.</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78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4"/>
              </w:rPr>
              <w:t>A supplier of products ranging from lumber and plywood to siding and doors. IWI had annual sales of</w:t>
            </w:r>
          </w:p>
        </w:tc>
        <w:tc>
          <w:tcPr>
            <w:tcW w:w="0" w:type="dxa"/>
            <w:vAlign w:val="bottom"/>
          </w:tcPr>
          <w:p>
            <w:pPr>
              <w:spacing w:after="0"/>
              <w:rPr>
                <w:sz w:val="1"/>
                <w:szCs w:val="1"/>
                <w:color w:val="auto"/>
              </w:rPr>
            </w:pPr>
          </w:p>
        </w:tc>
      </w:tr>
      <w:tr>
        <w:trPr>
          <w:trHeight w:val="203"/>
        </w:trPr>
        <w:tc>
          <w:tcPr>
            <w:tcW w:w="2300" w:type="dxa"/>
            <w:vAlign w:val="bottom"/>
            <w:tcBorders>
              <w:left w:val="single" w:sz="8" w:color="auto"/>
              <w:right w:val="single" w:sz="8" w:color="auto"/>
            </w:tcBorders>
            <w:shd w:val="clear" w:color="auto" w:fill="CCEEFF"/>
          </w:tcPr>
          <w:p>
            <w:pPr>
              <w:spacing w:after="0"/>
              <w:rPr>
                <w:sz w:val="17"/>
                <w:szCs w:val="17"/>
                <w:color w:val="auto"/>
              </w:rPr>
            </w:pPr>
          </w:p>
        </w:tc>
        <w:tc>
          <w:tcPr>
            <w:tcW w:w="6780" w:type="dxa"/>
            <w:vAlign w:val="bottom"/>
            <w:tcBorders>
              <w:right w:val="single" w:sz="8" w:color="auto"/>
            </w:tcBorders>
            <w:gridSpan w:val="8"/>
            <w:shd w:val="clear" w:color="auto" w:fill="CCEEFF"/>
          </w:tcPr>
          <w:p>
            <w:pPr>
              <w:spacing w:after="0"/>
              <w:rPr>
                <w:sz w:val="20"/>
                <w:szCs w:val="20"/>
                <w:color w:val="auto"/>
              </w:rPr>
            </w:pPr>
            <w:r>
              <w:rPr>
                <w:rFonts w:ascii="Arial" w:cs="Arial" w:eastAsia="Arial" w:hAnsi="Arial"/>
                <w:sz w:val="16"/>
                <w:szCs w:val="16"/>
                <w:color w:val="auto"/>
                <w:w w:val="95"/>
              </w:rPr>
              <w:t>approximately $21 million. The acquisition of IWI allowed us to expand our presence in Boise, Idaho</w:t>
            </w:r>
          </w:p>
        </w:tc>
        <w:tc>
          <w:tcPr>
            <w:tcW w:w="0" w:type="dxa"/>
            <w:vAlign w:val="bottom"/>
          </w:tcPr>
          <w:p>
            <w:pPr>
              <w:spacing w:after="0"/>
              <w:rPr>
                <w:sz w:val="1"/>
                <w:szCs w:val="1"/>
                <w:color w:val="auto"/>
              </w:rPr>
            </w:pPr>
          </w:p>
        </w:tc>
      </w:tr>
      <w:tr>
        <w:trPr>
          <w:trHeight w:val="219"/>
        </w:trPr>
        <w:tc>
          <w:tcPr>
            <w:tcW w:w="23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354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and consolidate with our Rapid Wood operations.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5"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auto"/>
        </w:rPr>
        <w:t>The intangible assets for each acquisition were finalized and allocated to their respective identifiable intangible asset and goodwill accounts during 2017, excluding idX, Ubeeco, Quality, Robbins, and Go Boy. Initial estimates have been made for idX, Ubeeco, Quality, and Robbins’ identifiable intangible and goodwill allocations and deferred tax which will be completed in 2017.</w:t>
      </w:r>
    </w:p>
    <w:p>
      <w:pPr>
        <w:spacing w:after="0" w:line="183" w:lineRule="exact"/>
        <w:rPr>
          <w:sz w:val="20"/>
          <w:szCs w:val="20"/>
          <w:color w:val="auto"/>
        </w:rPr>
      </w:pPr>
    </w:p>
    <w:p>
      <w:pPr>
        <w:ind w:left="500" w:hanging="497"/>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4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1" w:lineRule="exact"/>
        <w:rPr>
          <w:rFonts w:ascii="Arial" w:cs="Arial" w:eastAsia="Arial" w:hAnsi="Arial"/>
          <w:sz w:val="18"/>
          <w:szCs w:val="18"/>
          <w:b w:val="1"/>
          <w:bCs w:val="1"/>
          <w:color w:val="auto"/>
        </w:rPr>
      </w:pPr>
    </w:p>
    <w:p>
      <w:pPr>
        <w:ind w:left="48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our North, South, and West divisions. The exceptions to this geographic reporting and management structure are (a) the Company’s Alternative Materials Division, which offers a portfolio of non-wood products and distributes those products nation-wide (b) the Company’s distribution unit (referred to as UFPD) which distributes a variety of products to the manufactured housing industry nation-wide and is accounted for as a reporting unit within the North segment, and (c) the idX division, which designs, produces, and installs customized in-store environments, for customers world-wide.</w:t>
      </w:r>
    </w:p>
    <w:p>
      <w:pPr>
        <w:spacing w:after="0" w:line="166" w:lineRule="exact"/>
        <w:rPr>
          <w:rFonts w:ascii="Arial" w:cs="Arial" w:eastAsia="Arial" w:hAnsi="Arial"/>
          <w:sz w:val="18"/>
          <w:szCs w:val="18"/>
          <w:b w:val="1"/>
          <w:bCs w:val="1"/>
          <w:color w:val="auto"/>
        </w:rPr>
      </w:pPr>
    </w:p>
    <w:p>
      <w:pPr>
        <w:ind w:left="48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spacing w:after="0" w:line="181" w:lineRule="exact"/>
        <w:rPr>
          <w:rFonts w:ascii="Arial" w:cs="Arial" w:eastAsia="Arial" w:hAnsi="Arial"/>
          <w:sz w:val="18"/>
          <w:szCs w:val="18"/>
          <w:b w:val="1"/>
          <w:bCs w:val="1"/>
          <w:color w:val="auto"/>
        </w:rPr>
      </w:pPr>
    </w:p>
    <w:p>
      <w:pPr>
        <w:ind w:left="50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Alternative Materials, International and recently acquired idX division, have been included in the “All Other” column of the table below. The “Corporate” column includes unallocated administrative costs and certain incentive compensation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16"/>
          </w:tcPr>
          <w:p>
            <w:pPr>
              <w:jc w:val="right"/>
              <w:ind w:right="62"/>
              <w:spacing w:after="0"/>
              <w:rPr>
                <w:sz w:val="20"/>
                <w:szCs w:val="20"/>
                <w:color w:val="auto"/>
              </w:rPr>
            </w:pPr>
            <w:r>
              <w:rPr>
                <w:rFonts w:ascii="Arial" w:cs="Arial" w:eastAsia="Arial" w:hAnsi="Arial"/>
                <w:sz w:val="14"/>
                <w:szCs w:val="14"/>
                <w:b w:val="1"/>
                <w:bCs w:val="1"/>
                <w:color w:val="auto"/>
                <w:w w:val="93"/>
              </w:rPr>
              <w:t>Three Months Ended July 1, 2017</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56"/>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North</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South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West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6"/>
          </w:tcPr>
          <w:p>
            <w:pPr>
              <w:jc w:val="right"/>
              <w:ind w:right="22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319,554</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221,583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$ 390,868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$ 140,370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$ 1,072,375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16,790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19,378</w:t>
            </w:r>
          </w:p>
        </w:tc>
        <w:tc>
          <w:tcPr>
            <w:tcW w:w="6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22,249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49,197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107,614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385"/>
        </w:trPr>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7"/>
          </w:tcPr>
          <w:p>
            <w:pPr>
              <w:jc w:val="right"/>
              <w:spacing w:after="0"/>
              <w:rPr>
                <w:sz w:val="20"/>
                <w:szCs w:val="20"/>
                <w:color w:val="auto"/>
              </w:rPr>
            </w:pPr>
            <w:r>
              <w:rPr>
                <w:rFonts w:ascii="Arial" w:cs="Arial" w:eastAsia="Arial" w:hAnsi="Arial"/>
                <w:sz w:val="14"/>
                <w:szCs w:val="14"/>
                <w:b w:val="1"/>
                <w:bCs w:val="1"/>
                <w:color w:val="auto"/>
                <w:w w:val="94"/>
              </w:rPr>
              <w:t>Three Months Ended June 25, 2016</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56"/>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North</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South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rPr>
              <w:t>West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288,185</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194,425</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$ 326,619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$ 62,864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872,093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14,638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9,860</w:t>
            </w:r>
          </w:p>
        </w:tc>
        <w:tc>
          <w:tcPr>
            <w:tcW w:w="980" w:type="dxa"/>
            <w:vAlign w:val="bottom"/>
            <w:gridSpan w:val="6"/>
          </w:tcPr>
          <w:p>
            <w:pPr>
              <w:jc w:val="right"/>
              <w:ind w:right="20"/>
              <w:spacing w:after="0"/>
              <w:rPr>
                <w:sz w:val="20"/>
                <w:szCs w:val="20"/>
                <w:color w:val="auto"/>
              </w:rPr>
            </w:pPr>
            <w:r>
              <w:rPr>
                <w:rFonts w:ascii="Arial" w:cs="Arial" w:eastAsia="Arial" w:hAnsi="Arial"/>
                <w:sz w:val="18"/>
                <w:szCs w:val="18"/>
                <w:color w:val="auto"/>
              </w:rPr>
              <w:t>21,015</w:t>
            </w:r>
          </w:p>
        </w:tc>
        <w:tc>
          <w:tcPr>
            <w:tcW w:w="60" w:type="dxa"/>
            <w:vAlign w:val="bottom"/>
          </w:tcPr>
          <w:p>
            <w:pPr>
              <w:spacing w:after="0"/>
              <w:rPr>
                <w:sz w:val="18"/>
                <w:szCs w:val="18"/>
                <w:color w:val="auto"/>
              </w:rPr>
            </w:pPr>
          </w:p>
        </w:tc>
        <w:tc>
          <w:tcPr>
            <w:tcW w:w="920" w:type="dxa"/>
            <w:vAlign w:val="bottom"/>
            <w:gridSpan w:val="5"/>
          </w:tcPr>
          <w:p>
            <w:pPr>
              <w:jc w:val="right"/>
              <w:ind w:right="80"/>
              <w:spacing w:after="0"/>
              <w:rPr>
                <w:sz w:val="20"/>
                <w:szCs w:val="20"/>
                <w:color w:val="auto"/>
              </w:rPr>
            </w:pPr>
            <w:r>
              <w:rPr>
                <w:rFonts w:ascii="Arial" w:cs="Arial" w:eastAsia="Arial" w:hAnsi="Arial"/>
                <w:sz w:val="18"/>
                <w:szCs w:val="18"/>
                <w:color w:val="auto"/>
              </w:rPr>
              <w:t>6,535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13,794</w:t>
            </w:r>
          </w:p>
        </w:tc>
        <w:tc>
          <w:tcPr>
            <w:tcW w:w="9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21,153</w:t>
            </w:r>
          </w:p>
        </w:tc>
        <w:tc>
          <w:tcPr>
            <w:tcW w:w="6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6,021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601"/>
        </w:trPr>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4"/>
          </w:tcPr>
          <w:p>
            <w:pPr>
              <w:jc w:val="right"/>
              <w:ind w:right="102"/>
              <w:spacing w:after="0"/>
              <w:rPr>
                <w:sz w:val="20"/>
                <w:szCs w:val="20"/>
                <w:color w:val="auto"/>
              </w:rPr>
            </w:pPr>
            <w:r>
              <w:rPr>
                <w:rFonts w:ascii="Arial" w:cs="Arial" w:eastAsia="Arial" w:hAnsi="Arial"/>
                <w:sz w:val="14"/>
                <w:szCs w:val="14"/>
                <w:b w:val="1"/>
                <w:bCs w:val="1"/>
                <w:color w:val="auto"/>
                <w:w w:val="93"/>
              </w:rPr>
              <w:t>Six Months Ended July 1, 2017</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56"/>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North</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South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West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547,475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410,326</w:t>
            </w:r>
          </w:p>
        </w:tc>
        <w:tc>
          <w:tcPr>
            <w:tcW w:w="160" w:type="dxa"/>
            <w:vAlign w:val="bottom"/>
            <w:tcBorders>
              <w:top w:val="single" w:sz="8" w:color="CCEEFF"/>
            </w:tcBorders>
            <w:gridSpan w:val="3"/>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$ 710,030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$ 250,674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1,918,505</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32,962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36,656</w:t>
            </w:r>
          </w:p>
        </w:tc>
        <w:tc>
          <w:tcPr>
            <w:tcW w:w="980" w:type="dxa"/>
            <w:vAlign w:val="bottom"/>
            <w:gridSpan w:val="6"/>
          </w:tcPr>
          <w:p>
            <w:pPr>
              <w:jc w:val="right"/>
              <w:ind w:right="60"/>
              <w:spacing w:after="0"/>
              <w:rPr>
                <w:sz w:val="20"/>
                <w:szCs w:val="20"/>
                <w:color w:val="auto"/>
              </w:rPr>
            </w:pPr>
            <w:r>
              <w:rPr>
                <w:rFonts w:ascii="Arial" w:cs="Arial" w:eastAsia="Arial" w:hAnsi="Arial"/>
                <w:sz w:val="18"/>
                <w:szCs w:val="18"/>
                <w:color w:val="auto"/>
              </w:rPr>
              <w:t>44,082</w:t>
            </w:r>
          </w:p>
        </w:tc>
        <w:tc>
          <w:tcPr>
            <w:tcW w:w="60" w:type="dxa"/>
            <w:vAlign w:val="bottom"/>
          </w:tcPr>
          <w:p>
            <w:pPr>
              <w:spacing w:after="0"/>
              <w:rPr>
                <w:sz w:val="18"/>
                <w:szCs w:val="18"/>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68,127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181,827</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20,918</w:t>
            </w:r>
          </w:p>
        </w:tc>
        <w:tc>
          <w:tcPr>
            <w:tcW w:w="9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43,008</w:t>
            </w:r>
          </w:p>
        </w:tc>
        <w:tc>
          <w:tcPr>
            <w:tcW w:w="6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6,404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87,720</w:t>
            </w:r>
          </w:p>
        </w:tc>
      </w:tr>
      <w:tr>
        <w:trPr>
          <w:trHeight w:val="864"/>
        </w:trPr>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214"/>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3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w w:val="96"/>
              </w:rPr>
              <w:t>Six Months Ended June 25, 2016</w:t>
            </w: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6"/>
        </w:trPr>
        <w:tc>
          <w:tcPr>
            <w:tcW w:w="268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39"/>
              <w:spacing w:after="0" w:line="149" w:lineRule="exact"/>
              <w:rPr>
                <w:sz w:val="20"/>
                <w:szCs w:val="20"/>
                <w:color w:val="auto"/>
              </w:rPr>
            </w:pPr>
            <w:r>
              <w:rPr>
                <w:rFonts w:ascii="Arial" w:cs="Arial" w:eastAsia="Arial" w:hAnsi="Arial"/>
                <w:sz w:val="14"/>
                <w:szCs w:val="14"/>
                <w:b w:val="1"/>
                <w:bCs w:val="1"/>
                <w:color w:val="auto"/>
              </w:rPr>
              <w:t>North</w:t>
            </w: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59"/>
              <w:spacing w:after="0" w:line="149" w:lineRule="exact"/>
              <w:rPr>
                <w:sz w:val="20"/>
                <w:szCs w:val="20"/>
                <w:color w:val="auto"/>
              </w:rPr>
            </w:pPr>
            <w:r>
              <w:rPr>
                <w:rFonts w:ascii="Arial" w:cs="Arial" w:eastAsia="Arial" w:hAnsi="Arial"/>
                <w:sz w:val="14"/>
                <w:szCs w:val="14"/>
                <w:b w:val="1"/>
                <w:bCs w:val="1"/>
                <w:color w:val="auto"/>
              </w:rPr>
              <w:t>South</w:t>
            </w:r>
          </w:p>
        </w:tc>
        <w:tc>
          <w:tcPr>
            <w:tcW w:w="1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79"/>
              <w:spacing w:after="0" w:line="149" w:lineRule="exact"/>
              <w:rPr>
                <w:sz w:val="20"/>
                <w:szCs w:val="20"/>
                <w:color w:val="auto"/>
              </w:rPr>
            </w:pPr>
            <w:r>
              <w:rPr>
                <w:rFonts w:ascii="Arial" w:cs="Arial" w:eastAsia="Arial" w:hAnsi="Arial"/>
                <w:sz w:val="14"/>
                <w:szCs w:val="14"/>
                <w:b w:val="1"/>
                <w:bCs w:val="1"/>
                <w:color w:val="auto"/>
              </w:rPr>
              <w:t>West</w:t>
            </w:r>
          </w:p>
        </w:tc>
        <w:tc>
          <w:tcPr>
            <w:tcW w:w="1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Corporate</w:t>
            </w: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39"/>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$ 490,910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$ 359,524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$ 604,207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$ 99,603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$ 1,554,244</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27,752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19,051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43,271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102,059</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25,930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85,575</w:t>
            </w:r>
          </w:p>
        </w:tc>
      </w:tr>
    </w:tbl>
    <w:p>
      <w:pPr>
        <w:spacing w:after="0" w:line="225" w:lineRule="exact"/>
        <w:rPr>
          <w:sz w:val="20"/>
          <w:szCs w:val="20"/>
          <w:color w:val="auto"/>
        </w:rPr>
      </w:pPr>
    </w:p>
    <w:p>
      <w:pPr>
        <w:ind w:left="500" w:hanging="497"/>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48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Effective tax rates differ from statutory federal income tax rates, primarily due to provisions for state and local income taxes and permanent tax differences. Our effective tax rate was 34.0% in the second quarter of 2017 compared</w:t>
      </w:r>
    </w:p>
    <w:p>
      <w:pPr>
        <w:ind w:left="480"/>
        <w:spacing w:after="0"/>
        <w:rPr>
          <w:rFonts w:ascii="Arial" w:cs="Arial" w:eastAsia="Arial" w:hAnsi="Arial"/>
          <w:sz w:val="18"/>
          <w:szCs w:val="18"/>
          <w:b w:val="1"/>
          <w:bCs w:val="1"/>
          <w:color w:val="auto"/>
        </w:rPr>
      </w:pPr>
      <w:r>
        <w:rPr>
          <w:rFonts w:ascii="Arial" w:cs="Arial" w:eastAsia="Arial" w:hAnsi="Arial"/>
          <w:sz w:val="17"/>
          <w:szCs w:val="17"/>
          <w:color w:val="auto"/>
        </w:rPr>
        <w:t>to 35.3% for same period in 2016. Our effective tax rate was 33.7% in the first six months of 2017 compared</w:t>
      </w:r>
    </w:p>
    <w:p>
      <w:pPr>
        <w:spacing w:after="0" w:line="20" w:lineRule="exact"/>
        <w:rPr>
          <w:rFonts w:ascii="Arial" w:cs="Arial" w:eastAsia="Arial" w:hAnsi="Arial"/>
          <w:sz w:val="18"/>
          <w:szCs w:val="18"/>
          <w:b w:val="1"/>
          <w:bCs w:val="1"/>
          <w:color w:val="auto"/>
        </w:rPr>
      </w:pPr>
    </w:p>
    <w:p>
      <w:pPr>
        <w:ind w:left="480" w:right="3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to 35.0% in 2016, primarily due to recording a tax deduction for certain share-based compensation and fees at fair market value.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Universal Forest Products, Inc. is a holding company with subsidiaries throughout North America, Europe, Asia, and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Australia that supply wood, wood composite and other products to three robust markets: retail, industrial,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construction. The Company is headquartered in Grand Rapids, Mich. For more information about Universal Forest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or its affiliated operations, go to www.ufpi.com.</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second quarter of 2017 were impacted by the following:</w:t>
      </w:r>
    </w:p>
    <w:p>
      <w:pPr>
        <w:spacing w:after="0" w:line="225" w:lineRule="exact"/>
        <w:rPr>
          <w:sz w:val="20"/>
          <w:szCs w:val="20"/>
          <w:color w:val="auto"/>
        </w:rPr>
      </w:pPr>
    </w:p>
    <w:p>
      <w:pPr>
        <w:ind w:left="820" w:right="20" w:hanging="331"/>
        <w:spacing w:after="0" w:line="25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gross sales increased by 23% compared to the second quarter of 2016, which was comprised of a 16% increase in unit sales and a 7% increase in selling prices primarily due to the commodity lumber market (see Historical Lumber Prices below). Acquired operations contributed 12% to our unit sales growth. Our 4% organic growth rate was primarily driven by our sales to industrial, “big box” retail, residential construction, and manufactured housing customers. Unit sales to commercial construction customers were flat and decreased to our independent retail customers.</w:t>
      </w:r>
    </w:p>
    <w:p>
      <w:pPr>
        <w:spacing w:after="0" w:line="193" w:lineRule="exact"/>
        <w:rPr>
          <w:rFonts w:ascii="Arial" w:cs="Arial" w:eastAsia="Arial" w:hAnsi="Arial"/>
          <w:sz w:val="18"/>
          <w:szCs w:val="18"/>
          <w:color w:val="auto"/>
        </w:rPr>
      </w:pPr>
    </w:p>
    <w:p>
      <w:pPr>
        <w:ind w:left="820" w:right="60" w:hanging="331"/>
        <w:spacing w:after="0" w:line="25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profits increased modestly by 0.4%, which compares unfavorably with our 16% increase in unit sales. The shortfall in our profit growth was primarily due to the impact of volatile lumber prices on gross profits and the impact of acquired operations which contributed unit sales growth without a commensurate increase in operating profits.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experience significant fluctuations in the cost of commodity lumber products from primary producers (“Lumber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Random Lengths Composite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6"/>
              </w:rPr>
              <w:t>Average $/MBF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Borders>
              <w:bottom w:val="single" w:sz="8" w:color="CCEEFF"/>
            </w:tcBorders>
          </w:tcPr>
          <w:p>
            <w:pPr>
              <w:spacing w:after="0"/>
              <w:rPr>
                <w:sz w:val="13"/>
                <w:szCs w:val="13"/>
                <w:color w:val="auto"/>
              </w:rPr>
            </w:pPr>
          </w:p>
        </w:tc>
        <w:tc>
          <w:tcPr>
            <w:tcW w:w="22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February</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April</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June</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Second quarter average</w:t>
            </w:r>
          </w:p>
        </w:tc>
        <w:tc>
          <w:tcPr>
            <w:tcW w:w="2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413</w:t>
            </w:r>
          </w:p>
        </w:tc>
        <w:tc>
          <w:tcPr>
            <w:tcW w:w="44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24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percentage change</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Year-to-date percentage change</w:t>
            </w: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addition, a Southern Yellow Pine (“SYP”) composite price, which we prepare and use, is presented below. Our purchases of this species comprised approximately 46% of total lumber purchases through the first six months of 2017 and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Random Lengths SYP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Average $/MBF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4"/>
              <w:spacing w:after="0" w:line="14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February</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April</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June</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Second quarter average</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418</w:t>
            </w:r>
          </w:p>
        </w:tc>
        <w:tc>
          <w:tcPr>
            <w:tcW w:w="42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2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percentage change</w:t>
            </w: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Year-to-date percentage change</w:t>
            </w:r>
          </w:p>
        </w:tc>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520" w:type="dxa"/>
            <w:vAlign w:val="bottom"/>
          </w:tcPr>
          <w:p>
            <w:pPr>
              <w:jc w:val="right"/>
              <w:ind w:right="227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49.3% and 48.8% of our sales in the first six months of 2017 and 2016, respectively.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ind w:left="820" w:right="20" w:hanging="331"/>
        <w:spacing w:after="0" w:line="272"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Products with fixed selling prices.</w:t>
      </w:r>
      <w:r>
        <w:rPr>
          <w:rFonts w:ascii="Arial" w:cs="Arial" w:eastAsia="Arial" w:hAnsi="Arial"/>
          <w:sz w:val="17"/>
          <w:szCs w:val="17"/>
          <w:color w:val="auto"/>
        </w:rPr>
        <w:t xml:space="preserve"> These products include value-added products such as deck components and fencing sold to retail customers, as well as trusses, wall panels and other components sold to the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with our suppliers for these sales commitments. Also, the time period and quantity limitations eventually allow us to re-price our products for changes in lumber costs from our suppliers.</w:t>
      </w:r>
    </w:p>
    <w:p>
      <w:pPr>
        <w:spacing w:after="0" w:line="177" w:lineRule="exact"/>
        <w:rPr>
          <w:rFonts w:ascii="Arial" w:cs="Arial" w:eastAsia="Arial" w:hAnsi="Arial"/>
          <w:sz w:val="17"/>
          <w:szCs w:val="17"/>
          <w:color w:val="auto"/>
        </w:rPr>
      </w:pPr>
    </w:p>
    <w:p>
      <w:pPr>
        <w:ind w:left="820" w:hanging="331"/>
        <w:spacing w:after="0" w:line="276"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profits.</w:t>
      </w:r>
      <w:r>
        <w:rPr>
          <w:rFonts w:ascii="Arial" w:cs="Arial" w:eastAsia="Arial" w:hAnsi="Arial"/>
          <w:sz w:val="17"/>
          <w:szCs w:val="17"/>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ind w:left="820" w:right="20" w:hanging="331"/>
        <w:spacing w:after="0" w:line="218" w:lineRule="exact"/>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20%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section of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filed with the United States Securities and Exchange Commission.</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820" w:hanging="331"/>
        <w:spacing w:after="0" w:line="342"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 sold under long-term supply arrangements, particularly those involving multi-family construction projects.</w:t>
      </w:r>
      <w:r>
        <w:rPr>
          <w:rFonts w:ascii="Arial" w:cs="Arial" w:eastAsia="Arial" w:hAnsi="Arial"/>
          <w:sz w:val="16"/>
          <w:szCs w:val="16"/>
          <w:color w:val="auto"/>
        </w:rPr>
        <w:t xml:space="preserve"> We attempt to mitigate this risk through our purchasing practices by locking in costs.</w:t>
      </w:r>
    </w:p>
    <w:p>
      <w:pPr>
        <w:spacing w:after="0" w:line="124"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Adverse trends in the lumber market impacted our gross profits on products sold under each of the general pricing methods described above. The dramatic rise in lumber prices, which peaked in April, resulted in a decline in gross profit per unit on products sold with a fixed price in the second quarter. Additionally, the subsequent decline in lumber prices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May and June resulted in a decline in gross profit per unit on products sold with a variable price indexed to the lumber market. We anticipate these trends may continue to impact our results into the third quarter until we reach a point of re-pricing products sold via a fixed price with our customers and selling through higher cost material sold on a variable price.</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Finally, recent wildfires in British Columbia have resulted in concerns about the supply of SPF material causing prices to rise significantly. We will attempt to mitigate the impact of this matter through strategies including substituting other species when possible.</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Gross margin</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As is apparent from the preceding example,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completed three business acquisitions during the first six months of 2017 and six during all of 2016. The annual historical sales attributable to acquisitions completed in 2017 and 2016 was approximately $124 million and $345 million, respectively. These business combinations were not significant to our quarterly or year-to-date operating results individually or in aggregate and thus pro forma results for 2017 or 2016 are not presented.</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26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5"/>
                <w:szCs w:val="15"/>
                <w:color w:val="auto"/>
              </w:rPr>
            </w:pPr>
          </w:p>
        </w:tc>
      </w:tr>
      <w:tr>
        <w:trPr>
          <w:trHeight w:val="126"/>
        </w:trPr>
        <w:tc>
          <w:tcPr>
            <w:tcW w:w="5700" w:type="dxa"/>
            <w:vAlign w:val="bottom"/>
          </w:tcPr>
          <w:p>
            <w:pPr>
              <w:spacing w:after="0"/>
              <w:rPr>
                <w:sz w:val="10"/>
                <w:szCs w:val="10"/>
                <w:color w:val="auto"/>
              </w:rPr>
            </w:pPr>
          </w:p>
        </w:tc>
        <w:tc>
          <w:tcPr>
            <w:tcW w:w="600" w:type="dxa"/>
            <w:vAlign w:val="bottom"/>
          </w:tcPr>
          <w:p>
            <w:pPr>
              <w:jc w:val="right"/>
              <w:ind w:right="14"/>
              <w:spacing w:after="0" w:line="126" w:lineRule="exact"/>
              <w:rPr>
                <w:sz w:val="20"/>
                <w:szCs w:val="20"/>
                <w:color w:val="auto"/>
              </w:rPr>
            </w:pPr>
            <w:r>
              <w:rPr>
                <w:rFonts w:ascii="Arial" w:cs="Arial" w:eastAsia="Arial" w:hAnsi="Arial"/>
                <w:sz w:val="14"/>
                <w:szCs w:val="14"/>
                <w:b w:val="1"/>
                <w:bCs w:val="1"/>
                <w:color w:val="auto"/>
              </w:rPr>
              <w:t>July 1,</w:t>
            </w:r>
          </w:p>
        </w:tc>
        <w:tc>
          <w:tcPr>
            <w:tcW w:w="26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2"/>
              </w:rPr>
              <w:t>June 25,</w:t>
            </w:r>
          </w:p>
        </w:tc>
        <w:tc>
          <w:tcPr>
            <w:tcW w:w="26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2"/>
              </w:rPr>
              <w:t>June 25,</w:t>
            </w:r>
          </w:p>
        </w:tc>
        <w:tc>
          <w:tcPr>
            <w:tcW w:w="300" w:type="dxa"/>
            <w:vAlign w:val="bottom"/>
          </w:tcPr>
          <w:p>
            <w:pPr>
              <w:spacing w:after="0"/>
              <w:rPr>
                <w:sz w:val="10"/>
                <w:szCs w:val="10"/>
                <w:color w:val="auto"/>
              </w:rPr>
            </w:pPr>
          </w:p>
        </w:tc>
      </w:tr>
      <w:tr>
        <w:trPr>
          <w:trHeight w:val="178"/>
        </w:trPr>
        <w:tc>
          <w:tcPr>
            <w:tcW w:w="57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5"/>
                <w:szCs w:val="15"/>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r>
        <w:trPr>
          <w:trHeight w:val="223"/>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300" w:type="dxa"/>
            <w:vAlign w:val="bottom"/>
            <w:tcBorders>
              <w:bottom w:val="single" w:sz="8" w:color="CCEEFF"/>
            </w:tcBorders>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r>
      <w:tr>
        <w:trPr>
          <w:trHeight w:val="223"/>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CEEFF"/>
            </w:tcBorders>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r>
      <w:tr>
        <w:trPr>
          <w:trHeight w:val="223"/>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 net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r>
      <w:tr>
        <w:trPr>
          <w:trHeight w:val="223"/>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tcPr>
          <w:p>
            <w:pPr>
              <w:spacing w:after="0"/>
              <w:rPr>
                <w:sz w:val="19"/>
                <w:szCs w:val="19"/>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r>
      <w:tr>
        <w:trPr>
          <w:trHeight w:val="223"/>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tcPr>
          <w:p>
            <w:pPr>
              <w:spacing w:after="0"/>
              <w:rPr>
                <w:sz w:val="19"/>
                <w:szCs w:val="19"/>
                <w:color w:val="auto"/>
              </w:rPr>
            </w:pPr>
          </w:p>
        </w:tc>
      </w:tr>
      <w:tr>
        <w:trPr>
          <w:trHeight w:val="223"/>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controlling interest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88" w:lineRule="exact"/>
        <w:rPr>
          <w:sz w:val="20"/>
          <w:szCs w:val="20"/>
          <w:color w:val="auto"/>
        </w:rPr>
      </w:pPr>
    </w:p>
    <w:p>
      <w:pPr>
        <w:ind w:left="820" w:right="180" w:hanging="331"/>
        <w:spacing w:after="0" w:line="302"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Diversifying our end market sales mix by increasing sales of specialty 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54" w:lineRule="exact"/>
        <w:rPr>
          <w:rFonts w:ascii="Arial" w:cs="Arial" w:eastAsia="Arial" w:hAnsi="Arial"/>
          <w:sz w:val="16"/>
          <w:szCs w:val="16"/>
          <w:color w:val="auto"/>
        </w:rPr>
      </w:pPr>
    </w:p>
    <w:p>
      <w:pPr>
        <w:ind w:left="820" w:hanging="3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ind w:left="820" w:right="40" w:hanging="331"/>
        <w:spacing w:after="0" w:line="273"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78" w:lineRule="exact"/>
        <w:rPr>
          <w:rFonts w:ascii="Arial" w:cs="Arial" w:eastAsia="Arial" w:hAnsi="Arial"/>
          <w:sz w:val="17"/>
          <w:szCs w:val="17"/>
          <w:color w:val="auto"/>
        </w:rPr>
      </w:pPr>
    </w:p>
    <w:p>
      <w:pPr>
        <w:ind w:left="820" w:hanging="33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Developing new products and expanding our product offering for existing customers. New product sales were</w:t>
      </w:r>
    </w:p>
    <w:p>
      <w:pPr>
        <w:spacing w:after="0" w:line="34" w:lineRule="exact"/>
        <w:rPr>
          <w:rFonts w:ascii="Arial" w:cs="Arial" w:eastAsia="Arial" w:hAnsi="Arial"/>
          <w:sz w:val="17"/>
          <w:szCs w:val="17"/>
          <w:color w:val="auto"/>
        </w:rPr>
      </w:pPr>
    </w:p>
    <w:p>
      <w:pPr>
        <w:ind w:left="820" w:right="140"/>
        <w:spacing w:after="0" w:line="290" w:lineRule="auto"/>
        <w:rPr>
          <w:rFonts w:ascii="Arial" w:cs="Arial" w:eastAsia="Arial" w:hAnsi="Arial"/>
          <w:sz w:val="17"/>
          <w:szCs w:val="17"/>
          <w:color w:val="auto"/>
        </w:rPr>
      </w:pPr>
      <w:r>
        <w:rPr>
          <w:rFonts w:ascii="Arial" w:cs="Arial" w:eastAsia="Arial" w:hAnsi="Arial"/>
          <w:sz w:val="17"/>
          <w:szCs w:val="17"/>
          <w:color w:val="auto"/>
        </w:rPr>
        <w:t>$115.9 million in the second quarter of 2017 compared to $97.8 million during the second quarter of 2016. New product sales year-to-date for 2017 and 2016 were $196.7 million and $166.1 million,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jc w:val="center"/>
              <w:ind w:right="134"/>
              <w:spacing w:after="0"/>
              <w:rPr>
                <w:sz w:val="20"/>
                <w:szCs w:val="20"/>
                <w:color w:val="auto"/>
              </w:rPr>
            </w:pPr>
            <w:r>
              <w:rPr>
                <w:rFonts w:ascii="Arial" w:cs="Arial" w:eastAsia="Arial" w:hAnsi="Arial"/>
                <w:sz w:val="14"/>
                <w:szCs w:val="14"/>
                <w:b w:val="1"/>
                <w:bCs w:val="1"/>
                <w:color w:val="auto"/>
                <w:w w:val="94"/>
              </w:rPr>
              <w:t>New Product Sales by Market</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jc w:val="center"/>
              <w:ind w:right="114"/>
              <w:spacing w:after="0"/>
              <w:rPr>
                <w:sz w:val="20"/>
                <w:szCs w:val="20"/>
                <w:color w:val="auto"/>
              </w:rPr>
            </w:pPr>
            <w:r>
              <w:rPr>
                <w:rFonts w:ascii="Arial" w:cs="Arial" w:eastAsia="Arial" w:hAnsi="Arial"/>
                <w:sz w:val="14"/>
                <w:szCs w:val="14"/>
                <w:b w:val="1"/>
                <w:bCs w:val="1"/>
                <w:color w:val="auto"/>
                <w:w w:val="94"/>
              </w:rPr>
              <w:t>New Product Sales by Market</w:t>
            </w:r>
          </w:p>
        </w:tc>
        <w:tc>
          <w:tcPr>
            <w:tcW w:w="0" w:type="dxa"/>
            <w:vAlign w:val="bottom"/>
          </w:tcPr>
          <w:p>
            <w:pPr>
              <w:spacing w:after="0"/>
              <w:rPr>
                <w:sz w:val="1"/>
                <w:szCs w:val="1"/>
                <w:color w:val="auto"/>
              </w:rPr>
            </w:pPr>
          </w:p>
        </w:tc>
      </w:tr>
      <w:tr>
        <w:trPr>
          <w:trHeight w:val="156"/>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ind w:right="178"/>
              <w:spacing w:after="0" w:line="126" w:lineRule="exact"/>
              <w:rPr>
                <w:sz w:val="20"/>
                <w:szCs w:val="20"/>
                <w:color w:val="auto"/>
              </w:rPr>
            </w:pPr>
            <w:r>
              <w:rPr>
                <w:rFonts w:ascii="Arial" w:cs="Arial" w:eastAsia="Arial" w:hAnsi="Arial"/>
                <w:sz w:val="14"/>
                <w:szCs w:val="14"/>
                <w:b w:val="1"/>
                <w:bCs w:val="1"/>
                <w:color w:val="auto"/>
              </w:rPr>
              <w:t>July 1,</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260"/>
              <w:spacing w:after="0" w:line="126" w:lineRule="exact"/>
              <w:rPr>
                <w:sz w:val="20"/>
                <w:szCs w:val="20"/>
                <w:color w:val="auto"/>
              </w:rPr>
            </w:pPr>
            <w:r>
              <w:rPr>
                <w:rFonts w:ascii="Arial" w:cs="Arial" w:eastAsia="Arial" w:hAnsi="Arial"/>
                <w:sz w:val="14"/>
                <w:szCs w:val="14"/>
                <w:b w:val="1"/>
                <w:bCs w:val="1"/>
                <w:color w:val="auto"/>
              </w:rPr>
              <w:t>June 25,</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ind w:right="218"/>
              <w:spacing w:after="0" w:line="126" w:lineRule="exact"/>
              <w:rPr>
                <w:sz w:val="20"/>
                <w:szCs w:val="20"/>
                <w:color w:val="auto"/>
              </w:rPr>
            </w:pPr>
            <w:r>
              <w:rPr>
                <w:rFonts w:ascii="Arial" w:cs="Arial" w:eastAsia="Arial" w:hAnsi="Arial"/>
                <w:sz w:val="14"/>
                <w:szCs w:val="14"/>
                <w:b w:val="1"/>
                <w:bCs w:val="1"/>
                <w:color w:val="auto"/>
              </w:rPr>
              <w:t>July 1,</w:t>
            </w:r>
          </w:p>
        </w:tc>
        <w:tc>
          <w:tcPr>
            <w:tcW w:w="200" w:type="dxa"/>
            <w:vAlign w:val="bottom"/>
          </w:tcPr>
          <w:p>
            <w:pPr>
              <w:spacing w:after="0"/>
              <w:rPr>
                <w:sz w:val="10"/>
                <w:szCs w:val="10"/>
                <w:color w:val="auto"/>
              </w:rPr>
            </w:pPr>
          </w:p>
        </w:tc>
        <w:tc>
          <w:tcPr>
            <w:tcW w:w="1180" w:type="dxa"/>
            <w:vAlign w:val="bottom"/>
            <w:gridSpan w:val="2"/>
          </w:tcPr>
          <w:p>
            <w:pPr>
              <w:ind w:left="240"/>
              <w:spacing w:after="0" w:line="126" w:lineRule="exact"/>
              <w:rPr>
                <w:sz w:val="20"/>
                <w:szCs w:val="20"/>
                <w:color w:val="auto"/>
              </w:rPr>
            </w:pPr>
            <w:r>
              <w:rPr>
                <w:rFonts w:ascii="Arial" w:cs="Arial" w:eastAsia="Arial" w:hAnsi="Arial"/>
                <w:sz w:val="14"/>
                <w:szCs w:val="14"/>
                <w:b w:val="1"/>
                <w:bCs w:val="1"/>
                <w:color w:val="auto"/>
              </w:rPr>
              <w:t>June 25,</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74,862</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63,502</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17.89%</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119,975</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100,714</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25,356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21,445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41,369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23,995</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0"/>
        </w:trPr>
        <w:tc>
          <w:tcPr>
            <w:tcW w:w="20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New Product Sales</w:t>
            </w: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115,884</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97,843</w:t>
            </w: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18.44%</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196,674</w:t>
            </w: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166,078</w:t>
            </w: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260"/>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“new” resulted in a change in prior year’s sales.</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for the periods indicated, our gross sales and percentage change in gross sales by market classification.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46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156"/>
              <w:spacing w:after="0" w:line="126"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0"/>
                <w:szCs w:val="10"/>
                <w:color w:val="auto"/>
              </w:rPr>
            </w:pPr>
          </w:p>
        </w:tc>
        <w:tc>
          <w:tcPr>
            <w:tcW w:w="920" w:type="dxa"/>
            <w:vAlign w:val="bottom"/>
            <w:gridSpan w:val="2"/>
          </w:tcPr>
          <w:p>
            <w:pPr>
              <w:jc w:val="right"/>
              <w:ind w:right="280"/>
              <w:spacing w:after="0" w:line="126" w:lineRule="exact"/>
              <w:rPr>
                <w:sz w:val="20"/>
                <w:szCs w:val="20"/>
                <w:color w:val="auto"/>
              </w:rPr>
            </w:pPr>
            <w:r>
              <w:rPr>
                <w:rFonts w:ascii="Arial" w:cs="Arial" w:eastAsia="Arial" w:hAnsi="Arial"/>
                <w:sz w:val="14"/>
                <w:szCs w:val="14"/>
                <w:b w:val="1"/>
                <w:bCs w:val="1"/>
                <w:color w:val="auto"/>
              </w:rPr>
              <w:t>June 25,</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160"/>
              <w:spacing w:after="0" w:line="126" w:lineRule="exact"/>
              <w:rPr>
                <w:sz w:val="20"/>
                <w:szCs w:val="20"/>
                <w:color w:val="auto"/>
              </w:rPr>
            </w:pPr>
            <w:r>
              <w:rPr>
                <w:rFonts w:ascii="Arial" w:cs="Arial" w:eastAsia="Arial" w:hAnsi="Arial"/>
                <w:sz w:val="14"/>
                <w:szCs w:val="14"/>
                <w:b w:val="1"/>
                <w:bCs w:val="1"/>
                <w:color w:val="auto"/>
              </w:rPr>
              <w:t>July 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320"/>
              <w:spacing w:after="0" w:line="126" w:lineRule="exact"/>
              <w:rPr>
                <w:sz w:val="20"/>
                <w:szCs w:val="20"/>
                <w:color w:val="auto"/>
              </w:rPr>
            </w:pPr>
            <w:r>
              <w:rPr>
                <w:rFonts w:ascii="Arial" w:cs="Arial" w:eastAsia="Arial" w:hAnsi="Arial"/>
                <w:sz w:val="14"/>
                <w:szCs w:val="14"/>
                <w:b w:val="1"/>
                <w:bCs w:val="1"/>
                <w:color w:val="auto"/>
              </w:rPr>
              <w:t>June 25,</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459,140</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$407,670</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770,891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678,928</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335,928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228,052</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613,170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429,701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251,665</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562,969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472,622</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1,090,221</w:t>
            </w:r>
          </w:p>
        </w:tc>
        <w:tc>
          <w:tcPr>
            <w:tcW w:w="14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887,387</w:t>
            </w:r>
          </w:p>
        </w:tc>
        <w:tc>
          <w:tcPr>
            <w:tcW w:w="16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22.9</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1,947,030</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1,581,251</w:t>
            </w:r>
          </w:p>
        </w:tc>
        <w:tc>
          <w:tcPr>
            <w:tcW w:w="1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23.1</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(17,846)</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(15,294)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1,072,375</w:t>
            </w: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872,093</w:t>
            </w: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23.0</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1,918,505</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1,554,244</w:t>
            </w: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23.4</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2017, certain customers were reclassified to a different market. Prior year information has been restated to reflect these changes.</w:t>
      </w: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sales in the second quarter of 2017 increased 23% compared to the same period of 2016, due to a 16% increase in unit sales and a 7% increase in selling prices primarily due to the Lumber Market. Acquired operations contributed 12% to our unit sales growth, and our organic unit sales growth was 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Gross sales to the retail market increased almost 13% in the second quarter of 2017 compared to the same period of 2016, due to an 8% increase in unit sales and a 5% increase in selling prices. Within this market, sales to our big box customers increased over 13%, and sales to other independent retailers increased over 11%. Businesses we acquired contributed 8% to our growth in unit sales, primarily to independent retail customers, as our organic growth remained flat during the quarter.</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Gross sales to the retail market increased almost 14% in the first six months of 2017 compared to the same period of 2016, due to an 8% increase in unit sales and a 6% increase in selling prices. Within this market, sales to our big box customers increased over 16%, and sales to other independent retailers increased over 10%. Businesses we acquired contributed 6% to our growth in unit sales, primarily to independent retail customers; organic unit sales growth increased 2% in the first six months of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Gross sales to the industrial market increased over 47% in the second quarter of 2017 compared to the same period of 2016, resulting from a 40% increase in unit sales and a 7% increase in selling prices. Businesses we acquired contributed 32% to our growth in unit sales. Our organic growth in unit sales of 8% was primarily due to adding 337 new customers, share gains with several existing customers, and greater demand from existing customers.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Gross sales to the industrial market increased almost 43% in the first six months of 2017 compared to the same period of 2016, resulting from a 37% increase in unit sales and a 6% increase in selling prices. Businesses we acquired contributed 30% to our growth in unit sales. Our organic growth in unit sales of 7% was primarily due to same factors discussed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sales to the construction market increased over 17% in the second quarter of 2017 compared to 2016. The increase was due to a 9% increase in unit sales and an 8% increase in our selling prices. Our increase in unit sales was driven by a 9% increase to manufactured housing customers, a 5% increase to commercial construction customers, and a 10% increase to residential construction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comparison (and based upon various industry publications):</w:t>
      </w:r>
    </w:p>
    <w:p>
      <w:pPr>
        <w:spacing w:after="0" w:line="225" w:lineRule="exact"/>
        <w:rPr>
          <w:sz w:val="20"/>
          <w:szCs w:val="20"/>
          <w:color w:val="auto"/>
        </w:rPr>
      </w:pPr>
    </w:p>
    <w:p>
      <w:pPr>
        <w:ind w:left="820" w:right="240" w:hanging="331"/>
        <w:spacing w:after="0" w:line="25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of HUD-code manufactured homes in April and May 2017, the most recent period reported, was up 11.9% compared to the same period of 2016.</w:t>
      </w:r>
    </w:p>
    <w:p>
      <w:pPr>
        <w:spacing w:after="0" w:line="1" w:lineRule="exact"/>
        <w:rPr>
          <w:rFonts w:ascii="Arial" w:cs="Arial" w:eastAsia="Arial" w:hAnsi="Arial"/>
          <w:sz w:val="18"/>
          <w:szCs w:val="18"/>
          <w:color w:val="auto"/>
        </w:rPr>
      </w:pPr>
    </w:p>
    <w:p>
      <w:pPr>
        <w:ind w:left="820" w:right="380" w:hanging="331"/>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Non-residential construction activity in April and May increased approximately 11.3% compared to the same period of 2016.</w:t>
      </w:r>
    </w:p>
    <w:p>
      <w:pPr>
        <w:jc w:val="both"/>
        <w:ind w:left="820" w:hanging="331"/>
        <w:spacing w:after="0" w:line="25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National housing starts increased approximately 1.1% in the period from March through May 2017 (our sales trail housing starts by about a month) compared to the same period of 2016. Our sales growth exceeds industry growth due to a combination of increased demand and market share.</w:t>
      </w:r>
    </w:p>
    <w:p>
      <w:pPr>
        <w:spacing w:after="0" w:line="1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Gross sales to the construction market increased over 19% in the first six months of 2017 compared to 2016. The increase was due to an 11% increase in unit sales and an 8% increase in our selling prices. Our increase in unit sales was driven by an 11% increase to manufactured housing customers, a 5% increase to commercial construction customers, and a 13% increase to residential construction customers due to the same factors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 Value-added products generally carry higher gross margins than our commodity-based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80" w:type="dxa"/>
            <w:vAlign w:val="bottom"/>
          </w:tcPr>
          <w:p>
            <w:pPr>
              <w:spacing w:after="0"/>
              <w:rPr>
                <w:sz w:val="15"/>
                <w:szCs w:val="15"/>
                <w:color w:val="auto"/>
              </w:rPr>
            </w:pPr>
          </w:p>
        </w:tc>
        <w:tc>
          <w:tcPr>
            <w:tcW w:w="19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3"/>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5380" w:type="dxa"/>
            <w:vAlign w:val="bottom"/>
          </w:tcPr>
          <w:p>
            <w:pPr>
              <w:spacing w:after="0"/>
              <w:rPr>
                <w:sz w:val="10"/>
                <w:szCs w:val="10"/>
                <w:color w:val="auto"/>
              </w:rPr>
            </w:pPr>
          </w:p>
        </w:tc>
        <w:tc>
          <w:tcPr>
            <w:tcW w:w="980" w:type="dxa"/>
            <w:vAlign w:val="bottom"/>
            <w:tcBorders>
              <w:top w:val="single" w:sz="8" w:color="auto"/>
            </w:tcBorders>
            <w:gridSpan w:val="2"/>
          </w:tcPr>
          <w:p>
            <w:pPr>
              <w:ind w:left="220"/>
              <w:spacing w:after="0" w:line="126" w:lineRule="exact"/>
              <w:rPr>
                <w:sz w:val="20"/>
                <w:szCs w:val="20"/>
                <w:color w:val="auto"/>
              </w:rPr>
            </w:pPr>
            <w:r>
              <w:rPr>
                <w:rFonts w:ascii="Arial" w:cs="Arial" w:eastAsia="Arial" w:hAnsi="Arial"/>
                <w:sz w:val="14"/>
                <w:szCs w:val="14"/>
                <w:b w:val="1"/>
                <w:bCs w:val="1"/>
                <w:color w:val="auto"/>
              </w:rPr>
              <w:t>July 1,</w:t>
            </w:r>
          </w:p>
        </w:tc>
        <w:tc>
          <w:tcPr>
            <w:tcW w:w="840" w:type="dxa"/>
            <w:vAlign w:val="bottom"/>
            <w:tcBorders>
              <w:top w:val="single" w:sz="8" w:color="auto"/>
            </w:tcBorders>
          </w:tcPr>
          <w:p>
            <w:pPr>
              <w:jc w:val="right"/>
              <w:ind w:right="79"/>
              <w:spacing w:after="0" w:line="126" w:lineRule="exact"/>
              <w:rPr>
                <w:sz w:val="20"/>
                <w:szCs w:val="20"/>
                <w:color w:val="auto"/>
              </w:rPr>
            </w:pPr>
            <w:r>
              <w:rPr>
                <w:rFonts w:ascii="Arial" w:cs="Arial" w:eastAsia="Arial" w:hAnsi="Arial"/>
                <w:sz w:val="14"/>
                <w:szCs w:val="14"/>
                <w:b w:val="1"/>
                <w:bCs w:val="1"/>
                <w:color w:val="auto"/>
              </w:rPr>
              <w:t>June 25,</w:t>
            </w:r>
          </w:p>
        </w:tc>
        <w:tc>
          <w:tcPr>
            <w:tcW w:w="120" w:type="dxa"/>
            <w:vAlign w:val="bottom"/>
          </w:tcPr>
          <w:p>
            <w:pPr>
              <w:spacing w:after="0"/>
              <w:rPr>
                <w:sz w:val="10"/>
                <w:szCs w:val="10"/>
                <w:color w:val="auto"/>
              </w:rPr>
            </w:pPr>
          </w:p>
        </w:tc>
        <w:tc>
          <w:tcPr>
            <w:tcW w:w="980" w:type="dxa"/>
            <w:vAlign w:val="bottom"/>
            <w:tcBorders>
              <w:top w:val="single" w:sz="8" w:color="auto"/>
            </w:tcBorders>
            <w:gridSpan w:val="2"/>
          </w:tcPr>
          <w:p>
            <w:pPr>
              <w:ind w:left="220"/>
              <w:spacing w:after="0" w:line="126" w:lineRule="exact"/>
              <w:rPr>
                <w:sz w:val="20"/>
                <w:szCs w:val="20"/>
                <w:color w:val="auto"/>
              </w:rPr>
            </w:pPr>
            <w:r>
              <w:rPr>
                <w:rFonts w:ascii="Arial" w:cs="Arial" w:eastAsia="Arial" w:hAnsi="Arial"/>
                <w:sz w:val="14"/>
                <w:szCs w:val="14"/>
                <w:b w:val="1"/>
                <w:bCs w:val="1"/>
                <w:color w:val="auto"/>
              </w:rPr>
              <w:t>July 1,</w:t>
            </w:r>
          </w:p>
        </w:tc>
        <w:tc>
          <w:tcPr>
            <w:tcW w:w="760" w:type="dxa"/>
            <w:vAlign w:val="bottom"/>
            <w:tcBorders>
              <w:top w:val="single" w:sz="8" w:color="auto"/>
            </w:tcBorders>
          </w:tcPr>
          <w:p>
            <w:pPr>
              <w:ind w:left="120"/>
              <w:spacing w:after="0" w:line="126" w:lineRule="exact"/>
              <w:rPr>
                <w:sz w:val="20"/>
                <w:szCs w:val="20"/>
                <w:color w:val="auto"/>
              </w:rPr>
            </w:pPr>
            <w:r>
              <w:rPr>
                <w:rFonts w:ascii="Arial" w:cs="Arial" w:eastAsia="Arial" w:hAnsi="Arial"/>
                <w:sz w:val="14"/>
                <w:szCs w:val="14"/>
                <w:b w:val="1"/>
                <w:bCs w:val="1"/>
                <w:color w:val="auto"/>
              </w:rPr>
              <w:t>June 25,</w:t>
            </w:r>
          </w:p>
        </w:tc>
      </w:tr>
      <w:tr>
        <w:trPr>
          <w:trHeight w:val="178"/>
        </w:trPr>
        <w:tc>
          <w:tcPr>
            <w:tcW w:w="53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2016</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62.0 %</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61.4 %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62.3 %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61.8 %</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Commodity-Based</w:t>
            </w:r>
          </w:p>
        </w:tc>
        <w:tc>
          <w:tcPr>
            <w:tcW w:w="840" w:type="dxa"/>
            <w:vAlign w:val="bottom"/>
          </w:tcPr>
          <w:p>
            <w:pPr>
              <w:ind w:left="220"/>
              <w:spacing w:after="0"/>
              <w:rPr>
                <w:sz w:val="20"/>
                <w:szCs w:val="20"/>
                <w:color w:val="auto"/>
              </w:rPr>
            </w:pPr>
            <w:r>
              <w:rPr>
                <w:rFonts w:ascii="Arial" w:cs="Arial" w:eastAsia="Arial" w:hAnsi="Arial"/>
                <w:sz w:val="18"/>
                <w:szCs w:val="18"/>
                <w:color w:val="auto"/>
              </w:rPr>
              <w:t>38.0 %</w:t>
            </w:r>
          </w:p>
        </w:tc>
        <w:tc>
          <w:tcPr>
            <w:tcW w:w="1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38.6 %</w:t>
            </w:r>
          </w:p>
        </w:tc>
        <w:tc>
          <w:tcPr>
            <w:tcW w:w="120" w:type="dxa"/>
            <w:vAlign w:val="bottom"/>
          </w:tcPr>
          <w:p>
            <w:pPr>
              <w:spacing w:after="0"/>
              <w:rPr>
                <w:sz w:val="20"/>
                <w:szCs w:val="20"/>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37.7 %</w:t>
            </w:r>
          </w:p>
        </w:tc>
        <w:tc>
          <w:tcPr>
            <w:tcW w:w="120" w:type="dxa"/>
            <w:vAlign w:val="bottom"/>
          </w:tcPr>
          <w:p>
            <w:pPr>
              <w:spacing w:after="0"/>
              <w:rPr>
                <w:sz w:val="20"/>
                <w:szCs w:val="20"/>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w w:val="92"/>
              </w:rPr>
              <w:t>38.2 %</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Our gross margin decreased to 13.8% from 15.1% comparing the second quarter of 2017 to the same period of 2016. Our 12.7% increase in gross profit dollars compares unfavorably with our 16% increase in unit sales during the same</w:t>
      </w:r>
    </w:p>
    <w:p>
      <w:pPr>
        <w:ind w:right="80"/>
        <w:spacing w:after="0" w:line="261" w:lineRule="auto"/>
        <w:rPr>
          <w:sz w:val="20"/>
          <w:szCs w:val="20"/>
          <w:color w:val="auto"/>
        </w:rPr>
      </w:pPr>
      <w:r>
        <w:rPr>
          <w:rFonts w:ascii="Arial" w:cs="Arial" w:eastAsia="Arial" w:hAnsi="Arial"/>
          <w:sz w:val="18"/>
          <w:szCs w:val="18"/>
          <w:color w:val="auto"/>
        </w:rPr>
        <w:t>period. Acquired operations contributed $16.7 million of gross profit in the second quarter of 2017. Excluding acquisitions, our gross profits were impacted by the following:</w:t>
      </w:r>
    </w:p>
    <w:p>
      <w:pPr>
        <w:spacing w:after="0" w:line="184" w:lineRule="exact"/>
        <w:rPr>
          <w:sz w:val="20"/>
          <w:szCs w:val="20"/>
          <w:color w:val="auto"/>
        </w:rPr>
      </w:pPr>
    </w:p>
    <w:p>
      <w:pPr>
        <w:ind w:left="820" w:right="340" w:hanging="331"/>
        <w:spacing w:after="0" w:line="25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gross profit on sales to the retail market decreased by over $2 million due to a 110 basis decrease in gross margin as a result of selling variable price products into a falling lumber market.</w:t>
      </w:r>
    </w:p>
    <w:p>
      <w:pPr>
        <w:spacing w:after="0" w:line="1" w:lineRule="exact"/>
        <w:rPr>
          <w:rFonts w:ascii="Arial" w:cs="Arial" w:eastAsia="Arial" w:hAnsi="Arial"/>
          <w:sz w:val="18"/>
          <w:szCs w:val="18"/>
          <w:color w:val="auto"/>
        </w:rPr>
      </w:pPr>
    </w:p>
    <w:p>
      <w:pPr>
        <w:ind w:left="820" w:right="440" w:hanging="331"/>
        <w:spacing w:after="0" w:line="281"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gross profit on sales to the industrial market decreased by approximately $1 million primarily due to the impact of the higher cost of lumber on products we sell with fixed selling prices for a certain time period.</w:t>
      </w:r>
    </w:p>
    <w:p>
      <w:pPr>
        <w:spacing w:after="0" w:line="1" w:lineRule="exact"/>
        <w:rPr>
          <w:rFonts w:ascii="Arial" w:cs="Arial" w:eastAsia="Arial" w:hAnsi="Arial"/>
          <w:sz w:val="16"/>
          <w:szCs w:val="16"/>
          <w:color w:val="auto"/>
        </w:rPr>
      </w:pPr>
    </w:p>
    <w:p>
      <w:pPr>
        <w:ind w:left="820" w:right="80" w:hanging="331"/>
        <w:spacing w:after="0" w:line="26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gross profit on sales to the construction market increased by almost $3 million due to a 7% organic unit sales increase.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Our gross margin decreased to 14.0% from 15.1% comparing the first six months of 2017 to the same period of 2016. Our 14.8% increase in gross profit dollars compares unfavorably with our 17% increase in unit sales in the first six months of 2017 compared to the same period last year. The increase in our gross profit dollars was primarily due to acquired operations which contributed $27.6 million of gross profit in the first six months of 2017. Excluding acquisitions our gross profits were impacted by:</w:t>
      </w:r>
    </w:p>
    <w:p>
      <w:pPr>
        <w:spacing w:after="0" w:line="188" w:lineRule="exact"/>
        <w:rPr>
          <w:sz w:val="20"/>
          <w:szCs w:val="20"/>
          <w:color w:val="auto"/>
        </w:rPr>
      </w:pPr>
    </w:p>
    <w:p>
      <w:pPr>
        <w:ind w:left="820" w:right="579" w:hanging="331"/>
        <w:spacing w:after="0" w:line="25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profit on sales to the retail market increased by almost $2 million due to a 2% organic unit sales increase.</w:t>
      </w:r>
    </w:p>
    <w:p>
      <w:pPr>
        <w:spacing w:after="0" w:line="1" w:lineRule="exact"/>
        <w:rPr>
          <w:rFonts w:ascii="Arial" w:cs="Arial" w:eastAsia="Arial" w:hAnsi="Arial"/>
          <w:sz w:val="18"/>
          <w:szCs w:val="18"/>
          <w:color w:val="auto"/>
        </w:rPr>
      </w:pPr>
    </w:p>
    <w:p>
      <w:pPr>
        <w:ind w:left="820" w:right="139" w:hanging="331"/>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profit on sales to the industrial market decreased by over $6 million primarily due to the impact of the higher cost of lumber on products we sell with fixed selling prices (See our discussion under Impact of the Lumber Market on Our Operating Results above).</w:t>
      </w:r>
    </w:p>
    <w:p>
      <w:pPr>
        <w:spacing w:after="0" w:line="1" w:lineRule="exact"/>
        <w:rPr>
          <w:rFonts w:ascii="Arial" w:cs="Arial" w:eastAsia="Arial" w:hAnsi="Arial"/>
          <w:sz w:val="18"/>
          <w:szCs w:val="18"/>
          <w:color w:val="auto"/>
        </w:rPr>
      </w:pPr>
    </w:p>
    <w:p>
      <w:pPr>
        <w:ind w:left="820" w:right="219" w:hanging="331"/>
        <w:spacing w:after="0" w:line="261"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profit on sales to the construction market increased by approximately $8 million due to a 9% organic unit sales increase.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right="159"/>
        <w:spacing w:after="0" w:line="297" w:lineRule="auto"/>
        <w:rPr>
          <w:sz w:val="20"/>
          <w:szCs w:val="20"/>
          <w:color w:val="auto"/>
        </w:rPr>
      </w:pPr>
      <w:r>
        <w:rPr>
          <w:rFonts w:ascii="Arial" w:cs="Arial" w:eastAsia="Arial" w:hAnsi="Arial"/>
          <w:sz w:val="16"/>
          <w:szCs w:val="16"/>
          <w:color w:val="auto"/>
        </w:rPr>
        <w:t>Selling, general and administrative (“SG&amp;A”) expenses increased by approximately $16.5 million, or 21.2%, in the second quarter of 2017 compared to the same period of 2016, while we reported a 16% increase in unit sales. Acquired operations contributed approximately $14 million to our year over year increase. The remaining increase was primarily due to an increase in compensation and benefit costs, bad debt expense and foreign currency exchange losses. These increases were offset by a $1.4 million decrease in our accrued bonus expense to $12.1 million this year from $13.5 million last year.</w:t>
      </w:r>
    </w:p>
    <w:p>
      <w:pPr>
        <w:spacing w:after="0" w:line="158" w:lineRule="exact"/>
        <w:rPr>
          <w:sz w:val="20"/>
          <w:szCs w:val="20"/>
          <w:color w:val="auto"/>
        </w:rPr>
      </w:pPr>
    </w:p>
    <w:p>
      <w:pPr>
        <w:ind w:right="119"/>
        <w:spacing w:after="0" w:line="276" w:lineRule="auto"/>
        <w:rPr>
          <w:sz w:val="20"/>
          <w:szCs w:val="20"/>
          <w:color w:val="auto"/>
        </w:rPr>
      </w:pPr>
      <w:r>
        <w:rPr>
          <w:rFonts w:ascii="Arial" w:cs="Arial" w:eastAsia="Arial" w:hAnsi="Arial"/>
          <w:sz w:val="17"/>
          <w:szCs w:val="17"/>
          <w:color w:val="auto"/>
        </w:rPr>
        <w:t>Selling, general and administrative (“SG&amp;A”) expenses increased by approximately $32.6 million, or 21.9%, in the first six months of 2017 compared to the same period of 2016, while we reported a 17% increase in unit sales. Acquired operations contributed approximately $27 million to our year over year increase. The remaining increase was primarily due to an increase in compensation and benefit costs and foreign currency exchange losses. These increases were offset by a $1.7 million decrease in our accrued bonus expense to $20.2 million this year from $21.9 last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ind w:right="259"/>
        <w:spacing w:after="0" w:line="277" w:lineRule="auto"/>
        <w:rPr>
          <w:sz w:val="20"/>
          <w:szCs w:val="20"/>
          <w:color w:val="auto"/>
        </w:rPr>
      </w:pPr>
      <w:r>
        <w:rPr>
          <w:rFonts w:ascii="Arial" w:cs="Arial" w:eastAsia="Arial" w:hAnsi="Arial"/>
          <w:sz w:val="18"/>
          <w:szCs w:val="18"/>
          <w:color w:val="auto"/>
        </w:rPr>
        <w:t>Net interest costs were higher in the second quarter of 2017 compared to the same period of 2016 due to carrying a higher amount of debt and a slight increase in short-term borrowing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79"/>
        <w:spacing w:after="0" w:line="276"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was 34.0% in the second quarter of 2017 compared to 35.3% for same period in 2016 and 33.7% in the first six months of 2017 compared to 35.0% in 2016. The decrease in our effective tax rate is due to recording a tax deduction for certain share-based compensation and fees at fair market value and an anticipated increase in our research and development tax credit.</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 the periods indicated, our net sales and earnings from operations by reportable segment.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left="341"/>
              <w:spacing w:after="0"/>
              <w:rPr>
                <w:sz w:val="20"/>
                <w:szCs w:val="20"/>
                <w:color w:val="auto"/>
              </w:rPr>
            </w:pPr>
            <w:r>
              <w:rPr>
                <w:rFonts w:ascii="Arial" w:cs="Arial" w:eastAsia="Arial" w:hAnsi="Arial"/>
                <w:sz w:val="14"/>
                <w:szCs w:val="14"/>
                <w:b w:val="1"/>
                <w:bCs w:val="1"/>
                <w:color w:val="auto"/>
                <w:w w:val="88"/>
              </w:rPr>
              <w:t>Net Sales</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12"/>
          </w:tcPr>
          <w:p>
            <w:pPr>
              <w:jc w:val="center"/>
              <w:ind w:right="200"/>
              <w:spacing w:after="0"/>
              <w:rPr>
                <w:sz w:val="20"/>
                <w:szCs w:val="20"/>
                <w:color w:val="auto"/>
              </w:rPr>
            </w:pPr>
            <w:r>
              <w:rPr>
                <w:rFonts w:ascii="Arial" w:cs="Arial" w:eastAsia="Arial" w:hAnsi="Arial"/>
                <w:sz w:val="14"/>
                <w:szCs w:val="14"/>
                <w:b w:val="1"/>
                <w:bCs w:val="1"/>
                <w:color w:val="auto"/>
                <w:w w:val="93"/>
              </w:rPr>
              <w:t>Earnings from Operations</w:t>
            </w:r>
          </w:p>
        </w:tc>
        <w:tc>
          <w:tcPr>
            <w:tcW w:w="620" w:type="dxa"/>
            <w:vAlign w:val="bottom"/>
            <w:tcBorders>
              <w:bottom w:val="single" w:sz="8" w:color="auto"/>
            </w:tcBorders>
          </w:tcPr>
          <w:p>
            <w:pPr>
              <w:spacing w:after="0"/>
              <w:rPr>
                <w:sz w:val="15"/>
                <w:szCs w:val="15"/>
                <w:color w:val="auto"/>
              </w:rPr>
            </w:pP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8"/>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9"/>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Borders>
              <w:bottom w:val="single" w:sz="8" w:color="auto"/>
            </w:tcBorders>
          </w:tcPr>
          <w:p>
            <w:pPr>
              <w:spacing w:after="0"/>
              <w:rPr>
                <w:sz w:val="13"/>
                <w:szCs w:val="13"/>
                <w:color w:val="auto"/>
              </w:rPr>
            </w:pPr>
          </w:p>
        </w:tc>
      </w:tr>
      <w:tr>
        <w:trPr>
          <w:trHeight w:val="126"/>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ind w:left="120"/>
              <w:spacing w:after="0" w:line="126" w:lineRule="exact"/>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jc w:val="right"/>
              <w:ind w:right="240"/>
              <w:spacing w:after="0" w:line="126" w:lineRule="exact"/>
              <w:rPr>
                <w:sz w:val="20"/>
                <w:szCs w:val="20"/>
                <w:color w:val="auto"/>
              </w:rPr>
            </w:pPr>
            <w:r>
              <w:rPr>
                <w:rFonts w:ascii="Arial" w:cs="Arial" w:eastAsia="Arial" w:hAnsi="Arial"/>
                <w:sz w:val="14"/>
                <w:szCs w:val="14"/>
                <w:b w:val="1"/>
                <w:bCs w:val="1"/>
                <w:color w:val="auto"/>
              </w:rPr>
              <w:t>June 25,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274"/>
              <w:spacing w:after="0" w:line="126"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right"/>
              <w:ind w:right="94"/>
              <w:spacing w:after="0" w:line="126"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220"/>
              <w:spacing w:after="0" w:line="126" w:lineRule="exact"/>
              <w:rPr>
                <w:sz w:val="20"/>
                <w:szCs w:val="20"/>
                <w:color w:val="auto"/>
              </w:rPr>
            </w:pPr>
            <w:r>
              <w:rPr>
                <w:rFonts w:ascii="Arial" w:cs="Arial" w:eastAsia="Arial" w:hAnsi="Arial"/>
                <w:sz w:val="14"/>
                <w:szCs w:val="14"/>
                <w:b w:val="1"/>
                <w:bCs w:val="1"/>
                <w:color w:val="auto"/>
                <w:w w:val="87"/>
              </w:rPr>
              <w:t>July 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20"/>
              <w:spacing w:after="0" w:line="126" w:lineRule="exact"/>
              <w:rPr>
                <w:sz w:val="20"/>
                <w:szCs w:val="20"/>
                <w:color w:val="auto"/>
              </w:rPr>
            </w:pPr>
            <w:r>
              <w:rPr>
                <w:rFonts w:ascii="Arial" w:cs="Arial" w:eastAsia="Arial" w:hAnsi="Arial"/>
                <w:sz w:val="14"/>
                <w:szCs w:val="14"/>
                <w:b w:val="1"/>
                <w:bCs w:val="1"/>
                <w:color w:val="auto"/>
                <w:w w:val="92"/>
              </w:rPr>
              <w:t>June 25,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14"/>
              <w:spacing w:after="0" w:line="126"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w:t>
            </w:r>
          </w:p>
        </w:tc>
      </w:tr>
      <w:tr>
        <w:trPr>
          <w:trHeight w:val="178"/>
        </w:trPr>
        <w:tc>
          <w:tcPr>
            <w:tcW w:w="1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16"/>
        </w:trPr>
        <w:tc>
          <w:tcPr>
            <w:tcW w:w="1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319,554</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$ 288,185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31,369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Borders>
              <w:top w:val="single" w:sz="8" w:color="auto"/>
              <w:right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16,246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221,583</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194,425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27,158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10,229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5"/>
              </w:rPr>
              <w:t>(25.8)%</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390,868</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326,619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64,249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Borders>
              <w:right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24,704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140,370</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62,864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77,506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123.3</w:t>
            </w:r>
          </w:p>
        </w:tc>
        <w:tc>
          <w:tcPr>
            <w:tcW w:w="34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(52.2)%</w:t>
            </w:r>
          </w:p>
        </w:tc>
      </w:tr>
      <w:tr>
        <w:trPr>
          <w:trHeight w:val="210"/>
        </w:trPr>
        <w:tc>
          <w:tcPr>
            <w:tcW w:w="1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20"/>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1,072,375</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$ 872,093</w:t>
            </w: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w w:val="89"/>
              </w:rPr>
              <w:t>$ 200,282</w:t>
            </w: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right w:val="single" w:sz="8" w:color="auto"/>
            </w:tcBorders>
            <w:gridSpan w:val="4"/>
          </w:tcPr>
          <w:p>
            <w:pPr>
              <w:jc w:val="right"/>
              <w:ind w:right="30"/>
              <w:spacing w:after="0" w:line="203" w:lineRule="exact"/>
              <w:rPr>
                <w:sz w:val="20"/>
                <w:szCs w:val="20"/>
                <w:color w:val="auto"/>
              </w:rPr>
            </w:pPr>
            <w:r>
              <w:rPr>
                <w:rFonts w:ascii="Arial" w:cs="Arial" w:eastAsia="Arial" w:hAnsi="Arial"/>
                <w:sz w:val="18"/>
                <w:szCs w:val="18"/>
                <w:color w:val="auto"/>
              </w:rPr>
              <w:t>23.0 %</w:t>
            </w:r>
          </w:p>
        </w:tc>
        <w:tc>
          <w:tcPr>
            <w:tcW w:w="180" w:type="dxa"/>
            <w:vAlign w:val="bottom"/>
            <w:tcBorders>
              <w:top w:val="single" w:sz="8" w:color="CCEEFF"/>
              <w:right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53,899</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53,665</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0.4 %</w:t>
            </w:r>
          </w:p>
        </w:tc>
      </w:tr>
      <w:tr>
        <w:trPr>
          <w:trHeight w:val="385"/>
        </w:trPr>
        <w:tc>
          <w:tcPr>
            <w:tcW w:w="1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jc w:val="center"/>
              <w:ind w:left="381"/>
              <w:spacing w:after="0"/>
              <w:rPr>
                <w:sz w:val="20"/>
                <w:szCs w:val="20"/>
                <w:color w:val="auto"/>
              </w:rPr>
            </w:pPr>
            <w:r>
              <w:rPr>
                <w:rFonts w:ascii="Arial" w:cs="Arial" w:eastAsia="Arial" w:hAnsi="Arial"/>
                <w:sz w:val="14"/>
                <w:szCs w:val="14"/>
                <w:b w:val="1"/>
                <w:bCs w:val="1"/>
                <w:color w:val="auto"/>
                <w:w w:val="88"/>
              </w:rPr>
              <w:t>Net Sales</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0"/>
          </w:tcPr>
          <w:p>
            <w:pPr>
              <w:jc w:val="center"/>
              <w:ind w:right="240"/>
              <w:spacing w:after="0"/>
              <w:rPr>
                <w:sz w:val="20"/>
                <w:szCs w:val="20"/>
                <w:color w:val="auto"/>
              </w:rPr>
            </w:pPr>
            <w:r>
              <w:rPr>
                <w:rFonts w:ascii="Arial" w:cs="Arial" w:eastAsia="Arial" w:hAnsi="Arial"/>
                <w:sz w:val="14"/>
                <w:szCs w:val="14"/>
                <w:b w:val="1"/>
                <w:bCs w:val="1"/>
                <w:color w:val="auto"/>
                <w:w w:val="93"/>
              </w:rPr>
              <w:t>Earnings from Operations</w:t>
            </w:r>
          </w:p>
        </w:tc>
        <w:tc>
          <w:tcPr>
            <w:tcW w:w="620" w:type="dxa"/>
            <w:vAlign w:val="bottom"/>
            <w:tcBorders>
              <w:bottom w:val="single" w:sz="8" w:color="auto"/>
            </w:tcBorders>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8"/>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Six Months Ended</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9"/>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620" w:type="dxa"/>
            <w:vAlign w:val="bottom"/>
            <w:tcBorders>
              <w:bottom w:val="single" w:sz="8" w:color="auto"/>
            </w:tcBorders>
          </w:tcPr>
          <w:p>
            <w:pPr>
              <w:spacing w:after="0"/>
              <w:rPr>
                <w:sz w:val="13"/>
                <w:szCs w:val="13"/>
                <w:color w:val="auto"/>
              </w:rPr>
            </w:pPr>
          </w:p>
        </w:tc>
      </w:tr>
      <w:tr>
        <w:trPr>
          <w:trHeight w:val="126"/>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jc w:val="right"/>
              <w:ind w:right="220"/>
              <w:spacing w:after="0" w:line="126" w:lineRule="exact"/>
              <w:rPr>
                <w:sz w:val="20"/>
                <w:szCs w:val="20"/>
                <w:color w:val="auto"/>
              </w:rPr>
            </w:pPr>
            <w:r>
              <w:rPr>
                <w:rFonts w:ascii="Arial" w:cs="Arial" w:eastAsia="Arial" w:hAnsi="Arial"/>
                <w:sz w:val="14"/>
                <w:szCs w:val="14"/>
                <w:b w:val="1"/>
                <w:bCs w:val="1"/>
                <w:color w:val="auto"/>
              </w:rPr>
              <w:t>June 25,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ind w:right="174"/>
              <w:spacing w:after="0" w:line="126"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20"/>
              <w:spacing w:after="0" w:line="126" w:lineRule="exact"/>
              <w:rPr>
                <w:sz w:val="20"/>
                <w:szCs w:val="20"/>
                <w:color w:val="auto"/>
              </w:rPr>
            </w:pPr>
            <w:r>
              <w:rPr>
                <w:rFonts w:ascii="Arial" w:cs="Arial" w:eastAsia="Arial" w:hAnsi="Arial"/>
                <w:sz w:val="14"/>
                <w:szCs w:val="14"/>
                <w:b w:val="1"/>
                <w:bCs w:val="1"/>
                <w:color w:val="auto"/>
                <w:w w:val="92"/>
              </w:rPr>
              <w:t>June 25,</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4"/>
              <w:spacing w:after="0" w:line="126"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ind w:right="254"/>
              <w:spacing w:after="0" w:line="126" w:lineRule="exact"/>
              <w:rPr>
                <w:sz w:val="20"/>
                <w:szCs w:val="20"/>
                <w:color w:val="auto"/>
              </w:rPr>
            </w:pPr>
            <w:r>
              <w:rPr>
                <w:rFonts w:ascii="Arial" w:cs="Arial" w:eastAsia="Arial" w:hAnsi="Arial"/>
                <w:sz w:val="14"/>
                <w:szCs w:val="14"/>
                <w:b w:val="1"/>
                <w:bCs w:val="1"/>
                <w:color w:val="auto"/>
              </w:rPr>
              <w:t>%</w:t>
            </w:r>
          </w:p>
        </w:tc>
      </w:tr>
      <w:tr>
        <w:trPr>
          <w:trHeight w:val="178"/>
        </w:trPr>
        <w:tc>
          <w:tcPr>
            <w:tcW w:w="1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5"/>
                <w:szCs w:val="15"/>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16"/>
        </w:trPr>
        <w:tc>
          <w:tcPr>
            <w:tcW w:w="1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547,475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490,910</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56,565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Borders>
              <w:top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26,224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South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410,326</w:t>
            </w:r>
          </w:p>
        </w:tc>
        <w:tc>
          <w:tcPr>
            <w:tcW w:w="4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359,524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50,802</w:t>
            </w: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7"/>
              </w:rPr>
              <w:t>%</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20,918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5"/>
              </w:rPr>
              <w:t>(19.3)%</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710,030</w:t>
            </w:r>
          </w:p>
        </w:tc>
        <w:tc>
          <w:tcPr>
            <w:tcW w:w="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604,207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105,823</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43,008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250,674</w:t>
            </w:r>
          </w:p>
        </w:tc>
        <w:tc>
          <w:tcPr>
            <w:tcW w:w="40" w:type="dxa"/>
            <w:vAlign w:val="bottom"/>
          </w:tcPr>
          <w:p>
            <w:pPr>
              <w:spacing w:after="0"/>
              <w:rPr>
                <w:sz w:val="18"/>
                <w:szCs w:val="18"/>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99,603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151,071</w:t>
            </w: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151.7</w:t>
            </w:r>
          </w:p>
        </w:tc>
        <w:tc>
          <w:tcPr>
            <w:tcW w:w="3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7"/>
              </w:rPr>
              <w:t>%</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5"/>
              </w:rPr>
              <w:t>(25.4)%</w:t>
            </w:r>
          </w:p>
        </w:tc>
      </w:tr>
      <w:tr>
        <w:trPr>
          <w:trHeight w:val="23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(15,834)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44.2 %</w:t>
            </w:r>
          </w:p>
        </w:tc>
      </w:tr>
      <w:tr>
        <w:trPr>
          <w:trHeight w:val="210"/>
        </w:trPr>
        <w:tc>
          <w:tcPr>
            <w:tcW w:w="1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gridSpan w:val="4"/>
          </w:tcPr>
          <w:p>
            <w:pPr>
              <w:jc w:val="right"/>
              <w:ind w:right="60"/>
              <w:spacing w:after="0" w:line="203" w:lineRule="exact"/>
              <w:rPr>
                <w:sz w:val="20"/>
                <w:szCs w:val="20"/>
                <w:color w:val="auto"/>
              </w:rPr>
            </w:pPr>
            <w:r>
              <w:rPr>
                <w:rFonts w:ascii="Arial" w:cs="Arial" w:eastAsia="Arial" w:hAnsi="Arial"/>
                <w:sz w:val="18"/>
                <w:szCs w:val="18"/>
                <w:color w:val="auto"/>
                <w:w w:val="90"/>
              </w:rPr>
              <w:t>$ 1,918,505</w:t>
            </w: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60"/>
              <w:spacing w:after="0" w:line="203" w:lineRule="exact"/>
              <w:rPr>
                <w:sz w:val="20"/>
                <w:szCs w:val="20"/>
                <w:color w:val="auto"/>
              </w:rPr>
            </w:pPr>
            <w:r>
              <w:rPr>
                <w:rFonts w:ascii="Arial" w:cs="Arial" w:eastAsia="Arial" w:hAnsi="Arial"/>
                <w:sz w:val="18"/>
                <w:szCs w:val="18"/>
                <w:color w:val="auto"/>
                <w:w w:val="90"/>
              </w:rPr>
              <w:t>$ 1,554,244</w:t>
            </w:r>
          </w:p>
        </w:tc>
        <w:tc>
          <w:tcPr>
            <w:tcW w:w="140" w:type="dxa"/>
            <w:vAlign w:val="bottom"/>
            <w:tcBorders>
              <w:top w:val="single" w:sz="8" w:color="CCEEFF"/>
            </w:tcBorders>
            <w:gridSpan w:val="2"/>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60"/>
              <w:spacing w:after="0" w:line="203" w:lineRule="exact"/>
              <w:rPr>
                <w:sz w:val="20"/>
                <w:szCs w:val="20"/>
                <w:color w:val="auto"/>
              </w:rPr>
            </w:pPr>
            <w:r>
              <w:rPr>
                <w:rFonts w:ascii="Arial" w:cs="Arial" w:eastAsia="Arial" w:hAnsi="Arial"/>
                <w:sz w:val="18"/>
                <w:szCs w:val="18"/>
                <w:color w:val="auto"/>
                <w:w w:val="92"/>
              </w:rPr>
              <w:t>$ 364,261</w:t>
            </w: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right w:val="single" w:sz="8" w:color="auto"/>
            </w:tcBorders>
            <w:gridSpan w:val="4"/>
          </w:tcPr>
          <w:p>
            <w:pPr>
              <w:jc w:val="right"/>
              <w:ind w:right="160"/>
              <w:spacing w:after="0" w:line="203" w:lineRule="exact"/>
              <w:rPr>
                <w:sz w:val="20"/>
                <w:szCs w:val="20"/>
                <w:color w:val="auto"/>
              </w:rPr>
            </w:pPr>
            <w:r>
              <w:rPr>
                <w:rFonts w:ascii="Arial" w:cs="Arial" w:eastAsia="Arial" w:hAnsi="Arial"/>
                <w:sz w:val="18"/>
                <w:szCs w:val="18"/>
                <w:color w:val="auto"/>
              </w:rPr>
              <w:t>23.4 %</w:t>
            </w:r>
          </w:p>
        </w:tc>
        <w:tc>
          <w:tcPr>
            <w:tcW w:w="120" w:type="dxa"/>
            <w:vAlign w:val="bottom"/>
            <w:tcBorders>
              <w:top w:val="single" w:sz="8" w:color="CCEEFF"/>
              <w:right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87,720</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85,575</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2,145</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2.5 %</w:t>
            </w:r>
          </w:p>
        </w:tc>
      </w:tr>
      <w:tr>
        <w:trPr>
          <w:trHeight w:val="108"/>
        </w:trPr>
        <w:tc>
          <w:tcPr>
            <w:tcW w:w="1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94" w:lineRule="exact"/>
        <w:rPr>
          <w:sz w:val="20"/>
          <w:szCs w:val="20"/>
          <w:color w:val="auto"/>
        </w:rPr>
      </w:pPr>
    </w:p>
    <w:p>
      <w:pPr>
        <w:ind w:right="1360" w:firstLine="3"/>
        <w:spacing w:after="0" w:line="504"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Corporate primarily represents over (under) allocated administrative costs and accrued bonus expense. </w:t>
      </w:r>
      <w:r>
        <w:rPr>
          <w:rFonts w:ascii="Arial" w:cs="Arial" w:eastAsia="Arial" w:hAnsi="Arial"/>
          <w:sz w:val="18"/>
          <w:szCs w:val="18"/>
          <w:u w:val="single" w:color="auto"/>
          <w:color w:val="auto"/>
        </w:rPr>
        <w:t>North</w:t>
      </w: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300" w:type="dxa"/>
            <w:vAlign w:val="bottom"/>
            <w:tcBorders>
              <w:bottom w:val="single" w:sz="8" w:color="auto"/>
            </w:tcBorders>
            <w:gridSpan w:val="5"/>
          </w:tcPr>
          <w:p>
            <w:pPr>
              <w:jc w:val="center"/>
              <w:ind w:left="120"/>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Borders>
              <w:bottom w:val="single" w:sz="8" w:color="auto"/>
            </w:tcBorders>
            <w:gridSpan w:val="7"/>
          </w:tcPr>
          <w:p>
            <w:pPr>
              <w:jc w:val="center"/>
              <w:ind w:left="120"/>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3"/>
                <w:szCs w:val="13"/>
                <w:color w:val="auto"/>
              </w:rPr>
            </w:pPr>
          </w:p>
        </w:tc>
        <w:tc>
          <w:tcPr>
            <w:tcW w:w="2300" w:type="dxa"/>
            <w:vAlign w:val="bottom"/>
            <w:tcBorders>
              <w:bottom w:val="single" w:sz="8" w:color="auto"/>
            </w:tcBorders>
            <w:gridSpan w:val="5"/>
          </w:tcPr>
          <w:p>
            <w:pPr>
              <w:jc w:val="center"/>
              <w:ind w:left="12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Borders>
              <w:bottom w:val="single" w:sz="8" w:color="auto"/>
            </w:tcBorders>
            <w:gridSpan w:val="6"/>
          </w:tcPr>
          <w:p>
            <w:pPr>
              <w:jc w:val="center"/>
              <w:ind w:left="60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6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760" w:type="dxa"/>
            <w:vAlign w:val="bottom"/>
          </w:tcPr>
          <w:p>
            <w:pPr>
              <w:jc w:val="right"/>
              <w:ind w:right="100"/>
              <w:spacing w:after="0" w:line="126" w:lineRule="exact"/>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0"/>
                <w:szCs w:val="10"/>
                <w:color w:val="auto"/>
              </w:rPr>
            </w:pPr>
          </w:p>
        </w:tc>
        <w:tc>
          <w:tcPr>
            <w:tcW w:w="740" w:type="dxa"/>
            <w:vAlign w:val="bottom"/>
          </w:tcPr>
          <w:p>
            <w:pPr>
              <w:jc w:val="right"/>
              <w:ind w:right="39"/>
              <w:spacing w:after="0" w:line="126" w:lineRule="exact"/>
              <w:rPr>
                <w:sz w:val="20"/>
                <w:szCs w:val="20"/>
                <w:color w:val="auto"/>
              </w:rPr>
            </w:pPr>
            <w:r>
              <w:rPr>
                <w:rFonts w:ascii="Arial" w:cs="Arial" w:eastAsia="Arial" w:hAnsi="Arial"/>
                <w:sz w:val="14"/>
                <w:szCs w:val="14"/>
                <w:b w:val="1"/>
                <w:bCs w:val="1"/>
                <w:color w:val="auto"/>
              </w:rPr>
              <w:t>June 25,</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ind w:left="180"/>
              <w:spacing w:after="0" w:line="126" w:lineRule="exact"/>
              <w:rPr>
                <w:sz w:val="20"/>
                <w:szCs w:val="20"/>
                <w:color w:val="auto"/>
              </w:rPr>
            </w:pPr>
            <w:r>
              <w:rPr>
                <w:rFonts w:ascii="Arial" w:cs="Arial" w:eastAsia="Arial" w:hAnsi="Arial"/>
                <w:sz w:val="14"/>
                <w:szCs w:val="14"/>
                <w:b w:val="1"/>
                <w:bCs w:val="1"/>
                <w:color w:val="auto"/>
              </w:rPr>
              <w:t>July 1,</w:t>
            </w:r>
          </w:p>
        </w:tc>
        <w:tc>
          <w:tcPr>
            <w:tcW w:w="20" w:type="dxa"/>
            <w:vAlign w:val="bottom"/>
          </w:tcPr>
          <w:p>
            <w:pPr>
              <w:spacing w:after="0"/>
              <w:rPr>
                <w:sz w:val="10"/>
                <w:szCs w:val="10"/>
                <w:color w:val="auto"/>
              </w:rPr>
            </w:pPr>
          </w:p>
        </w:tc>
        <w:tc>
          <w:tcPr>
            <w:tcW w:w="900" w:type="dxa"/>
            <w:vAlign w:val="bottom"/>
            <w:gridSpan w:val="3"/>
          </w:tcPr>
          <w:p>
            <w:pPr>
              <w:ind w:left="100"/>
              <w:spacing w:after="0" w:line="126" w:lineRule="exact"/>
              <w:rPr>
                <w:sz w:val="20"/>
                <w:szCs w:val="20"/>
                <w:color w:val="auto"/>
              </w:rPr>
            </w:pPr>
            <w:r>
              <w:rPr>
                <w:rFonts w:ascii="Arial" w:cs="Arial" w:eastAsia="Arial" w:hAnsi="Arial"/>
                <w:sz w:val="14"/>
                <w:szCs w:val="14"/>
                <w:b w:val="1"/>
                <w:bCs w:val="1"/>
                <w:color w:val="auto"/>
              </w:rPr>
              <w:t>June 25,</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$161,697</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$152,643</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$248,640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$237,447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41,956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32,003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74,342</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60,986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202,004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3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327,079</w:t>
            </w:r>
          </w:p>
        </w:tc>
        <w:tc>
          <w:tcPr>
            <w:tcW w:w="16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294,385</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11.1</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559,204</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500,437</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30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319,554</w:t>
            </w: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288,185</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10.9</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547,475</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490,910</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11.5</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Net sales attributable to the North reportable segment increased in the second quarter of 2017 compared to 2016 as a result of increased sales to each of our markets. Our sales to the retail and construction markets increased due to the same factors previously discussed. Acquired operations contributed $9.4 million to our industrial sales increase.</w:t>
      </w:r>
    </w:p>
    <w:p>
      <w:pPr>
        <w:spacing w:after="0" w:line="16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Earnings from operations for the North reportable segment decreased in the second quarter of 2017 by $2.9 million, or 15.1%, due to a decrease in gross profit of $0.7 million and a $2.2 million increase in SG&amp;A expenses compared to last year. Acquired operations contributed $0.7 million to our operating profits in the second quarter. The remaining decrease was primarily due to the impact of the lumber market volatility on gross profits as previously described.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Net sales attributable to the North reportable segment increased in the first six months of 2017 compared to 2016 due to an increase in sales to each of our markets. Our sales to the retail and construction markets increased due to the same factors previously discussed. Acquired operations contributed $12.5 million to our industrial sales increase.</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Earnings from operations for the North reportable segment decreased in the first six months of 2017 by $2.2 million, or 7.7%, due to an increase in gross profit of $1.8 million offset by a $4.0 million increase in SG&amp;A expenses compared to last</w:t>
      </w:r>
    </w:p>
    <w:p>
      <w:pPr>
        <w:ind w:right="260"/>
        <w:spacing w:after="0" w:line="261" w:lineRule="auto"/>
        <w:rPr>
          <w:sz w:val="20"/>
          <w:szCs w:val="20"/>
          <w:color w:val="auto"/>
        </w:rPr>
      </w:pPr>
      <w:r>
        <w:rPr>
          <w:rFonts w:ascii="Arial" w:cs="Arial" w:eastAsia="Arial" w:hAnsi="Arial"/>
          <w:sz w:val="18"/>
          <w:szCs w:val="18"/>
          <w:color w:val="auto"/>
        </w:rPr>
        <w:t>year. Acquired operations contributed $0.9 million to our operating profits in the first six months of 2017. The remaining decrease was due to the same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8"/>
              </w:rPr>
              <w:t>Net Sales</w:t>
            </w: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00" w:type="dxa"/>
            <w:vAlign w:val="bottom"/>
            <w:tcBorders>
              <w:bottom w:val="single" w:sz="8" w:color="auto"/>
            </w:tcBorders>
            <w:gridSpan w:val="6"/>
          </w:tcPr>
          <w:p>
            <w:pPr>
              <w:jc w:val="center"/>
              <w:ind w:left="200"/>
              <w:spacing w:after="0" w:line="149" w:lineRule="exact"/>
              <w:rPr>
                <w:sz w:val="20"/>
                <w:szCs w:val="20"/>
                <w:color w:val="auto"/>
              </w:rPr>
            </w:pPr>
            <w:r>
              <w:rPr>
                <w:rFonts w:ascii="Arial" w:cs="Arial" w:eastAsia="Arial" w:hAnsi="Arial"/>
                <w:sz w:val="14"/>
                <w:szCs w:val="14"/>
                <w:b w:val="1"/>
                <w:bCs w:val="1"/>
                <w:color w:val="auto"/>
                <w:w w:val="94"/>
              </w:rPr>
              <w:t>South Segment by Market</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bottom w:val="single" w:sz="8" w:color="auto"/>
            </w:tcBorders>
            <w:gridSpan w:val="7"/>
          </w:tcPr>
          <w:p>
            <w:pPr>
              <w:jc w:val="center"/>
              <w:ind w:left="100"/>
              <w:spacing w:after="0" w:line="149" w:lineRule="exact"/>
              <w:rPr>
                <w:sz w:val="20"/>
                <w:szCs w:val="20"/>
                <w:color w:val="auto"/>
              </w:rPr>
            </w:pPr>
            <w:r>
              <w:rPr>
                <w:rFonts w:ascii="Arial" w:cs="Arial" w:eastAsia="Arial" w:hAnsi="Arial"/>
                <w:sz w:val="14"/>
                <w:szCs w:val="14"/>
                <w:b w:val="1"/>
                <w:bCs w:val="1"/>
                <w:color w:val="auto"/>
                <w:w w:val="93"/>
              </w:rPr>
              <w:t>South Segment by Market</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3"/>
                <w:szCs w:val="13"/>
                <w:color w:val="auto"/>
              </w:rPr>
            </w:pPr>
          </w:p>
        </w:tc>
        <w:tc>
          <w:tcPr>
            <w:tcW w:w="2300" w:type="dxa"/>
            <w:vAlign w:val="bottom"/>
            <w:tcBorders>
              <w:bottom w:val="single" w:sz="8" w:color="auto"/>
            </w:tcBorders>
            <w:gridSpan w:val="6"/>
          </w:tcPr>
          <w:p>
            <w:pPr>
              <w:jc w:val="center"/>
              <w:ind w:left="20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bottom w:val="single" w:sz="8" w:color="auto"/>
            </w:tcBorders>
            <w:gridSpan w:val="6"/>
          </w:tcPr>
          <w:p>
            <w:pPr>
              <w:jc w:val="center"/>
              <w:ind w:left="62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6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60" w:type="dxa"/>
            <w:vAlign w:val="bottom"/>
          </w:tcPr>
          <w:p>
            <w:pPr>
              <w:jc w:val="right"/>
              <w:ind w:right="100"/>
              <w:spacing w:after="0" w:line="126" w:lineRule="exact"/>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9"/>
              </w:rPr>
              <w:t>June 25,</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ind w:left="180"/>
              <w:spacing w:after="0" w:line="126" w:lineRule="exact"/>
              <w:rPr>
                <w:sz w:val="20"/>
                <w:szCs w:val="20"/>
                <w:color w:val="auto"/>
              </w:rPr>
            </w:pPr>
            <w:r>
              <w:rPr>
                <w:rFonts w:ascii="Arial" w:cs="Arial" w:eastAsia="Arial" w:hAnsi="Arial"/>
                <w:sz w:val="14"/>
                <w:szCs w:val="14"/>
                <w:b w:val="1"/>
                <w:bCs w:val="1"/>
                <w:color w:val="auto"/>
              </w:rPr>
              <w:t>July 1,</w:t>
            </w:r>
          </w:p>
        </w:tc>
        <w:tc>
          <w:tcPr>
            <w:tcW w:w="20" w:type="dxa"/>
            <w:vAlign w:val="bottom"/>
          </w:tcPr>
          <w:p>
            <w:pPr>
              <w:spacing w:after="0"/>
              <w:rPr>
                <w:sz w:val="10"/>
                <w:szCs w:val="10"/>
                <w:color w:val="auto"/>
              </w:rPr>
            </w:pPr>
          </w:p>
        </w:tc>
        <w:tc>
          <w:tcPr>
            <w:tcW w:w="920" w:type="dxa"/>
            <w:vAlign w:val="bottom"/>
            <w:gridSpan w:val="3"/>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June 25,</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3"/>
        </w:trPr>
        <w:tc>
          <w:tcPr>
            <w:tcW w:w="2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$106,340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92,123</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w:t>
            </w:r>
          </w:p>
        </w:tc>
        <w:tc>
          <w:tcPr>
            <w:tcW w:w="2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$190,663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$163,982</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71,120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65,162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132,538</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125,249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49,248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96,333</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77,432</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6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26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226,708</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198,465</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14.2</w:t>
            </w:r>
          </w:p>
        </w:tc>
        <w:tc>
          <w:tcPr>
            <w:tcW w:w="28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419,534</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366,663</w:t>
            </w: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14.4</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(9,208)</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26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221,583</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194,425</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14.0</w:t>
            </w:r>
          </w:p>
        </w:tc>
        <w:tc>
          <w:tcPr>
            <w:tcW w:w="28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410,326</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359,524</w:t>
            </w: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14.1</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Net sales attributable to the South reportable segment increased in the second quarter of 2017 compared to 2016 due to increased sales to retail, industrial, and construction customers. Our sales to the retail and industrial markets increased primarily due to acquired operations which contributed $27.7 million and $1.2 million, respectively, of sales growth. Our sales to the construction market increased primarily due to increased industry production of manufactured homes.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Earnings from operations for the South reportable segment decreased in the second quarter of 2017 by $3.6 million, or</w:t>
      </w:r>
    </w:p>
    <w:p>
      <w:pPr>
        <w:spacing w:after="0" w:line="3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25.8%, due to a decrease in gross profit of $2.8 million and an increase of $0.8 million in SG&amp;A expenses. The decrease in gross profit was primarily due to the impact of the volatility in lumber prices. Acquired operations contributed $0.8 million to our operating profits in the second quarter.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Net sales attributable to the South reportable segment increased in the second quarter of 2017 compared to 2016 due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increased sales to retail, industrial, and construction customers. Our sales to the retail market increased primarily due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acquired operations which contributed $35.5 million of sales growth, as well as increased sales with “big box”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customers. Our sales to the industrial market increased primarily due to share gains within our Southeast region. Our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construction market increased primarily due to increased industry production of manufactured homes.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Earnings from operations for the South reportable segment decreased in the second quarter of 2017 by $5.0 million, or</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19.3%, due to a decrease in gross profit of $3.9 million and an increase of $1.1 million in SG&amp;A expenses. The decrease in gross profit was primarily due to the same factors discussed above. Acquired operations contributed $1.3 million to our operating profits in the first six months of 2017.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8"/>
              </w:rPr>
              <w:t>Net Sales</w:t>
            </w: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320" w:type="dxa"/>
            <w:vAlign w:val="bottom"/>
            <w:tcBorders>
              <w:bottom w:val="single" w:sz="8" w:color="auto"/>
            </w:tcBorders>
            <w:gridSpan w:val="5"/>
          </w:tcPr>
          <w:p>
            <w:pPr>
              <w:jc w:val="center"/>
              <w:ind w:left="200"/>
              <w:spacing w:after="0" w:line="149" w:lineRule="exact"/>
              <w:rPr>
                <w:sz w:val="20"/>
                <w:szCs w:val="20"/>
                <w:color w:val="auto"/>
              </w:rPr>
            </w:pPr>
            <w:r>
              <w:rPr>
                <w:rFonts w:ascii="Arial" w:cs="Arial" w:eastAsia="Arial" w:hAnsi="Arial"/>
                <w:sz w:val="14"/>
                <w:szCs w:val="14"/>
                <w:b w:val="1"/>
                <w:bCs w:val="1"/>
                <w:color w:val="auto"/>
                <w:w w:val="94"/>
              </w:rPr>
              <w:t>West Segment by Market</w:t>
            </w: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Borders>
              <w:bottom w:val="single" w:sz="8" w:color="auto"/>
            </w:tcBorders>
            <w:gridSpan w:val="6"/>
          </w:tcPr>
          <w:p>
            <w:pPr>
              <w:jc w:val="center"/>
              <w:ind w:left="200"/>
              <w:spacing w:after="0" w:line="149" w:lineRule="exact"/>
              <w:rPr>
                <w:sz w:val="20"/>
                <w:szCs w:val="20"/>
                <w:color w:val="auto"/>
              </w:rPr>
            </w:pPr>
            <w:r>
              <w:rPr>
                <w:rFonts w:ascii="Arial" w:cs="Arial" w:eastAsia="Arial" w:hAnsi="Arial"/>
                <w:sz w:val="14"/>
                <w:szCs w:val="14"/>
                <w:b w:val="1"/>
                <w:bCs w:val="1"/>
                <w:color w:val="auto"/>
                <w:w w:val="94"/>
              </w:rPr>
              <w:t>West Segment by Market</w:t>
            </w:r>
          </w:p>
        </w:tc>
        <w:tc>
          <w:tcPr>
            <w:tcW w:w="2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3"/>
                <w:szCs w:val="13"/>
                <w:color w:val="auto"/>
              </w:rPr>
            </w:pPr>
          </w:p>
        </w:tc>
        <w:tc>
          <w:tcPr>
            <w:tcW w:w="2320" w:type="dxa"/>
            <w:vAlign w:val="bottom"/>
            <w:tcBorders>
              <w:bottom w:val="single" w:sz="8" w:color="auto"/>
            </w:tcBorders>
            <w:gridSpan w:val="5"/>
          </w:tcPr>
          <w:p>
            <w:pPr>
              <w:jc w:val="center"/>
              <w:ind w:left="22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Borders>
              <w:bottom w:val="single" w:sz="8" w:color="auto"/>
            </w:tcBorders>
            <w:gridSpan w:val="5"/>
          </w:tcPr>
          <w:p>
            <w:pPr>
              <w:jc w:val="center"/>
              <w:ind w:left="60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0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jc w:val="right"/>
              <w:ind w:right="120"/>
              <w:spacing w:after="0" w:line="126"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0"/>
                <w:szCs w:val="10"/>
                <w:color w:val="auto"/>
              </w:rPr>
            </w:pPr>
          </w:p>
        </w:tc>
        <w:tc>
          <w:tcPr>
            <w:tcW w:w="820" w:type="dxa"/>
            <w:vAlign w:val="bottom"/>
          </w:tcPr>
          <w:p>
            <w:pPr>
              <w:jc w:val="right"/>
              <w:ind w:right="79"/>
              <w:spacing w:after="0" w:line="126" w:lineRule="exact"/>
              <w:rPr>
                <w:sz w:val="20"/>
                <w:szCs w:val="20"/>
                <w:color w:val="auto"/>
              </w:rPr>
            </w:pPr>
            <w:r>
              <w:rPr>
                <w:rFonts w:ascii="Arial" w:cs="Arial" w:eastAsia="Arial" w:hAnsi="Arial"/>
                <w:sz w:val="14"/>
                <w:szCs w:val="14"/>
                <w:b w:val="1"/>
                <w:bCs w:val="1"/>
                <w:color w:val="auto"/>
              </w:rPr>
              <w:t>June 25,</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200"/>
              <w:spacing w:after="0" w:line="126" w:lineRule="exact"/>
              <w:rPr>
                <w:sz w:val="20"/>
                <w:szCs w:val="20"/>
                <w:color w:val="auto"/>
              </w:rPr>
            </w:pPr>
            <w:r>
              <w:rPr>
                <w:rFonts w:ascii="Arial" w:cs="Arial" w:eastAsia="Arial" w:hAnsi="Arial"/>
                <w:sz w:val="14"/>
                <w:szCs w:val="14"/>
                <w:b w:val="1"/>
                <w:bCs w:val="1"/>
                <w:color w:val="auto"/>
              </w:rPr>
              <w:t>July 1,</w:t>
            </w:r>
          </w:p>
        </w:tc>
        <w:tc>
          <w:tcPr>
            <w:tcW w:w="20" w:type="dxa"/>
            <w:vAlign w:val="bottom"/>
          </w:tcPr>
          <w:p>
            <w:pPr>
              <w:spacing w:after="0"/>
              <w:rPr>
                <w:sz w:val="10"/>
                <w:szCs w:val="10"/>
                <w:color w:val="auto"/>
              </w:rPr>
            </w:pPr>
          </w:p>
        </w:tc>
        <w:tc>
          <w:tcPr>
            <w:tcW w:w="940" w:type="dxa"/>
            <w:vAlign w:val="bottom"/>
            <w:gridSpan w:val="2"/>
          </w:tcPr>
          <w:p>
            <w:pPr>
              <w:ind w:left="140"/>
              <w:spacing w:after="0" w:line="126" w:lineRule="exact"/>
              <w:rPr>
                <w:sz w:val="20"/>
                <w:szCs w:val="20"/>
                <w:color w:val="auto"/>
              </w:rPr>
            </w:pPr>
            <w:r>
              <w:rPr>
                <w:rFonts w:ascii="Arial" w:cs="Arial" w:eastAsia="Arial" w:hAnsi="Arial"/>
                <w:sz w:val="14"/>
                <w:szCs w:val="14"/>
                <w:b w:val="1"/>
                <w:bCs w:val="1"/>
                <w:color w:val="auto"/>
              </w:rPr>
              <w:t>June 25,</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 Change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$ 133,353</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$ 114,216</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16.8</w:t>
            </w:r>
          </w:p>
        </w:tc>
        <w:tc>
          <w:tcPr>
            <w:tcW w:w="2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$ 232,201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$ 199,495</w:t>
            </w: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2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140,362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118,786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256,718</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224,304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98,339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230,212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188,702</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5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396,105</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331,341</w:t>
            </w:r>
          </w:p>
        </w:tc>
        <w:tc>
          <w:tcPr>
            <w:tcW w:w="5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19.5</w:t>
            </w:r>
          </w:p>
        </w:tc>
        <w:tc>
          <w:tcPr>
            <w:tcW w:w="28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719,131</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612,501</w:t>
            </w: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17.4</w:t>
            </w:r>
          </w:p>
        </w:tc>
        <w:tc>
          <w:tcPr>
            <w:tcW w:w="28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$ 390,868</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$ 326,619</w:t>
            </w:r>
          </w:p>
        </w:tc>
        <w:tc>
          <w:tcPr>
            <w:tcW w:w="5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19.7</w:t>
            </w:r>
          </w:p>
        </w:tc>
        <w:tc>
          <w:tcPr>
            <w:tcW w:w="28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$ 710,030</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$ 604,207</w:t>
            </w: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17.5</w:t>
            </w:r>
          </w:p>
        </w:tc>
        <w:tc>
          <w:tcPr>
            <w:tcW w:w="28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sales attributable to the West reportable segment increased in the second quarter of 2017 compared to 2016 due to higher lumber prices and an increase in sales to the retail, construction, and industrial markets. Our increase in sales to the retail was primarily due to an increase in demand from our big box customers. Our increases in sales to the industrial and construction markets were primarily due to demand improvements and market share gains. Acquisitions contributed $2.9 million, $2.1 million, and $3.8 million in sales growth to the retail, industrial, and construction markets, respectively.</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Earnings from operations for the West reportable segment increased in the second quarter of 2017 by $3.6 million, or 16.8%, compared to the same period in 2016 due to a $5.8 million increase in gross profit, offset by a $2.2 million increase in SG&amp;A expenses. Acquired operations contributed $0.5 million to our operating profits in the second quarter. The remaining increase was primarily due to improvements in our sales mix of higher-margin value-added products.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Net sales attributable to the West reportable segment increased in the first six months of 2017 compared to 2016 due to an increase in sales to the retail, construction, and industrial markets. Our sales to these markets increased due to the same factors previously discussed. Acquisitions contributed $4.9 million, $3.2 million, and $6.8 million in sales growth to the retail, industrial, and construction markets, respectively.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Earnings from operations for the West reportable segment increased in the first six months of 2017 by $4.5 million, or 11.8%, compared to the same period in 2016 due to an $8.2 million increase in gross profit, offset by a $3.7 million increase in SG&amp;A expenses. Acquired operations contributed $0.8 million to our operating profits in the first six months of 2017. The remaining increase was due to the same factors discussed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4"/>
              <w:spacing w:after="0"/>
              <w:rPr>
                <w:sz w:val="20"/>
                <w:szCs w:val="20"/>
                <w:color w:val="auto"/>
              </w:rPr>
            </w:pPr>
            <w:r>
              <w:rPr>
                <w:rFonts w:ascii="Arial" w:cs="Arial" w:eastAsia="Arial" w:hAnsi="Arial"/>
                <w:sz w:val="14"/>
                <w:szCs w:val="14"/>
                <w:b w:val="1"/>
                <w:bCs w:val="1"/>
                <w:color w:val="auto"/>
                <w:w w:val="88"/>
              </w:rPr>
              <w:t>Net Sales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2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7"/>
          </w:tcPr>
          <w:p>
            <w:pPr>
              <w:jc w:val="center"/>
              <w:ind w:left="17"/>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2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97"/>
              <w:spacing w:after="0" w:line="126"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0"/>
                <w:szCs w:val="10"/>
                <w:color w:val="auto"/>
              </w:rPr>
            </w:pPr>
          </w:p>
        </w:tc>
        <w:tc>
          <w:tcPr>
            <w:tcW w:w="6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June 25,</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rPr>
              <w:t>July 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34"/>
              <w:spacing w:after="0" w:line="126" w:lineRule="exact"/>
              <w:rPr>
                <w:sz w:val="20"/>
                <w:szCs w:val="20"/>
                <w:color w:val="auto"/>
              </w:rPr>
            </w:pPr>
            <w:r>
              <w:rPr>
                <w:rFonts w:ascii="Arial" w:cs="Arial" w:eastAsia="Arial" w:hAnsi="Arial"/>
                <w:sz w:val="14"/>
                <w:szCs w:val="14"/>
                <w:b w:val="1"/>
                <w:bCs w:val="1"/>
                <w:color w:val="auto"/>
                <w:w w:val="92"/>
              </w:rPr>
              <w:t>June 25,</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 Change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57,750</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$47,756</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99,386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76,557</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29.8</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82,490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15,437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434.4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149,573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25,093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496.1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2,833.3 %</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140,328</w:t>
            </w: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63,196</w:t>
            </w:r>
          </w:p>
        </w:tc>
        <w:tc>
          <w:tcPr>
            <w:tcW w:w="7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122.1</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249,161</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101,650</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145.1</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 &amp; Other</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140,370</w:t>
            </w:r>
          </w:p>
        </w:tc>
        <w:tc>
          <w:tcPr>
            <w:tcW w:w="14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62,864</w:t>
            </w:r>
          </w:p>
        </w:tc>
        <w:tc>
          <w:tcPr>
            <w:tcW w:w="7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123.3</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250,674</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99,603</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151.7</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All Other reportable segment consists of our Alternative Materials, International, idX, and certain other segments which are not significant.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Net sales attributable to All Other reportable segments increased in the second quarter of 2017 compared to 2016 due to increases in sales to the retail and industrial markets. Our increase in sales to the industrial market was primarily due to a $60.3 million increase from businesses we acquired since June of 2016.</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Earnings from operations for All Other reportable segments decreased during the second quarter of 2017 by $0.2 million, or 3.7%, compared to the same period of 2016. During the second quarter of 2017, gross profit dollars increased $15.5 million, offset by an increase in SG&amp;A expenses of $15.7 million compared to the same period of 2016. Businesses we acquired contributed $0.3 million to our earnings from operations during the second quarter of 2017.</w:t>
      </w:r>
    </w:p>
    <w:p>
      <w:pPr>
        <w:spacing w:after="0" w:line="17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Net sales attributable to All Other reportable segments increased in the first six months of 2017 compared to 2016 due to increases in sales to the retail and industrial markets. Our increase in sales to the industrial market was primarily due to a $113.8 million increase from businesses we acquired since June of 2016.</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Earnings from operations for All Other reportable segments decreased during the first six months of 2017 by $2.2 million, or 25.4%, compared to the same period of 2016. During the first six months of 2017, gross profit dollars increased $27.9 million, offset by an increase in SG&amp;A expenses of $30.1 million compared to the same period of 2016. Businesses we acquired since June of 2016 contributed $2.7 million to the earnings from operations decrease in the first six months of</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2017. These businesses are seasonal and sales volume is significantly lower in the first half of the year compared to other quarters.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5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ind w:right="175"/>
              <w:spacing w:after="0" w:line="126" w:lineRule="exact"/>
              <w:rPr>
                <w:sz w:val="20"/>
                <w:szCs w:val="20"/>
                <w:color w:val="auto"/>
              </w:rPr>
            </w:pPr>
            <w:r>
              <w:rPr>
                <w:rFonts w:ascii="Arial" w:cs="Arial" w:eastAsia="Arial" w:hAnsi="Arial"/>
                <w:sz w:val="14"/>
                <w:szCs w:val="14"/>
                <w:b w:val="1"/>
                <w:bCs w:val="1"/>
                <w:color w:val="auto"/>
              </w:rPr>
              <w:t>July 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14"/>
              <w:spacing w:after="0" w:line="126" w:lineRule="exact"/>
              <w:rPr>
                <w:sz w:val="20"/>
                <w:szCs w:val="20"/>
                <w:color w:val="auto"/>
              </w:rPr>
            </w:pPr>
            <w:r>
              <w:rPr>
                <w:rFonts w:ascii="Arial" w:cs="Arial" w:eastAsia="Arial" w:hAnsi="Arial"/>
                <w:sz w:val="14"/>
                <w:szCs w:val="14"/>
                <w:b w:val="1"/>
                <w:bCs w:val="1"/>
                <w:color w:val="auto"/>
                <w:w w:val="96"/>
              </w:rPr>
              <w:t>June 25,</w:t>
            </w:r>
          </w:p>
        </w:tc>
      </w:tr>
      <w:tr>
        <w:trPr>
          <w:trHeight w:val="178"/>
        </w:trPr>
        <w:tc>
          <w:tcPr>
            <w:tcW w:w="58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40,041</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(99,887)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(29,363)</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from (used in) financing activities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r>
      <w:tr>
        <w:trPr>
          <w:trHeight w:val="223"/>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88,342</w:t>
            </w:r>
          </w:p>
        </w:tc>
      </w:tr>
      <w:tr>
        <w:trPr>
          <w:trHeight w:val="22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88,426</w:t>
            </w: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August.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50 days from 43 days during the second quarter and increased to 54 days from 48 in the first six months of 2017 compared to the prior periods, due to the impact of acquired operations which carry comparatively higher investments in inventory than our other operations. Excluding acquired operations our cash cycle was 45 days in the second quarter of 2017 and 48 days in the first six months of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4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4380" w:type="dxa"/>
            <w:vAlign w:val="bottom"/>
          </w:tcPr>
          <w:p>
            <w:pPr>
              <w:spacing w:after="0"/>
              <w:rPr>
                <w:sz w:val="15"/>
                <w:szCs w:val="15"/>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4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380" w:type="dxa"/>
            <w:vAlign w:val="bottom"/>
          </w:tcPr>
          <w:p>
            <w:pPr>
              <w:spacing w:after="0"/>
              <w:rPr>
                <w:sz w:val="10"/>
                <w:szCs w:val="10"/>
                <w:color w:val="auto"/>
              </w:rPr>
            </w:pPr>
          </w:p>
        </w:tc>
        <w:tc>
          <w:tcPr>
            <w:tcW w:w="72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July 1,</w:t>
            </w:r>
          </w:p>
        </w:tc>
        <w:tc>
          <w:tcPr>
            <w:tcW w:w="5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June 25,</w:t>
            </w:r>
          </w:p>
        </w:tc>
        <w:tc>
          <w:tcPr>
            <w:tcW w:w="200" w:type="dxa"/>
            <w:vAlign w:val="bottom"/>
          </w:tcPr>
          <w:p>
            <w:pPr>
              <w:spacing w:after="0"/>
              <w:rPr>
                <w:sz w:val="10"/>
                <w:szCs w:val="10"/>
                <w:color w:val="auto"/>
              </w:rPr>
            </w:pPr>
          </w:p>
        </w:tc>
        <w:tc>
          <w:tcPr>
            <w:tcW w:w="700" w:type="dxa"/>
            <w:vAlign w:val="bottom"/>
            <w:tcBorders>
              <w:top w:val="single" w:sz="8" w:color="auto"/>
            </w:tcBorders>
            <w:gridSpan w:val="2"/>
          </w:tcPr>
          <w:p>
            <w:pPr>
              <w:ind w:left="40"/>
              <w:spacing w:after="0" w:line="126" w:lineRule="exact"/>
              <w:rPr>
                <w:sz w:val="20"/>
                <w:szCs w:val="20"/>
                <w:color w:val="auto"/>
              </w:rPr>
            </w:pPr>
            <w:r>
              <w:rPr>
                <w:rFonts w:ascii="Arial" w:cs="Arial" w:eastAsia="Arial" w:hAnsi="Arial"/>
                <w:sz w:val="14"/>
                <w:szCs w:val="14"/>
                <w:b w:val="1"/>
                <w:bCs w:val="1"/>
                <w:color w:val="auto"/>
              </w:rPr>
              <w:t>July 1,</w:t>
            </w:r>
          </w:p>
        </w:tc>
        <w:tc>
          <w:tcPr>
            <w:tcW w:w="5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June 25,</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line="203" w:lineRule="exact"/>
              <w:rPr>
                <w:sz w:val="20"/>
                <w:szCs w:val="20"/>
                <w:color w:val="auto"/>
              </w:rPr>
            </w:pPr>
            <w:r>
              <w:rPr>
                <w:rFonts w:ascii="Arial" w:cs="Arial" w:eastAsia="Arial" w:hAnsi="Arial"/>
                <w:sz w:val="18"/>
                <w:szCs w:val="18"/>
                <w:color w:val="auto"/>
              </w:rPr>
              <w:t>Days in cash cycle</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the first six months of 2017, our cash from operating activities was $15.2 million, which was comprised of net earnings of $56.2 million, and $27.0 million of non-cash expenses, offset by a $68.0 million seasonal increase in working capital since the end of December 2016. Comparatively, cash from operating activities was $40.0 million in the first six months of 2016, which was comprised of net earnings of $54.5 million and $21.4 million of non-cash expenses, offset by a $35.9 million seasonal increase in working capital since the end of 2015. The increase in working capital compared to the same period last year was primarily due to significant increases in inventory, accounts receivable, and accounts payable which can be attributable to the growth in acquisitions since June of last year and the increase in the lumber market.</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Acquisitions and purchases of property, plant, and equipment comprised most of our cash used in investing activities during the first six months of 2017 and totaled $59.7 million and $34.5 million, respectively. Outstanding purchase commitments on existing capital projects totaled approximately $29.5 million on July 1, 2017. We currently plan to spend $70 million for the year in 2017 on capital expenditures. We intend to fund capital expenditures and purchase commitments through our operating cash flows for the balance of the year. Comparatively, capital expenditures were $24.3 million during the first six months of 2016. The increase in our capital expenditures in 2017 is primarily due to the additional requirements of our recently acquired operations. The sale and purchase of investments totaling $7.2 million and $15.1 million, respectively, are due to investment activity in our captive insurance subsidiary.</w:t>
      </w:r>
    </w:p>
    <w:p>
      <w:pPr>
        <w:spacing w:after="0" w:line="17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Cash flows from financing activities primarily consisted of net borrowings under our revolving credit facility of approximately $95.3 million, as a result of seasonal working capital requirements and to finance the acquisitions we completed in the first six months of 2017. Additionally, we had $9.2 million in dividend payments and $9.9 million in payments for stock repurchases.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July 1, 2017, we had $119.8 million outstanding on our $295 million revolving credit facility. The revolving credit facility also supports letters of credit totaling approximately $9.8 million on July 1, 2017; as a result, we have approximately $165.4 million in remaining availability on our revolver after considering letters of credit. Additionally, we have $150 million in availability under a “shelf agreement” for long term debt with a current lender.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July 1,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have entered into forward foreign exchange rate contracts in 2017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ind w:left="820" w:right="140" w:hanging="331"/>
        <w:spacing w:after="0" w:line="302"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July 1, 2017 (the “Evaluation Date”), have concluded that, as of such date, our disclosure controls and procedures were effective.</w:t>
      </w:r>
    </w:p>
    <w:p>
      <w:pPr>
        <w:spacing w:after="0" w:line="154" w:lineRule="exact"/>
        <w:rPr>
          <w:rFonts w:ascii="Arial" w:cs="Arial" w:eastAsia="Arial" w:hAnsi="Arial"/>
          <w:sz w:val="16"/>
          <w:szCs w:val="16"/>
          <w:color w:val="auto"/>
        </w:rPr>
      </w:pPr>
    </w:p>
    <w:p>
      <w:pPr>
        <w:ind w:left="820" w:right="40" w:hanging="331"/>
        <w:spacing w:after="0" w:line="264"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July 1, 2017, there were no changes in our internal control over financial reporting that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20" w:hanging="33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Fiscal Month</w:t>
            </w:r>
          </w:p>
        </w:tc>
        <w:tc>
          <w:tcPr>
            <w:tcW w:w="5240" w:type="dxa"/>
            <w:vAlign w:val="bottom"/>
            <w:gridSpan w:val="2"/>
          </w:tcPr>
          <w:p>
            <w:pPr>
              <w:spacing w:after="0"/>
              <w:rPr>
                <w:sz w:val="16"/>
                <w:szCs w:val="16"/>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6"/>
                <w:szCs w:val="16"/>
                <w:color w:val="auto"/>
              </w:rPr>
            </w:pP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r>
      <w:tr>
        <w:trPr>
          <w:trHeight w:val="203"/>
        </w:trPr>
        <w:tc>
          <w:tcPr>
            <w:tcW w:w="606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April 2 - May 6, 2017</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2,868,723</w:t>
            </w:r>
          </w:p>
        </w:tc>
      </w:tr>
      <w:tr>
        <w:trPr>
          <w:trHeight w:val="202"/>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7"/>
              </w:rPr>
              <w:t>May 7</w:t>
            </w:r>
          </w:p>
        </w:tc>
        <w:tc>
          <w:tcPr>
            <w:tcW w:w="5560" w:type="dxa"/>
            <w:vAlign w:val="bottom"/>
            <w:gridSpan w:val="3"/>
          </w:tcPr>
          <w:p>
            <w:pPr>
              <w:ind w:left="20"/>
              <w:spacing w:after="0"/>
              <w:rPr>
                <w:sz w:val="20"/>
                <w:szCs w:val="20"/>
                <w:color w:val="auto"/>
              </w:rPr>
            </w:pPr>
            <w:r>
              <w:rPr>
                <w:rFonts w:ascii="Arial" w:cs="Arial" w:eastAsia="Arial" w:hAnsi="Arial"/>
                <w:sz w:val="18"/>
                <w:szCs w:val="18"/>
                <w:color w:val="auto"/>
              </w:rPr>
              <w:t>- June 3, 2017</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68,800</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90.58</w:t>
            </w:r>
          </w:p>
        </w:tc>
        <w:tc>
          <w:tcPr>
            <w:tcW w:w="16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2,799,923</w:t>
            </w:r>
          </w:p>
        </w:tc>
      </w:tr>
      <w:tr>
        <w:trPr>
          <w:trHeight w:val="202"/>
        </w:trPr>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8"/>
              </w:rPr>
              <w:t>June 4</w:t>
            </w:r>
          </w:p>
        </w:tc>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July 1, 2017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41,200</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2,758,723</w:t>
            </w:r>
          </w:p>
        </w:tc>
      </w:tr>
      <w:tr>
        <w:trPr>
          <w:trHeight w:val="108"/>
        </w:trPr>
        <w:tc>
          <w:tcPr>
            <w:tcW w:w="5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2011, our Board authorized an additional 2 million shares to be repurchased under our share repurchase program. The total number of remaining shares that may be repurchased under the program is approximately 2.8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500" w:right="11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20" w:hanging="51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520" w:hanging="517"/>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17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101</w:t>
        <w:tab/>
        <w:t>Interactive Data File.</w:t>
      </w:r>
    </w:p>
    <w:p>
      <w:pPr>
        <w:spacing w:after="0" w:line="225"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8"/>
          <w:szCs w:val="18"/>
          <w:color w:val="auto"/>
        </w:rPr>
        <w:t>(INS)</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(SCH) XBRL Schema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 XBRL Taxonomy Extension Calculation Linkbase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(LAB) XBRL Taxonomy Extension Label Linkbase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  XBRL Taxonomy Extension Presentation Linkbase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440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August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August 2, 2017</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20" w:space="720"/>
            <w:col w:w="4599"/>
          </w:cols>
          <w:pgMar w:left="1420" w:top="125"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25" w:lineRule="exact"/>
        <w:rPr>
          <w:sz w:val="20"/>
          <w:szCs w:val="20"/>
          <w:color w:val="auto"/>
        </w:rPr>
      </w:pPr>
    </w:p>
    <w:p>
      <w:pPr>
        <w:ind w:left="480" w:hanging="47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300" w:right="19" w:hanging="446"/>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300" w:right="39" w:hanging="446"/>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480" w:hanging="47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300" w:right="19" w:hanging="446"/>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300" w:right="39" w:hanging="446"/>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101</w:t>
        <w:tab/>
        <w:t>Interactive Data File.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480"/>
              <w:spacing w:after="0"/>
              <w:rPr>
                <w:sz w:val="20"/>
                <w:szCs w:val="20"/>
                <w:color w:val="auto"/>
              </w:rPr>
            </w:pPr>
            <w:r>
              <w:rPr>
                <w:rFonts w:ascii="Arial" w:cs="Arial" w:eastAsia="Arial" w:hAnsi="Arial"/>
                <w:sz w:val="18"/>
                <w:szCs w:val="18"/>
                <w:color w:val="auto"/>
              </w:rPr>
              <w:t>(INS)</w:t>
            </w: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1140" w:type="dxa"/>
            <w:vAlign w:val="bottom"/>
          </w:tcPr>
          <w:p>
            <w:pPr>
              <w:ind w:left="480"/>
              <w:spacing w:after="0"/>
              <w:rPr>
                <w:sz w:val="20"/>
                <w:szCs w:val="20"/>
                <w:color w:val="auto"/>
              </w:rPr>
            </w:pPr>
            <w:r>
              <w:rPr>
                <w:rFonts w:ascii="Arial" w:cs="Arial" w:eastAsia="Arial" w:hAnsi="Arial"/>
                <w:sz w:val="18"/>
                <w:szCs w:val="18"/>
                <w:color w:val="auto"/>
              </w:rPr>
              <w:t>(SCH)</w:t>
            </w: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XBRL Schema Document.</w:t>
            </w:r>
          </w:p>
        </w:tc>
      </w:tr>
      <w:tr>
        <w:trPr>
          <w:trHeight w:val="432"/>
        </w:trPr>
        <w:tc>
          <w:tcPr>
            <w:tcW w:w="1140" w:type="dxa"/>
            <w:vAlign w:val="bottom"/>
          </w:tcPr>
          <w:p>
            <w:pPr>
              <w:ind w:left="480"/>
              <w:spacing w:after="0"/>
              <w:rPr>
                <w:sz w:val="20"/>
                <w:szCs w:val="20"/>
                <w:color w:val="auto"/>
              </w:rPr>
            </w:pPr>
            <w:r>
              <w:rPr>
                <w:rFonts w:ascii="Arial" w:cs="Arial" w:eastAsia="Arial" w:hAnsi="Arial"/>
                <w:sz w:val="18"/>
                <w:szCs w:val="18"/>
                <w:color w:val="auto"/>
              </w:rPr>
              <w:t>(CAL)</w:t>
            </w: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140" w:type="dxa"/>
            <w:vAlign w:val="bottom"/>
          </w:tcPr>
          <w:p>
            <w:pPr>
              <w:ind w:left="480"/>
              <w:spacing w:after="0"/>
              <w:rPr>
                <w:sz w:val="20"/>
                <w:szCs w:val="20"/>
                <w:color w:val="auto"/>
              </w:rPr>
            </w:pPr>
            <w:r>
              <w:rPr>
                <w:rFonts w:ascii="Arial" w:cs="Arial" w:eastAsia="Arial" w:hAnsi="Arial"/>
                <w:sz w:val="18"/>
                <w:szCs w:val="18"/>
                <w:color w:val="auto"/>
              </w:rPr>
              <w:t>(LAB)</w:t>
            </w: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40" w:type="dxa"/>
            <w:vAlign w:val="bottom"/>
          </w:tcPr>
          <w:p>
            <w:pPr>
              <w:ind w:left="480"/>
              <w:spacing w:after="0"/>
              <w:rPr>
                <w:sz w:val="20"/>
                <w:szCs w:val="20"/>
                <w:color w:val="auto"/>
              </w:rPr>
            </w:pPr>
            <w:r>
              <w:rPr>
                <w:rFonts w:ascii="Arial" w:cs="Arial" w:eastAsia="Arial" w:hAnsi="Arial"/>
                <w:sz w:val="18"/>
                <w:szCs w:val="18"/>
                <w:color w:val="auto"/>
              </w:rPr>
              <w:t>(PRE)</w:t>
            </w: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432"/>
        </w:trPr>
        <w:tc>
          <w:tcPr>
            <w:tcW w:w="1140" w:type="dxa"/>
            <w:vAlign w:val="bottom"/>
          </w:tcPr>
          <w:p>
            <w:pPr>
              <w:ind w:left="480"/>
              <w:spacing w:after="0"/>
              <w:rPr>
                <w:sz w:val="20"/>
                <w:szCs w:val="20"/>
                <w:color w:val="auto"/>
              </w:rPr>
            </w:pPr>
            <w:r>
              <w:rPr>
                <w:rFonts w:ascii="Arial" w:cs="Arial" w:eastAsia="Arial" w:hAnsi="Arial"/>
                <w:sz w:val="18"/>
                <w:szCs w:val="18"/>
                <w:color w:val="auto"/>
              </w:rPr>
              <w:t>(DEF)</w:t>
            </w: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w w:val="97"/>
              </w:rPr>
              <w:t>XBRL Taxonomy Extension Definition Linkbase Document</w:t>
            </w:r>
          </w:p>
        </w:tc>
      </w:tr>
      <w:tr>
        <w:trPr>
          <w:trHeight w:val="108"/>
        </w:trPr>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90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-130175</wp:posOffset>
            </wp:positionV>
            <wp:extent cx="28727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14605</wp:posOffset>
            </wp:positionV>
            <wp:extent cx="2590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-130175</wp:posOffset>
            </wp:positionV>
            <wp:extent cx="2872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560" w:hanging="557"/>
        <w:spacing w:after="0" w:line="224" w:lineRule="exact"/>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July 1, 2017,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ind w:left="560" w:hanging="557"/>
        <w:spacing w:after="0" w:line="224" w:lineRule="exact"/>
        <w:tabs>
          <w:tab w:leader="none" w:pos="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July 1, 2017, fairly presents, in all material respects, the financial condition and results of operations of Universal Forest Products, Inc.</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7"/>
          <w:szCs w:val="17"/>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90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-130175</wp:posOffset>
            </wp:positionV>
            <wp:extent cx="28727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5" w:name="page36"/>
    <w:bookmarkEnd w:id="35"/>
    <w:p>
      <w:pPr>
        <w:ind w:left="8060"/>
        <w:spacing w:after="0"/>
        <w:rPr>
          <w:sz w:val="20"/>
          <w:szCs w:val="20"/>
          <w:color w:val="auto"/>
        </w:rPr>
      </w:pPr>
      <w:r>
        <w:rPr>
          <w:rFonts w:ascii="Arial" w:cs="Arial" w:eastAsia="Arial" w:hAnsi="Arial"/>
          <w:sz w:val="16"/>
          <w:szCs w:val="16"/>
          <w:b w:val="1"/>
          <w:bCs w:val="1"/>
          <w:color w:val="auto"/>
        </w:rPr>
        <w:t>Exhibit 32(b)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560" w:hanging="557"/>
        <w:spacing w:after="0" w:line="224" w:lineRule="exact"/>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July 1, 2017,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ind w:left="560" w:hanging="557"/>
        <w:spacing w:after="0" w:line="224" w:lineRule="exact"/>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July 1, 2017, fairly presents, in all material respects, the financial condition and results of operations of Universal Forest Products, Inc.</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7"/>
          <w:szCs w:val="17"/>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901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-130175</wp:posOffset>
            </wp:positionV>
            <wp:extent cx="28727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 and Principal Financial Officer</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upperLetter"/>
      <w:start w:val="3"/>
    </w:lvl>
  </w:abstractNum>
  <w:abstractNum w:abstractNumId="4">
    <w:nsid w:val="41A7C4C9"/>
    <w:multiLevelType w:val="hybridMultilevel"/>
    <w:lvl w:ilvl="0">
      <w:lvlJc w:val="left"/>
      <w:lvlText w:val="%1."/>
      <w:numFmt w:val="upperLetter"/>
      <w:start w:val="4"/>
    </w:lvl>
  </w:abstractNum>
  <w:abstractNum w:abstractNumId="5">
    <w:nsid w:val="6B68079A"/>
    <w:multiLevelType w:val="hybridMultilevel"/>
    <w:lvl w:ilvl="0">
      <w:lvlJc w:val="left"/>
      <w:lvlText w:val="%1."/>
      <w:numFmt w:val="upperLetter"/>
      <w:start w:val="5"/>
    </w:lvl>
  </w:abstractNum>
  <w:abstractNum w:abstractNumId="6">
    <w:nsid w:val="4E6AFB66"/>
    <w:multiLevelType w:val="hybridMultilevel"/>
    <w:lvl w:ilvl="0">
      <w:lvlJc w:val="left"/>
      <w:lvlText w:val="%1."/>
      <w:numFmt w:val="upperLetter"/>
      <w:start w:val="6"/>
    </w:lvl>
  </w:abstractNum>
  <w:abstractNum w:abstractNumId="7">
    <w:nsid w:val="25E45D32"/>
    <w:multiLevelType w:val="hybridMultilevel"/>
    <w:lvl w:ilvl="0">
      <w:lvlJc w:val="left"/>
      <w:lvlText w:val="%1."/>
      <w:numFmt w:val="upperLetter"/>
      <w:start w:val="7"/>
    </w:lvl>
  </w:abstractNum>
  <w:abstractNum w:abstractNumId="8">
    <w:nsid w:val="519B500D"/>
    <w:multiLevelType w:val="hybridMultilevel"/>
    <w:lvl w:ilvl="0">
      <w:lvlJc w:val="left"/>
      <w:lvlText w:val="%1."/>
      <w:numFmt w:val="upperLetter"/>
      <w:start w:val="8"/>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31"/>
    </w:lvl>
    <w:lvl w:ilvl="1">
      <w:lvlJc w:val="left"/>
      <w:lvlText w:val="(%2)"/>
      <w:numFmt w:val="lowerLetter"/>
      <w:start w:val="1"/>
    </w:lvl>
  </w:abstractNum>
  <w:abstractNum w:abstractNumId="21">
    <w:nsid w:val="75A2A8D4"/>
    <w:multiLevelType w:val="hybridMultilevel"/>
    <w:lvl w:ilvl="0">
      <w:lvlJc w:val="left"/>
      <w:lvlText w:val="%1"/>
      <w:numFmt w:val="decimal"/>
      <w:start w:val="3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2019-12-29T05:32:16Z</dcterms:created>
  <dcterms:modified xsi:type="dcterms:W3CDTF">2019-12-29T05:32:16Z</dcterms:modified>
</cp:coreProperties>
</file>