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76200</wp:posOffset>
            </wp:positionH>
            <wp:positionV relativeFrom="paragraph">
              <wp:posOffset>160655</wp:posOffset>
            </wp:positionV>
            <wp:extent cx="585470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20"/>
        <w:spacing w:after="0"/>
        <w:rPr>
          <w:sz w:val="20"/>
          <w:szCs w:val="20"/>
          <w:color w:val="auto"/>
        </w:rPr>
      </w:pPr>
      <w:r>
        <w:rPr>
          <w:rFonts w:ascii="Arial" w:cs="Arial" w:eastAsia="Arial" w:hAnsi="Arial"/>
          <w:sz w:val="25"/>
          <w:szCs w:val="25"/>
          <w:color w:val="auto"/>
        </w:rPr>
        <w:t>SECURITIES AND EXCHANGE COMMISSION</w:t>
      </w:r>
    </w:p>
    <w:p>
      <w:pPr>
        <w:spacing w:after="0" w:line="35" w:lineRule="exact"/>
        <w:rPr>
          <w:sz w:val="24"/>
          <w:szCs w:val="24"/>
          <w:color w:val="auto"/>
        </w:rPr>
      </w:pPr>
    </w:p>
    <w:p>
      <w:pPr>
        <w:jc w:val="center"/>
        <w:ind w:right="-220"/>
        <w:spacing w:after="0"/>
        <w:rPr>
          <w:sz w:val="20"/>
          <w:szCs w:val="20"/>
          <w:color w:val="auto"/>
        </w:rPr>
      </w:pPr>
      <w:r>
        <w:rPr>
          <w:rFonts w:ascii="Arial" w:cs="Arial" w:eastAsia="Arial" w:hAnsi="Arial"/>
          <w:sz w:val="22"/>
          <w:szCs w:val="22"/>
          <w:color w:val="auto"/>
        </w:rPr>
        <w:t>Washington, D.C. 20549</w:t>
      </w:r>
    </w:p>
    <w:p>
      <w:pPr>
        <w:spacing w:after="0" w:line="183" w:lineRule="exact"/>
        <w:rPr>
          <w:sz w:val="24"/>
          <w:szCs w:val="24"/>
          <w:color w:val="auto"/>
        </w:rPr>
      </w:pPr>
    </w:p>
    <w:p>
      <w:pPr>
        <w:jc w:val="center"/>
        <w:ind w:right="-22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00" w:right="19" w:hanging="38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15(d) OF THE SECURITIES EXCHANGE ACT OF 1934 [NO FEE REQUIRED].</w:t>
      </w:r>
    </w:p>
    <w:p>
      <w:pPr>
        <w:spacing w:after="0" w:line="211"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For the fiscal year ended December 31, 2019</w:t>
      </w:r>
    </w:p>
    <w:p>
      <w:pPr>
        <w:spacing w:after="0" w:line="225"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OR</w:t>
      </w:r>
    </w:p>
    <w:p>
      <w:pPr>
        <w:spacing w:after="0" w:line="200" w:lineRule="exact"/>
        <w:rPr>
          <w:sz w:val="24"/>
          <w:szCs w:val="24"/>
          <w:color w:val="auto"/>
        </w:rPr>
      </w:pPr>
    </w:p>
    <w:p>
      <w:pPr>
        <w:spacing w:after="0" w:line="201" w:lineRule="exact"/>
        <w:rPr>
          <w:sz w:val="24"/>
          <w:szCs w:val="24"/>
          <w:color w:val="auto"/>
        </w:rPr>
      </w:pPr>
    </w:p>
    <w:p>
      <w:pPr>
        <w:ind w:left="440" w:right="99" w:hanging="248"/>
        <w:spacing w:after="0" w:line="277" w:lineRule="auto"/>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[NO FEE REQUIRED].</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0-22684</w:t>
      </w: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Universal Forest Products, Inc. Employees' Profit Sharing</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and 401(k) Plan</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195" w:lineRule="exact"/>
        <w:rPr>
          <w:sz w:val="24"/>
          <w:szCs w:val="24"/>
          <w:color w:val="auto"/>
        </w:rPr>
      </w:pPr>
    </w:p>
    <w:p>
      <w:pPr>
        <w:jc w:val="center"/>
        <w:ind w:right="-2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2801 East Beltline NE</w:t>
      </w:r>
    </w:p>
    <w:p>
      <w:pPr>
        <w:spacing w:after="0" w:line="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76200</wp:posOffset>
            </wp:positionH>
            <wp:positionV relativeFrom="paragraph">
              <wp:posOffset>220345</wp:posOffset>
            </wp:positionV>
            <wp:extent cx="5846445"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644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239"/>
          </w:cols>
          <w:pgMar w:left="122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81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91"/>
              </w:rPr>
              <w:t>Universal Forest Products, Inc. Employees’ Profit Sharing and</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91"/>
              </w:rPr>
              <w:t>401(k) Plan</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88"/>
              </w:rPr>
              <w:t>Financial Statements and Supplemental Schedules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60" w:type="dxa"/>
            <w:vAlign w:val="bottom"/>
          </w:tcPr>
          <w:p>
            <w:pPr>
              <w:jc w:val="center"/>
              <w:spacing w:after="0"/>
              <w:rPr>
                <w:sz w:val="20"/>
                <w:szCs w:val="20"/>
                <w:color w:val="auto"/>
              </w:rPr>
            </w:pPr>
            <w:r>
              <w:rPr>
                <w:rFonts w:ascii="Arial" w:cs="Arial" w:eastAsia="Arial" w:hAnsi="Arial"/>
                <w:sz w:val="18"/>
                <w:szCs w:val="18"/>
                <w:color w:val="auto"/>
                <w:w w:val="88"/>
              </w:rPr>
              <w:t>Years Ended December 31, 2019 and 2018</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60" w:type="dxa"/>
            <w:vAlign w:val="bottom"/>
          </w:tcPr>
          <w:p>
            <w:pPr>
              <w:jc w:val="center"/>
              <w:spacing w:after="0"/>
              <w:rPr>
                <w:sz w:val="20"/>
                <w:szCs w:val="20"/>
                <w:color w:val="auto"/>
              </w:rPr>
            </w:pPr>
            <w:r>
              <w:rPr>
                <w:rFonts w:ascii="Arial" w:cs="Arial" w:eastAsia="Arial" w:hAnsi="Arial"/>
                <w:sz w:val="18"/>
                <w:szCs w:val="18"/>
                <w:b w:val="1"/>
                <w:bCs w:val="1"/>
                <w:color w:val="auto"/>
                <w:w w:val="87"/>
              </w:rPr>
              <w:t>Contents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vMerge w:val="restart"/>
          </w:tcPr>
          <w:p>
            <w:pPr>
              <w:spacing w:after="0"/>
              <w:rPr>
                <w:sz w:val="24"/>
                <w:szCs w:val="24"/>
                <w:color w:val="auto"/>
              </w:rPr>
            </w:pPr>
          </w:p>
        </w:tc>
        <w:tc>
          <w:tcPr>
            <w:tcW w:w="12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Report of Independent Registered Public Accounting Firm</w:t>
              </w:r>
            </w:hyperlink>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Net Assets Available for Benefits</w:t>
              </w:r>
            </w:hyperlink>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Net Assets Available for Benefits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Financial Statements</w:t>
              </w:r>
            </w:hyperlink>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w:t>
            </w: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Schedule H, Line 4i—Schedule of Assets (Held at End of Year)</w:t>
              </w:r>
            </w:hyperlink>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4" w:lineRule="exact"/>
        <w:rPr>
          <w:sz w:val="20"/>
          <w:szCs w:val="20"/>
          <w:color w:val="auto"/>
        </w:rPr>
      </w:pPr>
    </w:p>
    <w:p>
      <w:pPr>
        <w:ind w:right="3500"/>
        <w:spacing w:after="0" w:line="261" w:lineRule="auto"/>
        <w:rPr>
          <w:sz w:val="20"/>
          <w:szCs w:val="20"/>
          <w:color w:val="auto"/>
        </w:rPr>
      </w:pPr>
      <w:r>
        <w:rPr>
          <w:rFonts w:ascii="Arial" w:cs="Arial" w:eastAsia="Arial" w:hAnsi="Arial"/>
          <w:sz w:val="17"/>
          <w:szCs w:val="17"/>
          <w:color w:val="auto"/>
        </w:rPr>
        <w:t>To Plan Participants and Members of the Profit Sharing and 401(k) Trustee Committee Universal Forest Products, Inc. Employees’ Profit Sharing and 401(k) Plan Grand Rapids, Michigan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audited the accompanying statements of net assets available for benefits of the Universal Forest Products, Inc. Employees’ Profit Sharing and 401(k) Plan (the Plan) as of December 31, 2019 and 2018,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a Matter – Plan Merger</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discussed in Note 3 to the financial statements, the Shawnlee Construction LLC 401(k) Plan merged into the Plan effective December 31, 2019. Our opinion is not modified with respect to this matter.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Information</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supplemental information in the accompanying Schedule of Assets (Held at End of Year) as of December 31, 2019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2009.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June 10, 2020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53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345,502,073</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252,768,410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Notes receivable from participants</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11,874,083</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receivable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2,984,859</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from investment broker</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798,565</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another qualified plan (Note 3)</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14,458,097</w:t>
            </w:r>
          </w:p>
        </w:tc>
        <w:tc>
          <w:tcPr>
            <w:tcW w:w="3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375,617,677</w:t>
            </w:r>
          </w:p>
        </w:tc>
        <w:tc>
          <w:tcPr>
            <w:tcW w:w="360" w:type="dxa"/>
            <w:vAlign w:val="bottom"/>
          </w:tcPr>
          <w:p>
            <w:pPr>
              <w:spacing w:after="0"/>
              <w:rPr>
                <w:sz w:val="18"/>
                <w:szCs w:val="18"/>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263,925,030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to investment broker (equal to total liabilities)</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375,617,677</w:t>
            </w: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263,915,314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Additions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2"/>
        </w:trPr>
        <w:tc>
          <w:tcPr>
            <w:tcW w:w="59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and interest income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4,537,670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appreciation (depreciation) in fair value of investments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85,964,373</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(37,952,125)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 (loss)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90,502,043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20,365,853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17,874,866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Rollover contributions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1,622,230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6,352,550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notes receivable from participants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724,037</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Total Additions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119,566,713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Distributions to participants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(21,522,581)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(18,149,191)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(804,277)</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Total Deductions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(22,326,858)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97,239,855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Transfers in (Note 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another qualified plan (Note 3)</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14,458,097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263,915,314</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291,855,299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375,617,677</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263,915,314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ind w:right="6540" w:firstLine="7"/>
        <w:spacing w:after="0" w:line="503" w:lineRule="auto"/>
        <w:tabs>
          <w:tab w:leader="none" w:pos="50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w:t>
      </w:r>
    </w:p>
    <w:p>
      <w:pPr>
        <w:jc w:val="both"/>
        <w:spacing w:after="0" w:line="277" w:lineRule="auto"/>
        <w:rPr>
          <w:sz w:val="20"/>
          <w:szCs w:val="20"/>
          <w:color w:val="auto"/>
        </w:rPr>
      </w:pPr>
      <w:r>
        <w:rPr>
          <w:rFonts w:ascii="Arial" w:cs="Arial" w:eastAsia="Arial" w:hAnsi="Arial"/>
          <w:sz w:val="18"/>
          <w:szCs w:val="18"/>
          <w:color w:val="auto"/>
        </w:rPr>
        <w:t>The financial statements of the Universal Forest Products, Inc. (Plan Sponsor) Employees’ Profit Sharing and 401(k) Plan (the Plan) are presented on the accrual method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Money Market Fund: </w:t>
      </w:r>
      <w:r>
        <w:rPr>
          <w:rFonts w:ascii="Arial" w:cs="Arial" w:eastAsia="Arial" w:hAnsi="Arial"/>
          <w:sz w:val="18"/>
          <w:szCs w:val="18"/>
          <w:color w:val="auto"/>
        </w:rPr>
        <w:t>Valued at quoted market prices in an exchange and active market, which represent the net asset value (NAV)</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held by the Plan. The money market fund seeks to maintain a $1.00 NAV.</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quoted market prices in an exchange and active market, which represent the net asset values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the Plan.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The fair value of participation units held in the Morley Stable Value Fund are based on net asset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obtained on audited information reported by the issuer of the common collective trust at year-end, and is used as a practical expedient.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objective of the Morley Stable Value Fund is to provide preservation of capital, relatively stable returns consistent with its comparatively low risk profile, and liquidity for benefit-responsive payments. Withdrawals from the Morley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Morley Stable Value Fund may waive this requirement at its discretion.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Universal Forest Products Stock Fund (the Fund) is tracked on a unitized basis. At December 31, 2019, the Fund consists of common stock of Universal Forest Products, Inc. (Plan Sponsor) and funds that are held in the Wells Fargo Government Money Market Fund that are sufficient to meet the Fund’s daily cash needs. Unitization of the Fund allows for daily trades. The value of a unit reflects the combined market value of the common stock and the Wells Fargo Government Money Market Fund held by the Fund. At December 31, 2019 and 2018, 2,061,763 and 2,253,134 units, respectively, were outstanding with a value of $46.71 and $25.76 per unit,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Notes receivables from participants are measured at their unpaid principal balance plus any accrued but unpaid 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Delinquent notes receivable from participants are deemed distributions based upon the terms of the Plan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Investments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investments at December 31, 2019 and 2018 are shares of the Plan Sponsor’s common stock with an aggregate fair value of $93,423,741 and $56,706,868, respectively. This investment represents 27% and 22% of total investments at December 31, 2019 and 2018, respectively. A significant decline in the market value of the sponsor’s stock would significantly affect the net assets available for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172" w:lineRule="exact"/>
        <w:rPr>
          <w:sz w:val="20"/>
          <w:szCs w:val="20"/>
          <w:color w:val="auto"/>
        </w:rPr>
      </w:pPr>
    </w:p>
    <w:p>
      <w:pPr>
        <w:ind w:right="7160" w:firstLine="7"/>
        <w:spacing w:after="0" w:line="503" w:lineRule="auto"/>
        <w:tabs>
          <w:tab w:leader="none" w:pos="50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 General</w:t>
      </w:r>
    </w:p>
    <w:p>
      <w:pPr>
        <w:jc w:val="both"/>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or other Participating Employers,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deferrals in 2019 and 2018, on the first 6% of each participant’s eligible compensation. Additional matching contributions were also provided to hourly participants for Plan Year 2019. These amounts are not guaranteed, and may vary from year to year as the Plan Sponsor is not obligated to make such contributions.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2019 or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Employer contributions are subject to a vesting schedule as follows:</w:t>
            </w:r>
          </w:p>
        </w:tc>
        <w:tc>
          <w:tcPr>
            <w:tcW w:w="376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37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Years of Service</w:t>
            </w:r>
          </w:p>
        </w:tc>
        <w:tc>
          <w:tcPr>
            <w:tcW w:w="1880" w:type="dxa"/>
            <w:vAlign w:val="bottom"/>
            <w:tcBorders>
              <w:bottom w:val="single" w:sz="8" w:color="CCEEFF"/>
            </w:tcBorders>
          </w:tcPr>
          <w:p>
            <w:pPr>
              <w:spacing w:after="0"/>
              <w:rPr>
                <w:sz w:val="24"/>
                <w:szCs w:val="24"/>
                <w:color w:val="auto"/>
              </w:rPr>
            </w:pPr>
          </w:p>
        </w:tc>
        <w:tc>
          <w:tcPr>
            <w:tcW w:w="376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Vesting Percentage</w:t>
            </w: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2</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57"/>
        </w:trPr>
        <w:tc>
          <w:tcPr>
            <w:tcW w:w="5640" w:type="dxa"/>
            <w:vAlign w:val="bottom"/>
            <w:gridSpan w:val="3"/>
          </w:tcPr>
          <w:p>
            <w:pPr>
              <w:spacing w:after="0"/>
              <w:rPr>
                <w:sz w:val="20"/>
                <w:szCs w:val="20"/>
                <w:color w:val="auto"/>
              </w:rPr>
            </w:pPr>
            <w:r>
              <w:rPr>
                <w:rFonts w:ascii="Arial" w:cs="Arial" w:eastAsia="Arial" w:hAnsi="Arial"/>
                <w:sz w:val="18"/>
                <w:szCs w:val="18"/>
                <w:color w:val="auto"/>
              </w:rPr>
              <w:t>2 but less than 3</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57"/>
        </w:trPr>
        <w:tc>
          <w:tcPr>
            <w:tcW w:w="20" w:type="dxa"/>
            <w:vAlign w:val="bottom"/>
          </w:tcPr>
          <w:p>
            <w:pPr>
              <w:spacing w:after="0"/>
              <w:rPr>
                <w:sz w:val="22"/>
                <w:szCs w:val="22"/>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56"/>
        </w:trPr>
        <w:tc>
          <w:tcPr>
            <w:tcW w:w="5640" w:type="dxa"/>
            <w:vAlign w:val="bottom"/>
            <w:gridSpan w:val="3"/>
          </w:tcPr>
          <w:p>
            <w:pPr>
              <w:spacing w:after="0"/>
              <w:rPr>
                <w:sz w:val="20"/>
                <w:szCs w:val="20"/>
                <w:color w:val="auto"/>
              </w:rPr>
            </w:pPr>
            <w:r>
              <w:rPr>
                <w:rFonts w:ascii="Arial" w:cs="Arial" w:eastAsia="Arial" w:hAnsi="Arial"/>
                <w:sz w:val="18"/>
                <w:szCs w:val="18"/>
                <w:color w:val="auto"/>
              </w:rPr>
              <w:t>4 but less than 5</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70"/>
        </w:trPr>
        <w:tc>
          <w:tcPr>
            <w:tcW w:w="20" w:type="dxa"/>
            <w:vAlign w:val="bottom"/>
          </w:tcPr>
          <w:p>
            <w:pPr>
              <w:spacing w:after="0"/>
              <w:rPr>
                <w:sz w:val="23"/>
                <w:szCs w:val="23"/>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57"/>
        </w:trPr>
        <w:tc>
          <w:tcPr>
            <w:tcW w:w="5640" w:type="dxa"/>
            <w:vAlign w:val="bottom"/>
            <w:gridSpan w:val="3"/>
          </w:tcPr>
          <w:p>
            <w:pPr>
              <w:spacing w:after="0"/>
              <w:rPr>
                <w:sz w:val="20"/>
                <w:szCs w:val="20"/>
                <w:color w:val="auto"/>
              </w:rPr>
            </w:pPr>
            <w:r>
              <w:rPr>
                <w:rFonts w:ascii="Arial" w:cs="Arial" w:eastAsia="Arial" w:hAnsi="Arial"/>
                <w:sz w:val="18"/>
                <w:szCs w:val="18"/>
                <w:color w:val="auto"/>
              </w:rPr>
              <w:t>6 or more</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was amended effective January 1, 2012 to be designated as an ESOP for those Participants with a portion of their account balance invested in the Universal Forest Products Stock Fund. This provision allows those Participants who are 100% vested the opportunity to elect to have the dividends on the employer stock fund paid to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agreement.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Forfeitures are used to offset the Plan Sponsor’s matching contributions and for reasonable administrative expenses. During 2019 and 2018, forfeitures of approximately $596,000 and $575,000, respectively, were used to offset the Plan Sponsor’s matching contributions.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The loans bear interest at a rate equal to the prime rate (4.75% at December 31, 2019) plus 2% calculated on a daily basis. Interest rates on outstanding loans ranged from 4.25% to 11.50% at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80" w:lineRule="exact"/>
        <w:rPr>
          <w:sz w:val="20"/>
          <w:szCs w:val="20"/>
          <w:color w:val="auto"/>
        </w:rPr>
      </w:pPr>
    </w:p>
    <w:p>
      <w:pPr>
        <w:ind w:left="520" w:hanging="513"/>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and Mergers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permitted by the plan, funds totaling $4,407 and $4 were transferred from the idX Corporation 401(k) Profit Sharing Plan (an affiliated plan) and the Shawnlee Construction LLC 401(k) Plan (an affiliated plan), respectively, during 2019, due to employee transfers. During 2018, funds totaling $389,691 and $3,745 were transferred from the UFP Nappanee, LLC 401(k) Plan and the Shawnlee Construction LLC 401(k) Plan (an affiliated plan), respectively due to employee transfers. UFP Nappanee, LLC 401(k) Plan is an affiliated plan due to recent acquisition by Plan Sponsor.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on December 31, 2019, the Shawnlee Construction LLC 401(k) Plan merged with the Plan. As a result, all assets of the Shawnlee Construction LLC 401(k) Plan (an affiliated plan) were transferred into the Plan. The Shawnlee Construction LLC 401(k) Plan no longer exists as a separate plan. The Plan has recorded a receivable from another qualified plan of $14,458,097 in the Statement of Net Assets Available for Benefits as of December 31, 2019.</w:t>
      </w:r>
    </w:p>
    <w:p>
      <w:pPr>
        <w:spacing w:after="0" w:line="183" w:lineRule="exact"/>
        <w:rPr>
          <w:sz w:val="20"/>
          <w:szCs w:val="20"/>
          <w:color w:val="auto"/>
        </w:rPr>
      </w:pPr>
    </w:p>
    <w:p>
      <w:pPr>
        <w:ind w:left="520" w:hanging="513"/>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by level within the fair value hierarchy the Plan’s investments as of December 31,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11"/>
          </w:tcPr>
          <w:p>
            <w:pPr>
              <w:jc w:val="right"/>
              <w:ind w:right="630"/>
              <w:spacing w:after="0"/>
              <w:rPr>
                <w:sz w:val="20"/>
                <w:szCs w:val="20"/>
                <w:color w:val="auto"/>
              </w:rPr>
            </w:pPr>
            <w:r>
              <w:rPr>
                <w:rFonts w:ascii="Arial" w:cs="Arial" w:eastAsia="Arial" w:hAnsi="Arial"/>
                <w:sz w:val="18"/>
                <w:szCs w:val="18"/>
                <w:b w:val="1"/>
                <w:bCs w:val="1"/>
                <w:color w:val="auto"/>
                <w:w w:val="98"/>
              </w:rPr>
              <w:t>Investment Assets at Fair Value as of December 31, 2019</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93,423,741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93,423,741</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2,087,794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2,087,794</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214,565,776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214,565,776</w:t>
            </w: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 in fair value hierarchy</w:t>
            </w: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310,077,311</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310,077,311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measured at net asset value*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35,424,762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310,077,311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345,502,073</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11"/>
          </w:tcPr>
          <w:p>
            <w:pPr>
              <w:jc w:val="right"/>
              <w:ind w:right="630"/>
              <w:spacing w:after="0"/>
              <w:rPr>
                <w:sz w:val="20"/>
                <w:szCs w:val="20"/>
                <w:color w:val="auto"/>
              </w:rPr>
            </w:pPr>
            <w:r>
              <w:rPr>
                <w:rFonts w:ascii="Arial" w:cs="Arial" w:eastAsia="Arial" w:hAnsi="Arial"/>
                <w:sz w:val="18"/>
                <w:szCs w:val="18"/>
                <w:b w:val="1"/>
                <w:bCs w:val="1"/>
                <w:color w:val="auto"/>
                <w:w w:val="99"/>
              </w:rPr>
              <w:t>Investment Assets at Fair Value as of December 31, 2018</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56,706,868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56,706,868</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1,324,067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1,324,067</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164,104,473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164,104,473</w:t>
            </w: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assets in fair value hierarchy</w:t>
            </w: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222,135,408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222,135,408</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7"/>
              </w:rPr>
              <w:t>Investments measured at net asset value*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30,633,002</w:t>
            </w:r>
          </w:p>
        </w:tc>
      </w:tr>
      <w:tr>
        <w:trPr>
          <w:trHeight w:val="217"/>
        </w:trPr>
        <w:tc>
          <w:tcPr>
            <w:tcW w:w="332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222,135,408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252,768,410</w:t>
            </w:r>
          </w:p>
        </w:tc>
      </w:tr>
    </w:tbl>
    <w:p>
      <w:pPr>
        <w:spacing w:after="0" w:line="44" w:lineRule="exact"/>
        <w:rPr>
          <w:sz w:val="20"/>
          <w:szCs w:val="20"/>
          <w:color w:val="auto"/>
        </w:rPr>
      </w:pPr>
    </w:p>
    <w:p>
      <w:pPr>
        <w:ind w:right="320" w:firstLine="7"/>
        <w:spacing w:after="0" w:line="286" w:lineRule="auto"/>
        <w:tabs>
          <w:tab w:leader="none" w:pos="159"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investments in common/collective trusts are measured at fair value using the net asset value per share (or its equivalent) as a practical expedient and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methodologies used at December 31, 2019 and 2018, and there have been no significant transfers in or out of Levels 1, 2 or 3.</w:t>
      </w:r>
    </w:p>
    <w:p>
      <w:pPr>
        <w:spacing w:after="0" w:line="166" w:lineRule="exact"/>
        <w:rPr>
          <w:sz w:val="20"/>
          <w:szCs w:val="20"/>
          <w:color w:val="auto"/>
        </w:rPr>
      </w:pPr>
    </w:p>
    <w:p>
      <w:pPr>
        <w:ind w:left="560" w:hanging="553"/>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Sponsor has received a determination letter from the Internal Revenue Service dated March 17, 2017,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is subject to routine audits by taxing jurisdictions; however, there are currently no audits for any tax periods in progress.</w:t>
      </w:r>
    </w:p>
    <w:p>
      <w:pPr>
        <w:spacing w:after="0" w:line="183"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pandemic has adversely affected global economic activity and greatly contributed to significant deterioration and instability in financial markets. As a result, the Plan’s investment portfolio has incurred a significant decline in fair value since December 31, 2019. Because the values of the Plan’s individual investments have and will fluctuate in response to changing market conditions, the amount of losses that will be recognized in subsequent periods, if any, and related impact on the Plan’s liquidity cannot be determined at this time.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several relief provisions available to tax-qualified retirement plans and their participants. Plan management is currently evaluating the impact of the CARES Act on the Plan’s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6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6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Arial" w:cs="Arial" w:eastAsia="Arial" w:hAnsi="Arial"/>
                <w:sz w:val="16"/>
                <w:szCs w:val="16"/>
                <w:color w:val="auto"/>
              </w:rPr>
              <w:t>(b)</w:t>
            </w:r>
          </w:p>
        </w:tc>
        <w:tc>
          <w:tcPr>
            <w:tcW w:w="436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300" w:type="dxa"/>
            <w:vAlign w:val="bottom"/>
          </w:tcPr>
          <w:p>
            <w:pPr>
              <w:spacing w:after="0"/>
              <w:rPr>
                <w:sz w:val="17"/>
                <w:szCs w:val="17"/>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Identity of Issuer, Borrower, Lessor, or</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w w:val="93"/>
              </w:rPr>
              <w:t>Description of Investment Including, Maturity Date,</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4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Rate of Interest, Collateral, Par, or Maturity Value</w:t>
            </w:r>
          </w:p>
        </w:tc>
        <w:tc>
          <w:tcPr>
            <w:tcW w:w="300" w:type="dxa"/>
            <w:vAlign w:val="bottom"/>
          </w:tcPr>
          <w:p>
            <w:pPr>
              <w:spacing w:after="0"/>
              <w:rPr>
                <w:sz w:val="16"/>
                <w:szCs w:val="16"/>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Similar Party</w:t>
            </w:r>
          </w:p>
        </w:tc>
        <w:tc>
          <w:tcPr>
            <w:tcW w:w="4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00" w:type="dxa"/>
            <w:vAlign w:val="bottom"/>
            <w:tcBorders>
              <w:bottom w:val="single" w:sz="8" w:color="auto"/>
            </w:tcBorders>
            <w:vMerge w:val="continue"/>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360" w:type="dxa"/>
            <w:vAlign w:val="bottom"/>
          </w:tcPr>
          <w:p>
            <w:pPr>
              <w:spacing w:after="0"/>
              <w:rPr>
                <w:sz w:val="24"/>
                <w:szCs w:val="24"/>
                <w:color w:val="auto"/>
              </w:rPr>
            </w:pPr>
          </w:p>
        </w:tc>
        <w:tc>
          <w:tcPr>
            <w:tcW w:w="2960" w:type="dxa"/>
            <w:vAlign w:val="bottom"/>
            <w:gridSpan w:val="2"/>
          </w:tcPr>
          <w:p>
            <w:pPr>
              <w:ind w:left="60"/>
              <w:spacing w:after="0"/>
              <w:rPr>
                <w:sz w:val="20"/>
                <w:szCs w:val="20"/>
                <w:color w:val="auto"/>
              </w:rPr>
            </w:pPr>
            <w:r>
              <w:rPr>
                <w:rFonts w:ascii="Arial" w:cs="Arial" w:eastAsia="Arial" w:hAnsi="Arial"/>
                <w:sz w:val="16"/>
                <w:szCs w:val="16"/>
                <w:color w:val="auto"/>
              </w:rPr>
              <w:t>Common stock:</w:t>
            </w: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Universal Forest Products, Inc.</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Universal Forest Products Common Stock</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93,423,741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Common collective trust funds:</w:t>
            </w:r>
          </w:p>
        </w:tc>
        <w:tc>
          <w:tcPr>
            <w:tcW w:w="4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w w:val="94"/>
              </w:rPr>
              <w:t>Principal Global Investors Trust Company</w:t>
            </w:r>
          </w:p>
        </w:tc>
        <w:tc>
          <w:tcPr>
            <w:tcW w:w="4360" w:type="dxa"/>
            <w:vAlign w:val="bottom"/>
          </w:tcPr>
          <w:p>
            <w:pPr>
              <w:ind w:left="60"/>
              <w:spacing w:after="0"/>
              <w:rPr>
                <w:sz w:val="20"/>
                <w:szCs w:val="20"/>
                <w:color w:val="auto"/>
              </w:rPr>
            </w:pPr>
            <w:r>
              <w:rPr>
                <w:rFonts w:ascii="Arial" w:cs="Arial" w:eastAsia="Arial" w:hAnsi="Arial"/>
                <w:sz w:val="16"/>
                <w:szCs w:val="16"/>
                <w:color w:val="auto"/>
              </w:rPr>
              <w:t>Morley Stable Value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35,424,762</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60" w:type="dxa"/>
            <w:vAlign w:val="bottom"/>
            <w:gridSpan w:val="2"/>
          </w:tcPr>
          <w:p>
            <w:pPr>
              <w:ind w:left="60"/>
              <w:spacing w:after="0"/>
              <w:rPr>
                <w:sz w:val="20"/>
                <w:szCs w:val="20"/>
                <w:color w:val="auto"/>
              </w:rPr>
            </w:pPr>
            <w:r>
              <w:rPr>
                <w:rFonts w:ascii="Arial" w:cs="Arial" w:eastAsia="Arial" w:hAnsi="Arial"/>
                <w:sz w:val="16"/>
                <w:szCs w:val="16"/>
                <w:color w:val="auto"/>
              </w:rPr>
              <w:t>Money market funds:</w:t>
            </w: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Wells Fargo</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Government Money Market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2,087,794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Mutual funds:</w:t>
            </w:r>
          </w:p>
        </w:tc>
        <w:tc>
          <w:tcPr>
            <w:tcW w:w="4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JP Morgan</w:t>
            </w:r>
          </w:p>
        </w:tc>
        <w:tc>
          <w:tcPr>
            <w:tcW w:w="4360" w:type="dxa"/>
            <w:vAlign w:val="bottom"/>
          </w:tcPr>
          <w:p>
            <w:pPr>
              <w:ind w:left="60"/>
              <w:spacing w:after="0"/>
              <w:rPr>
                <w:sz w:val="20"/>
                <w:szCs w:val="20"/>
                <w:color w:val="auto"/>
              </w:rPr>
            </w:pPr>
            <w:r>
              <w:rPr>
                <w:rFonts w:ascii="Arial" w:cs="Arial" w:eastAsia="Arial" w:hAnsi="Arial"/>
                <w:sz w:val="16"/>
                <w:szCs w:val="16"/>
                <w:color w:val="auto"/>
              </w:rPr>
              <w:t>Large Cap Growth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22,819,216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Midcap Index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16,838,361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Fidelity</w:t>
            </w:r>
          </w:p>
        </w:tc>
        <w:tc>
          <w:tcPr>
            <w:tcW w:w="4360" w:type="dxa"/>
            <w:vAlign w:val="bottom"/>
          </w:tcPr>
          <w:p>
            <w:pPr>
              <w:ind w:left="60"/>
              <w:spacing w:after="0"/>
              <w:rPr>
                <w:sz w:val="20"/>
                <w:szCs w:val="20"/>
                <w:color w:val="auto"/>
              </w:rPr>
            </w:pPr>
            <w:r>
              <w:rPr>
                <w:rFonts w:ascii="Arial" w:cs="Arial" w:eastAsia="Arial" w:hAnsi="Arial"/>
                <w:sz w:val="16"/>
                <w:szCs w:val="16"/>
                <w:color w:val="auto"/>
              </w:rPr>
              <w:t>Small Cap Index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2,819,542</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International Stock Index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1,627,576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Fidelity</w:t>
            </w:r>
          </w:p>
        </w:tc>
        <w:tc>
          <w:tcPr>
            <w:tcW w:w="4360" w:type="dxa"/>
            <w:vAlign w:val="bottom"/>
          </w:tcPr>
          <w:p>
            <w:pPr>
              <w:ind w:left="60"/>
              <w:spacing w:after="0"/>
              <w:rPr>
                <w:sz w:val="20"/>
                <w:szCs w:val="20"/>
                <w:color w:val="auto"/>
              </w:rPr>
            </w:pPr>
            <w:r>
              <w:rPr>
                <w:rFonts w:ascii="Arial" w:cs="Arial" w:eastAsia="Arial" w:hAnsi="Arial"/>
                <w:sz w:val="16"/>
                <w:szCs w:val="16"/>
                <w:color w:val="auto"/>
              </w:rPr>
              <w:t>US Bond Index</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2,429,060</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500 Index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20,280,690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Dodge &amp; Cox</w:t>
            </w: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Stock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6,742,272</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Dodge &amp; Cox</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6,118,209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Neuberger Berman</w:t>
            </w:r>
          </w:p>
        </w:tc>
        <w:tc>
          <w:tcPr>
            <w:tcW w:w="4360" w:type="dxa"/>
            <w:vAlign w:val="bottom"/>
          </w:tcPr>
          <w:p>
            <w:pPr>
              <w:ind w:left="60"/>
              <w:spacing w:after="0"/>
              <w:rPr>
                <w:sz w:val="20"/>
                <w:szCs w:val="20"/>
                <w:color w:val="auto"/>
              </w:rPr>
            </w:pPr>
            <w:r>
              <w:rPr>
                <w:rFonts w:ascii="Arial" w:cs="Arial" w:eastAsia="Arial" w:hAnsi="Arial"/>
                <w:sz w:val="16"/>
                <w:szCs w:val="16"/>
                <w:color w:val="auto"/>
              </w:rPr>
              <w:t>Genesis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12,779,493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Invesco</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Growth and Income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18,598,901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auto"/>
              </w:rPr>
              <w:t>Carillon Eagle</w:t>
            </w:r>
          </w:p>
        </w:tc>
        <w:tc>
          <w:tcPr>
            <w:tcW w:w="4360" w:type="dxa"/>
            <w:vAlign w:val="bottom"/>
          </w:tcPr>
          <w:p>
            <w:pPr>
              <w:ind w:left="60"/>
              <w:spacing w:after="0"/>
              <w:rPr>
                <w:sz w:val="20"/>
                <w:szCs w:val="20"/>
                <w:color w:val="auto"/>
              </w:rPr>
            </w:pPr>
            <w:r>
              <w:rPr>
                <w:rFonts w:ascii="Arial" w:cs="Arial" w:eastAsia="Arial" w:hAnsi="Arial"/>
                <w:sz w:val="16"/>
                <w:szCs w:val="16"/>
                <w:color w:val="auto"/>
              </w:rPr>
              <w:t>Midcap Growth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878,829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 Rowe Price</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Retirement 2060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795,464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Retirement 2050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20,288,339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Retirement 2040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23,186,346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Retirement 2030 Fund</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27,227,986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Retirement 2020 Fund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25,451,417</w:t>
            </w:r>
          </w:p>
        </w:tc>
        <w:tc>
          <w:tcPr>
            <w:tcW w:w="0" w:type="dxa"/>
            <w:vAlign w:val="bottom"/>
          </w:tcPr>
          <w:p>
            <w:pPr>
              <w:spacing w:after="0"/>
              <w:rPr>
                <w:sz w:val="1"/>
                <w:szCs w:val="1"/>
                <w:color w:val="auto"/>
              </w:rPr>
            </w:pPr>
          </w:p>
        </w:tc>
      </w:tr>
      <w:tr>
        <w:trPr>
          <w:trHeight w:val="203"/>
        </w:trPr>
        <w:tc>
          <w:tcPr>
            <w:tcW w:w="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Retirement 2010 Fund</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5,684,075</w:t>
            </w:r>
          </w:p>
        </w:tc>
        <w:tc>
          <w:tcPr>
            <w:tcW w:w="0" w:type="dxa"/>
            <w:vAlign w:val="bottom"/>
          </w:tcPr>
          <w:p>
            <w:pPr>
              <w:spacing w:after="0"/>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214,565,776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345,502,073</w:t>
            </w:r>
          </w:p>
        </w:tc>
        <w:tc>
          <w:tcPr>
            <w:tcW w:w="0" w:type="dxa"/>
            <w:vAlign w:val="bottom"/>
          </w:tcPr>
          <w:p>
            <w:pPr>
              <w:spacing w:after="0"/>
              <w:rPr>
                <w:sz w:val="1"/>
                <w:szCs w:val="1"/>
                <w:color w:val="auto"/>
              </w:rPr>
            </w:pPr>
          </w:p>
        </w:tc>
      </w:tr>
      <w:tr>
        <w:trPr>
          <w:trHeight w:val="193"/>
        </w:trPr>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9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Participant loans</w:t>
            </w:r>
          </w:p>
        </w:tc>
        <w:tc>
          <w:tcPr>
            <w:tcW w:w="43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7"/>
              </w:rPr>
              <w:t>Collateralized by vested account balances, payable in monthly</w:t>
            </w: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60" w:type="dxa"/>
            <w:vAlign w:val="bottom"/>
            <w:vMerge w:val="continue"/>
            <w:shd w:val="clear" w:color="auto" w:fill="CCEEFF"/>
          </w:tcPr>
          <w:p>
            <w:pPr>
              <w:spacing w:after="0"/>
              <w:rPr>
                <w:sz w:val="8"/>
                <w:szCs w:val="8"/>
                <w:color w:val="auto"/>
              </w:rPr>
            </w:pPr>
          </w:p>
        </w:tc>
        <w:tc>
          <w:tcPr>
            <w:tcW w:w="2960" w:type="dxa"/>
            <w:vAlign w:val="bottom"/>
            <w:gridSpan w:val="2"/>
            <w:vMerge w:val="continue"/>
            <w:shd w:val="clear" w:color="auto" w:fill="CCEEFF"/>
          </w:tcPr>
          <w:p>
            <w:pPr>
              <w:spacing w:after="0"/>
              <w:rPr>
                <w:sz w:val="8"/>
                <w:szCs w:val="8"/>
                <w:color w:val="auto"/>
              </w:rPr>
            </w:pPr>
          </w:p>
        </w:tc>
        <w:tc>
          <w:tcPr>
            <w:tcW w:w="43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w w:val="98"/>
              </w:rPr>
              <w:t>installments with interest rates ranging from 4.25% to 11.50%</w:t>
            </w:r>
          </w:p>
        </w:tc>
        <w:tc>
          <w:tcPr>
            <w:tcW w:w="3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43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11,874,083</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357,376,156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-7620</wp:posOffset>
            </wp:positionV>
            <wp:extent cx="1106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17145"/>
                    </a:xfrm>
                    <a:prstGeom prst="rect">
                      <a:avLst/>
                    </a:prstGeom>
                    <a:noFill/>
                  </pic:spPr>
                </pic:pic>
              </a:graphicData>
            </a:graphic>
          </wp:anchor>
        </w:drawing>
      </w:r>
    </w:p>
    <w:p>
      <w:pPr>
        <w:ind w:left="440" w:hanging="257"/>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 party-in-interest to the Plan.</w:t>
      </w:r>
    </w:p>
    <w:p>
      <w:pPr>
        <w:spacing w:after="0" w:line="224"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59836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1289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300" w:type="dxa"/>
            <w:vAlign w:val="bottom"/>
          </w:tcPr>
          <w:p>
            <w:pPr>
              <w:spacing w:after="0"/>
              <w:rPr>
                <w:sz w:val="20"/>
                <w:szCs w:val="20"/>
                <w:color w:val="auto"/>
              </w:rPr>
            </w:pPr>
            <w:r>
              <w:rPr>
                <w:rFonts w:ascii="Arial" w:cs="Arial" w:eastAsia="Arial" w:hAnsi="Arial"/>
                <w:sz w:val="18"/>
                <w:szCs w:val="18"/>
                <w:color w:val="auto"/>
              </w:rPr>
              <w:t>Exhibit No.</w:t>
            </w:r>
          </w:p>
        </w:tc>
        <w:tc>
          <w:tcPr>
            <w:tcW w:w="8100" w:type="dxa"/>
            <w:vAlign w:val="bottom"/>
            <w:gridSpan w:val="3"/>
          </w:tcPr>
          <w:p>
            <w:pPr>
              <w:ind w:left="600"/>
              <w:spacing w:after="0"/>
              <w:rPr>
                <w:sz w:val="20"/>
                <w:szCs w:val="20"/>
                <w:color w:val="auto"/>
              </w:rPr>
            </w:pPr>
            <w:r>
              <w:rPr>
                <w:rFonts w:ascii="Arial" w:cs="Arial" w:eastAsia="Arial" w:hAnsi="Arial"/>
                <w:sz w:val="18"/>
                <w:szCs w:val="18"/>
                <w:color w:val="auto"/>
              </w:rPr>
              <w:t>Description</w:t>
            </w:r>
          </w:p>
        </w:tc>
      </w:tr>
      <w:tr>
        <w:trPr>
          <w:trHeight w:val="209"/>
        </w:trPr>
        <w:tc>
          <w:tcPr>
            <w:tcW w:w="130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23</w:t>
              </w:r>
            </w:hyperlink>
          </w:p>
        </w:tc>
        <w:tc>
          <w:tcPr>
            <w:tcW w:w="60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Consent of BDO USA, LLP</w:t>
              </w:r>
            </w:hyperlink>
          </w:p>
        </w:tc>
        <w:tc>
          <w:tcPr>
            <w:tcW w:w="4620" w:type="dxa"/>
            <w:vAlign w:val="bottom"/>
            <w:tcBorders>
              <w:top w:val="single" w:sz="8" w:color="CCEEFF"/>
            </w:tcBorders>
            <w:shd w:val="clear" w:color="auto" w:fill="CCEEFF"/>
          </w:tcPr>
          <w:p>
            <w:pPr>
              <w:spacing w:after="0"/>
              <w:rPr>
                <w:sz w:val="18"/>
                <w:szCs w:val="18"/>
                <w:color w:val="auto"/>
              </w:rPr>
            </w:pPr>
          </w:p>
        </w:tc>
      </w:tr>
      <w:tr>
        <w:trPr>
          <w:trHeight w:val="993"/>
        </w:trPr>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240" w:top="125" w:right="12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32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Universal Forest Products, Inc. Employee's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Profit</w:t>
      </w:r>
    </w:p>
    <w:p>
      <w:pPr>
        <w:spacing w:after="0" w:line="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Sharing and 401(k) Plan</w:t>
      </w:r>
    </w:p>
    <w:p>
      <w:pPr>
        <w:spacing w:after="0" w:line="144"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June 10, 2020</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31750</wp:posOffset>
            </wp:positionV>
            <wp:extent cx="54864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Michael R. Cole,</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Universal Forest Products, Inc., Plan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Administrator</w:t>
      </w:r>
    </w:p>
    <w:p>
      <w:pPr>
        <w:spacing w:after="0" w:line="130"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June 10, 2020</w:t>
      </w:r>
      <w:r>
        <w:rPr>
          <w:sz w:val="20"/>
          <w:szCs w:val="20"/>
          <w:color w:val="auto"/>
        </w:rPr>
        <w:tab/>
      </w:r>
      <w:r>
        <w:rPr>
          <w:rFonts w:ascii="Arial" w:cs="Arial" w:eastAsia="Arial" w:hAnsi="Arial"/>
          <w:sz w:val="16"/>
          <w:szCs w:val="16"/>
          <w:color w:val="auto"/>
        </w:rPr>
        <w:t>/s/ Nancy A. DeGood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31750</wp:posOffset>
            </wp:positionV>
            <wp:extent cx="5486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Nancy A. DeGood,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Universal Forest Products, Inc., Plan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502920</wp:posOffset>
            </wp:positionV>
            <wp:extent cx="596646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240"/>
          </w:cols>
          <w:pgMar w:left="1240" w:top="125" w:right="1419" w:bottom="1440" w:gutter="0" w:footer="0" w:header="0"/>
        </w:sectPr>
      </w:pPr>
    </w:p>
    <w:bookmarkStart w:id="14" w:name="page15"/>
    <w:bookmarkEnd w:id="14"/>
    <w:p>
      <w:pPr>
        <w:jc w:val="right"/>
        <w:ind w:right="5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left="40" w:right="3579"/>
        <w:spacing w:after="0" w:line="277" w:lineRule="auto"/>
        <w:rPr>
          <w:sz w:val="20"/>
          <w:szCs w:val="20"/>
          <w:color w:val="auto"/>
        </w:rPr>
      </w:pPr>
      <w:r>
        <w:rPr>
          <w:rFonts w:ascii="Arial" w:cs="Arial" w:eastAsia="Arial" w:hAnsi="Arial"/>
          <w:sz w:val="18"/>
          <w:szCs w:val="18"/>
          <w:color w:val="auto"/>
        </w:rPr>
        <w:t>Universal Forest Products, Inc. Employees’ Profit Sharing and 401(k) Plan Grand Rapids, Michigan</w:t>
      </w:r>
    </w:p>
    <w:p>
      <w:pPr>
        <w:spacing w:after="0" w:line="19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(33-84632) of Universal Forest Products, Inc. of our report dated June 10, 2020, relating to the financial statements and supplemental schedule of Universal Forest Products, Inc. Employees’ Profit Sharing and 401(k) Plan which appears in this Form 11-K for the year ended December 31, 2019.</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2020-06-10T16:24:04Z</dcterms:created>
  <dcterms:modified xsi:type="dcterms:W3CDTF">2020-06-10T16:24:04Z</dcterms:modified>
</cp:coreProperties>
</file>