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9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restart"/>
          </w:tcPr>
          <w:p>
            <w:pPr>
              <w:jc w:val="center"/>
              <w:ind w:left="7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5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5"/>
                </w:rPr>
                <w:t>West Jonathan E.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X</w:t>
            </w: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restart"/>
          </w:tcPr>
          <w:p>
            <w:pPr>
              <w:ind w:left="2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Southern Div.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</w:tcBorders>
            <w:gridSpan w:val="11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34,305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12/30/2017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401(k)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12/15/2017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38.15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11,615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2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12/15/2017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38.17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12,843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-6640830</wp:posOffset>
            </wp:positionV>
            <wp:extent cx="7297420" cy="66973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669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non-discretionary transactions affected in account pursuant to the terms of the Company's Profit Sharing and 401(k) Retirement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Jonathan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West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417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613096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2019-12-24T05:08:51Z</dcterms:created>
  <dcterms:modified xsi:type="dcterms:W3CDTF">2019-12-24T05:08:51Z</dcterms:modified>
</cp:coreProperties>
</file>