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11-K</w:t>
      </w:r>
    </w:p>
    <w:p>
      <w:pPr>
        <w:spacing w:after="0" w:line="226" w:lineRule="exact"/>
        <w:rPr>
          <w:sz w:val="20"/>
          <w:szCs w:val="20"/>
          <w:color w:val="auto"/>
        </w:rPr>
      </w:pPr>
    </w:p>
    <w:p>
      <w:pPr>
        <w:ind w:left="1460" w:right="151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 [NO FEE REQUIRED].</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05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 [NO FEE REQUIRED].</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Commission file number: 0-22684</w:t>
      </w:r>
    </w:p>
    <w:p>
      <w:pPr>
        <w:spacing w:after="0" w:line="18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Universal Forest Products, Inc. Employees’ Profit Sharing</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401(k) Retirement Plan</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(Full title of the plan and the address of the plan, if different from that of issuer named below)</w:t>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36"/>
          <w:szCs w:val="36"/>
          <w:b w:val="1"/>
          <w:bCs w:val="1"/>
          <w:color w:val="auto"/>
        </w:rPr>
        <w:t>Universal Forest Products, Inc.</w:t>
      </w:r>
    </w:p>
    <w:p>
      <w:pPr>
        <w:spacing w:after="0" w:line="4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2801 East Beltline NE</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Rapids, Michigan 49525-9736</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(Name of issuer of the securities held pursuant to the plan and the address of its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141605</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158750</wp:posOffset>
            </wp:positionV>
            <wp:extent cx="59258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0" w:type="dxa"/>
            <w:vAlign w:val="bottom"/>
            <w:gridSpan w:val="5"/>
          </w:tcPr>
          <w:p>
            <w:pPr>
              <w:jc w:val="center"/>
              <w:ind w:right="560"/>
              <w:spacing w:after="0"/>
              <w:rPr>
                <w:sz w:val="20"/>
                <w:szCs w:val="20"/>
                <w:color w:val="auto"/>
              </w:rPr>
            </w:pPr>
            <w:r>
              <w:rPr>
                <w:rFonts w:ascii="Arial" w:cs="Arial" w:eastAsia="Arial" w:hAnsi="Arial"/>
                <w:sz w:val="18"/>
                <w:szCs w:val="18"/>
                <w:color w:val="auto"/>
                <w:w w:val="89"/>
              </w:rPr>
              <w:t>Financial Statements and Supplemental Schedule</w:t>
            </w:r>
          </w:p>
        </w:tc>
        <w:tc>
          <w:tcPr>
            <w:tcW w:w="3340" w:type="dxa"/>
            <w:vAlign w:val="bottom"/>
          </w:tcPr>
          <w:p>
            <w:pPr>
              <w:spacing w:after="0"/>
              <w:rPr>
                <w:sz w:val="20"/>
                <w:szCs w:val="20"/>
                <w:color w:val="auto"/>
              </w:rPr>
            </w:pPr>
          </w:p>
        </w:tc>
      </w:tr>
      <w:tr>
        <w:trPr>
          <w:trHeight w:val="392"/>
        </w:trPr>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0" w:type="dxa"/>
            <w:vAlign w:val="bottom"/>
            <w:gridSpan w:val="5"/>
          </w:tcPr>
          <w:p>
            <w:pPr>
              <w:jc w:val="center"/>
              <w:ind w:right="560"/>
              <w:spacing w:after="0"/>
              <w:rPr>
                <w:sz w:val="20"/>
                <w:szCs w:val="20"/>
                <w:color w:val="auto"/>
              </w:rPr>
            </w:pPr>
            <w:r>
              <w:rPr>
                <w:rFonts w:ascii="Arial" w:cs="Arial" w:eastAsia="Arial" w:hAnsi="Arial"/>
                <w:sz w:val="18"/>
                <w:szCs w:val="18"/>
                <w:color w:val="auto"/>
                <w:w w:val="88"/>
              </w:rPr>
              <w:t>Years Ended December 31, 2007 and 2006</w:t>
            </w:r>
          </w:p>
        </w:tc>
        <w:tc>
          <w:tcPr>
            <w:tcW w:w="334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2"/>
          </w:tcPr>
          <w:p>
            <w:pPr>
              <w:jc w:val="center"/>
              <w:ind w:right="2700"/>
              <w:spacing w:after="0"/>
              <w:rPr>
                <w:sz w:val="20"/>
                <w:szCs w:val="20"/>
                <w:color w:val="auto"/>
              </w:rPr>
            </w:pPr>
            <w:r>
              <w:rPr>
                <w:rFonts w:ascii="Arial" w:cs="Arial" w:eastAsia="Arial" w:hAnsi="Arial"/>
                <w:sz w:val="18"/>
                <w:szCs w:val="18"/>
                <w:b w:val="1"/>
                <w:bCs w:val="1"/>
                <w:color w:val="auto"/>
                <w:w w:val="87"/>
              </w:rPr>
              <w:t>Contents</w:t>
            </w:r>
          </w:p>
        </w:tc>
        <w:tc>
          <w:tcPr>
            <w:tcW w:w="334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41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Report of Independent Registered Public Accounting Firm</w:t>
              </w:r>
            </w:hyperlink>
          </w:p>
        </w:tc>
        <w:tc>
          <w:tcPr>
            <w:tcW w:w="3520" w:type="dxa"/>
            <w:vAlign w:val="bottom"/>
            <w:gridSpan w:val="3"/>
          </w:tcPr>
          <w:p>
            <w:pPr>
              <w:spacing w:after="0"/>
              <w:rPr>
                <w:sz w:val="24"/>
                <w:szCs w:val="24"/>
                <w:color w:val="auto"/>
              </w:rPr>
            </w:pPr>
          </w:p>
        </w:tc>
        <w:tc>
          <w:tcPr>
            <w:tcW w:w="3340" w:type="dxa"/>
            <w:vAlign w:val="bottom"/>
          </w:tcPr>
          <w:p>
            <w:pPr>
              <w:jc w:val="right"/>
              <w:ind w:right="1750"/>
              <w:spacing w:after="0"/>
              <w:rPr>
                <w:sz w:val="20"/>
                <w:szCs w:val="20"/>
                <w:color w:val="auto"/>
              </w:rPr>
            </w:pPr>
            <w:r>
              <w:rPr>
                <w:rFonts w:ascii="Arial" w:cs="Arial" w:eastAsia="Arial" w:hAnsi="Arial"/>
                <w:sz w:val="18"/>
                <w:szCs w:val="18"/>
                <w:color w:val="auto"/>
              </w:rPr>
              <w:t>3</w:t>
            </w:r>
          </w:p>
        </w:tc>
      </w:tr>
      <w:tr>
        <w:trPr>
          <w:trHeight w:val="453"/>
        </w:trPr>
        <w:tc>
          <w:tcPr>
            <w:tcW w:w="380" w:type="dxa"/>
            <w:vAlign w:val="bottom"/>
          </w:tcPr>
          <w:p>
            <w:pPr>
              <w:spacing w:after="0"/>
              <w:rPr>
                <w:sz w:val="24"/>
                <w:szCs w:val="24"/>
                <w:color w:val="auto"/>
              </w:rPr>
            </w:pPr>
          </w:p>
        </w:tc>
        <w:tc>
          <w:tcPr>
            <w:tcW w:w="770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334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770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w:t>
              </w:r>
            </w:hyperlink>
          </w:p>
        </w:tc>
        <w:tc>
          <w:tcPr>
            <w:tcW w:w="3340" w:type="dxa"/>
            <w:vAlign w:val="bottom"/>
          </w:tcPr>
          <w:p>
            <w:pPr>
              <w:jc w:val="right"/>
              <w:ind w:right="1750"/>
              <w:spacing w:after="0"/>
              <w:rPr>
                <w:sz w:val="20"/>
                <w:szCs w:val="20"/>
                <w:color w:val="auto"/>
              </w:rPr>
            </w:pPr>
            <w:r>
              <w:rPr>
                <w:rFonts w:ascii="Arial" w:cs="Arial" w:eastAsia="Arial" w:hAnsi="Arial"/>
                <w:sz w:val="18"/>
                <w:szCs w:val="18"/>
                <w:color w:val="auto"/>
              </w:rPr>
              <w:t>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64"/>
        </w:trPr>
        <w:tc>
          <w:tcPr>
            <w:tcW w:w="380" w:type="dxa"/>
            <w:vAlign w:val="bottom"/>
          </w:tcPr>
          <w:p>
            <w:pPr>
              <w:spacing w:after="0"/>
              <w:rPr>
                <w:sz w:val="22"/>
                <w:szCs w:val="22"/>
                <w:color w:val="auto"/>
              </w:rPr>
            </w:pPr>
          </w:p>
        </w:tc>
        <w:tc>
          <w:tcPr>
            <w:tcW w:w="42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Statements of Changes in Net Assets Available for Benefits</w:t>
              </w:r>
            </w:hyperlink>
          </w:p>
        </w:tc>
        <w:tc>
          <w:tcPr>
            <w:tcW w:w="3460" w:type="dxa"/>
            <w:vAlign w:val="bottom"/>
            <w:gridSpan w:val="2"/>
          </w:tcPr>
          <w:p>
            <w:pPr>
              <w:spacing w:after="0"/>
              <w:rPr>
                <w:sz w:val="22"/>
                <w:szCs w:val="22"/>
                <w:color w:val="auto"/>
              </w:rPr>
            </w:pPr>
          </w:p>
        </w:tc>
        <w:tc>
          <w:tcPr>
            <w:tcW w:w="3340" w:type="dxa"/>
            <w:vAlign w:val="bottom"/>
          </w:tcPr>
          <w:p>
            <w:pPr>
              <w:jc w:val="right"/>
              <w:ind w:right="1750"/>
              <w:spacing w:after="0"/>
              <w:rPr>
                <w:sz w:val="20"/>
                <w:szCs w:val="20"/>
                <w:color w:val="auto"/>
              </w:rPr>
            </w:pPr>
            <w:r>
              <w:rPr>
                <w:rFonts w:ascii="Arial" w:cs="Arial" w:eastAsia="Arial" w:hAnsi="Arial"/>
                <w:sz w:val="18"/>
                <w:szCs w:val="18"/>
                <w:color w:val="auto"/>
              </w:rPr>
              <w:t>5</w:t>
            </w:r>
          </w:p>
        </w:tc>
      </w:tr>
      <w:tr>
        <w:trPr>
          <w:trHeight w:val="264"/>
        </w:trPr>
        <w:tc>
          <w:tcPr>
            <w:tcW w:w="380" w:type="dxa"/>
            <w:vAlign w:val="bottom"/>
          </w:tcPr>
          <w:p>
            <w:pPr>
              <w:spacing w:after="0"/>
              <w:rPr>
                <w:sz w:val="22"/>
                <w:szCs w:val="22"/>
                <w:color w:val="auto"/>
              </w:rPr>
            </w:pPr>
          </w:p>
        </w:tc>
        <w:tc>
          <w:tcPr>
            <w:tcW w:w="770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3340" w:type="dxa"/>
            <w:vAlign w:val="bottom"/>
          </w:tcPr>
          <w:p>
            <w:pPr>
              <w:jc w:val="right"/>
              <w:ind w:right="1750"/>
              <w:spacing w:after="0"/>
              <w:rPr>
                <w:sz w:val="20"/>
                <w:szCs w:val="20"/>
                <w:color w:val="auto"/>
              </w:rPr>
            </w:pPr>
            <w:r>
              <w:rPr>
                <w:rFonts w:ascii="Arial" w:cs="Arial" w:eastAsia="Arial" w:hAnsi="Arial"/>
                <w:sz w:val="18"/>
                <w:szCs w:val="18"/>
                <w:color w:val="auto"/>
              </w:rPr>
              <w:t>6</w:t>
            </w:r>
          </w:p>
        </w:tc>
      </w:tr>
      <w:tr>
        <w:trPr>
          <w:trHeight w:val="453"/>
        </w:trPr>
        <w:tc>
          <w:tcPr>
            <w:tcW w:w="380" w:type="dxa"/>
            <w:vAlign w:val="bottom"/>
          </w:tcPr>
          <w:p>
            <w:pPr>
              <w:spacing w:after="0"/>
              <w:rPr>
                <w:sz w:val="24"/>
                <w:szCs w:val="24"/>
                <w:color w:val="auto"/>
              </w:rPr>
            </w:pPr>
          </w:p>
        </w:tc>
        <w:tc>
          <w:tcPr>
            <w:tcW w:w="2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Supplemental Schedule</w:t>
            </w:r>
          </w:p>
        </w:tc>
        <w:tc>
          <w:tcPr>
            <w:tcW w:w="5600" w:type="dxa"/>
            <w:vAlign w:val="bottom"/>
            <w:gridSpan w:val="5"/>
          </w:tcPr>
          <w:p>
            <w:pPr>
              <w:spacing w:after="0"/>
              <w:rPr>
                <w:sz w:val="24"/>
                <w:szCs w:val="24"/>
                <w:color w:val="auto"/>
              </w:rPr>
            </w:pPr>
          </w:p>
        </w:tc>
        <w:tc>
          <w:tcPr>
            <w:tcW w:w="334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45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Schedule H, Line 4i—Schedule of Assets (Held at End of Year)</w:t>
              </w:r>
            </w:hyperlink>
          </w:p>
        </w:tc>
        <w:tc>
          <w:tcPr>
            <w:tcW w:w="3160" w:type="dxa"/>
            <w:vAlign w:val="bottom"/>
          </w:tcPr>
          <w:p>
            <w:pPr>
              <w:spacing w:after="0"/>
              <w:rPr>
                <w:sz w:val="24"/>
                <w:szCs w:val="24"/>
                <w:color w:val="auto"/>
              </w:rPr>
            </w:pPr>
          </w:p>
        </w:tc>
        <w:tc>
          <w:tcPr>
            <w:tcW w:w="3340" w:type="dxa"/>
            <w:vAlign w:val="bottom"/>
          </w:tcPr>
          <w:p>
            <w:pPr>
              <w:jc w:val="right"/>
              <w:ind w:right="1750"/>
              <w:spacing w:after="0"/>
              <w:rPr>
                <w:sz w:val="20"/>
                <w:szCs w:val="20"/>
                <w:color w:val="auto"/>
              </w:rPr>
            </w:pPr>
            <w:r>
              <w:rPr>
                <w:rFonts w:ascii="Arial" w:cs="Arial" w:eastAsia="Arial" w:hAnsi="Arial"/>
                <w:sz w:val="18"/>
                <w:szCs w:val="18"/>
                <w:color w:val="auto"/>
              </w:rPr>
              <w:t>13</w:t>
            </w:r>
          </w:p>
        </w:tc>
      </w:tr>
      <w:tr>
        <w:trPr>
          <w:trHeight w:val="412"/>
        </w:trPr>
        <w:tc>
          <w:tcPr>
            <w:tcW w:w="380" w:type="dxa"/>
            <w:vAlign w:val="bottom"/>
          </w:tcPr>
          <w:p>
            <w:pPr>
              <w:spacing w:after="0"/>
              <w:rPr>
                <w:sz w:val="24"/>
                <w:szCs w:val="24"/>
                <w:color w:val="auto"/>
              </w:rPr>
            </w:pPr>
          </w:p>
        </w:tc>
        <w:tc>
          <w:tcPr>
            <w:tcW w:w="7700" w:type="dxa"/>
            <w:vAlign w:val="bottom"/>
            <w:gridSpan w:val="7"/>
          </w:tcPr>
          <w:p>
            <w:pPr>
              <w:spacing w:after="0"/>
              <w:rPr>
                <w:sz w:val="20"/>
                <w:szCs w:val="20"/>
                <w:color w:val="auto"/>
              </w:rPr>
            </w:pPr>
            <w:r>
              <w:rPr>
                <w:rFonts w:ascii="Arial" w:cs="Arial" w:eastAsia="Arial" w:hAnsi="Arial"/>
                <w:sz w:val="18"/>
                <w:szCs w:val="18"/>
                <w:color w:val="0000EE"/>
              </w:rPr>
              <w:t>Exhibit 23</w:t>
            </w:r>
          </w:p>
        </w:tc>
        <w:tc>
          <w:tcPr>
            <w:tcW w:w="3340" w:type="dxa"/>
            <w:vAlign w:val="bottom"/>
          </w:tcPr>
          <w:p>
            <w:pPr>
              <w:spacing w:after="0"/>
              <w:rPr>
                <w:sz w:val="24"/>
                <w:szCs w:val="24"/>
                <w:color w:val="auto"/>
              </w:rPr>
            </w:pPr>
          </w:p>
        </w:tc>
      </w:tr>
      <w:tr>
        <w:trPr>
          <w:trHeight w:val="1044"/>
        </w:trPr>
        <w:tc>
          <w:tcPr>
            <w:tcW w:w="380" w:type="dxa"/>
            <w:vAlign w:val="bottom"/>
            <w:tcBorders>
              <w:bottom w:val="single" w:sz="8" w:color="808080"/>
            </w:tcBorders>
          </w:tcPr>
          <w:p>
            <w:pPr>
              <w:spacing w:after="0"/>
              <w:rPr>
                <w:sz w:val="24"/>
                <w:szCs w:val="24"/>
                <w:color w:val="auto"/>
              </w:rPr>
            </w:pPr>
          </w:p>
        </w:tc>
        <w:tc>
          <w:tcPr>
            <w:tcW w:w="740" w:type="dxa"/>
            <w:vAlign w:val="bottom"/>
            <w:tcBorders>
              <w:top w:val="single" w:sz="8" w:color="0000EE"/>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Administrator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401(k) Retirement Plan</w:t>
      </w:r>
    </w:p>
    <w:p>
      <w:pPr>
        <w:spacing w:after="0" w:line="170"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We have audited the accompanying statements of net assets available for benefits of Universal Forest Products, Inc. Employees’ Profit Sharing and 401(k) Retirement Plan as of December 31, 2007 and 2006,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31"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at December 31, 2007 and 2006, and the changes in its net assets available for benefits for the years then ended, in conformity with U.S. generally accepted accounting principles.</w:t>
      </w:r>
    </w:p>
    <w:p>
      <w:pPr>
        <w:spacing w:after="0" w:line="141"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Our audits were performed for the purpose of forming an opinion on the financial statements taken as a whole. The accompanying supplemental schedule of assets (held at end of year) as of December 31, 2007,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11, 2008</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60" w:type="dxa"/>
            <w:vAlign w:val="bottom"/>
          </w:tcPr>
          <w:p>
            <w:pPr>
              <w:ind w:left="2940"/>
              <w:spacing w:after="0"/>
              <w:rPr>
                <w:sz w:val="20"/>
                <w:szCs w:val="20"/>
                <w:color w:val="auto"/>
              </w:rPr>
            </w:pPr>
            <w:r>
              <w:rPr>
                <w:rFonts w:ascii="Arial" w:cs="Arial" w:eastAsia="Arial" w:hAnsi="Arial"/>
                <w:sz w:val="18"/>
                <w:szCs w:val="18"/>
                <w:color w:val="auto"/>
              </w:rPr>
              <w:t>Statements of Net Assets Available for Benefits</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tcPr>
          <w:p>
            <w:pPr>
              <w:spacing w:after="0"/>
              <w:rPr>
                <w:sz w:val="24"/>
                <w:szCs w:val="24"/>
                <w:color w:val="auto"/>
              </w:rPr>
            </w:pPr>
          </w:p>
        </w:tc>
        <w:tc>
          <w:tcPr>
            <w:tcW w:w="25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$ 154,573,038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165,431,359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 receivable</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9,421,917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9,078,477</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163,994,955</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174,509,836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 receivable</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165,207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444,472</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Employer contribution receivable</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543,393</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971,052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164,703,555</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175,925,422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Due to investment broker</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(339,117)</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fair value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164,364,438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175,925,422</w:t>
            </w:r>
          </w:p>
        </w:tc>
        <w:tc>
          <w:tcPr>
            <w:tcW w:w="0" w:type="dxa"/>
            <w:vAlign w:val="bottom"/>
          </w:tcPr>
          <w:p>
            <w:pPr>
              <w:spacing w:after="0"/>
              <w:rPr>
                <w:sz w:val="1"/>
                <w:szCs w:val="1"/>
                <w:color w:val="auto"/>
              </w:rPr>
            </w:pPr>
          </w:p>
        </w:tc>
      </w:tr>
      <w:tr>
        <w:trPr>
          <w:trHeight w:val="418"/>
        </w:trPr>
        <w:tc>
          <w:tcPr>
            <w:tcW w:w="6760" w:type="dxa"/>
            <w:vAlign w:val="bottom"/>
          </w:tcPr>
          <w:p>
            <w:pPr>
              <w:spacing w:after="0"/>
              <w:rPr>
                <w:sz w:val="20"/>
                <w:szCs w:val="20"/>
                <w:color w:val="auto"/>
              </w:rPr>
            </w:pPr>
            <w:r>
              <w:rPr>
                <w:rFonts w:ascii="Arial" w:cs="Arial" w:eastAsia="Arial" w:hAnsi="Arial"/>
                <w:sz w:val="18"/>
                <w:szCs w:val="18"/>
                <w:color w:val="auto"/>
              </w:rPr>
              <w:t>Adjustment from fair value to contract value for fully benefit responsive investment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294,242</w:t>
            </w:r>
          </w:p>
        </w:tc>
        <w:tc>
          <w:tcPr>
            <w:tcW w:w="3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0"/>
              <w:spacing w:after="0"/>
              <w:rPr>
                <w:sz w:val="20"/>
                <w:szCs w:val="20"/>
                <w:color w:val="auto"/>
              </w:rPr>
            </w:pPr>
            <w:r>
              <w:rPr>
                <w:rFonts w:ascii="Arial" w:cs="Arial" w:eastAsia="Arial" w:hAnsi="Arial"/>
                <w:sz w:val="18"/>
                <w:szCs w:val="18"/>
                <w:color w:val="auto"/>
              </w:rPr>
              <w:t>contracts</w:t>
            </w:r>
          </w:p>
        </w:tc>
        <w:tc>
          <w:tcPr>
            <w:tcW w:w="104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700,006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$ 164,658,680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176,625,428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6"/>
              </w:rPr>
              <w:t>Year Ended December 31</w:t>
            </w:r>
          </w:p>
        </w:tc>
      </w:tr>
      <w:tr>
        <w:trPr>
          <w:trHeight w:val="210"/>
        </w:trPr>
        <w:tc>
          <w:tcPr>
            <w:tcW w:w="67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8"/>
                <w:szCs w:val="18"/>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Participant contributions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9,540,934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10,238,434</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Rollover contributions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2,413,259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1,995,323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3,811,888</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4,186,921</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821,906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640,258</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Dividend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6,631,135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5,343,348</w:t>
            </w:r>
          </w:p>
        </w:tc>
      </w:tr>
      <w:tr>
        <w:trPr>
          <w:trHeight w:val="27"/>
        </w:trPr>
        <w:tc>
          <w:tcPr>
            <w:tcW w:w="6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23,219,122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22,404,284</w:t>
            </w: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Deductions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participants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4"/>
              </w:rPr>
              <w:t>(18,902,630)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(7,695,802)</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(570,976)</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(611,091)</w:t>
            </w:r>
          </w:p>
        </w:tc>
      </w:tr>
      <w:tr>
        <w:trPr>
          <w:trHeight w:val="27"/>
        </w:trPr>
        <w:tc>
          <w:tcPr>
            <w:tcW w:w="6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4"/>
              </w:rPr>
              <w:t>(19,473,606)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(8,306,893)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Net realized and unrealized depreciation in fair value of investments</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(15,712,264)</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(3,743,379)</w:t>
            </w:r>
          </w:p>
        </w:tc>
      </w:tr>
      <w:tr>
        <w:trPr>
          <w:trHeight w:val="27"/>
        </w:trPr>
        <w:tc>
          <w:tcPr>
            <w:tcW w:w="6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4"/>
              </w:rPr>
              <w:t>(11,966,748)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10,354,012</w:t>
            </w:r>
          </w:p>
        </w:tc>
      </w:tr>
      <w:tr>
        <w:trPr>
          <w:trHeight w:val="432"/>
        </w:trPr>
        <w:tc>
          <w:tcPr>
            <w:tcW w:w="6760" w:type="dxa"/>
            <w:vAlign w:val="bottom"/>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176,625,428</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166,271,416</w:t>
            </w:r>
          </w:p>
        </w:tc>
      </w:tr>
      <w:tr>
        <w:trPr>
          <w:trHeight w:val="27"/>
        </w:trPr>
        <w:tc>
          <w:tcPr>
            <w:tcW w:w="6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164,658,680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176,625,428</w:t>
            </w:r>
          </w:p>
        </w:tc>
      </w:tr>
      <w:tr>
        <w:trPr>
          <w:trHeight w:val="20"/>
        </w:trPr>
        <w:tc>
          <w:tcPr>
            <w:tcW w:w="6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Notes to Financial Statements</w:t>
      </w:r>
    </w:p>
    <w:p>
      <w:pPr>
        <w:spacing w:after="0" w:line="18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December 31, 2007 and 2006</w:t>
      </w:r>
    </w:p>
    <w:p>
      <w:pPr>
        <w:spacing w:after="0" w:line="181" w:lineRule="exact"/>
        <w:rPr>
          <w:sz w:val="20"/>
          <w:szCs w:val="20"/>
          <w:color w:val="auto"/>
        </w:rPr>
      </w:pPr>
    </w:p>
    <w:p>
      <w:pPr>
        <w:ind w:left="340" w:right="7319" w:hanging="8"/>
        <w:spacing w:after="0" w:line="464" w:lineRule="auto"/>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Accounting</w:t>
      </w:r>
    </w:p>
    <w:p>
      <w:pPr>
        <w:jc w:val="both"/>
        <w:ind w:left="340" w:right="559"/>
        <w:spacing w:after="0" w:line="277" w:lineRule="auto"/>
        <w:rPr>
          <w:sz w:val="20"/>
          <w:szCs w:val="20"/>
          <w:color w:val="auto"/>
        </w:rPr>
      </w:pPr>
      <w:r>
        <w:rPr>
          <w:rFonts w:ascii="Arial" w:cs="Arial" w:eastAsia="Arial" w:hAnsi="Arial"/>
          <w:sz w:val="18"/>
          <w:szCs w:val="18"/>
          <w:color w:val="auto"/>
        </w:rPr>
        <w:t>The financial statements of the Universal Forest Products, Inc. Employees’ Profit Sharing and 401(k) Retirement Plan (the Plan) are presented on the accrual method of accounting.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reported amounts. Although actual results could differ from these estimates, management believes estimated amounts recorded are reasonable and appropriate.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 xml:space="preserve">In September 2006, the Financial Accounting Standards Board (FASB) issued Statement of Financial Accounting Standards No.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No. 157 defines fair value, establishes a framework for measuring fair value, and expands disclosures about fair value measurements. This statement is effective for the Plan in 2008. Universal Forest Products, Inc. (the Plan Sponsor) is currently evaluating the effect, if any, that the adoption of SFAS No. 157 will have on the Plan’s financial statements.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The Plan’s investments are stated at fair value. The fair value of mutual funds is based on quoted market values on the last day of the plan year. The fair value of participation units owned in common trust funds is based on quoted redemption values on the last day of the plan year, except the Morley Stable Value Fund, for which the fair value is determined as described in the following paragraph. The participant loans are stated at their outstanding balances, which are estimated to approximate fair value.</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Significant Accounting Policies (continued)</w:t>
      </w:r>
    </w:p>
    <w:p>
      <w:pPr>
        <w:spacing w:after="0" w:line="189"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 xml:space="preserve">The Plan also invests in investment contracts through a common collective trust (Morley Stable Value Fund). FASB Staff Position (FSP) AAG INV-1 and SOP 94-4-1, </w:t>
      </w:r>
      <w:r>
        <w:rPr>
          <w:rFonts w:ascii="Arial" w:cs="Arial" w:eastAsia="Arial" w:hAnsi="Arial"/>
          <w:sz w:val="17"/>
          <w:szCs w:val="17"/>
          <w:i w:val="1"/>
          <w:iCs w:val="1"/>
          <w:color w:val="auto"/>
        </w:rPr>
        <w:t>Reporting of Fully Benefit-Responsive Investment Contracts Held by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Subject to the AICPA Investment Company Guide and Defined-Contribution Health and Welfare and Pension Plans </w:t>
      </w:r>
      <w:r>
        <w:rPr>
          <w:rFonts w:ascii="Arial" w:cs="Arial" w:eastAsia="Arial" w:hAnsi="Arial"/>
          <w:sz w:val="17"/>
          <w:szCs w:val="17"/>
          <w:color w:val="auto"/>
        </w:rPr>
        <w:t>(the FSP), requires such investment contracts held by a defined contribution plan to be reported at fair value, with</w:t>
      </w:r>
      <w:r>
        <w:rPr>
          <w:rFonts w:ascii="Arial" w:cs="Arial" w:eastAsia="Arial" w:hAnsi="Arial"/>
          <w:sz w:val="17"/>
          <w:szCs w:val="17"/>
          <w:i w:val="1"/>
          <w:iCs w:val="1"/>
          <w:color w:val="auto"/>
        </w:rPr>
        <w:t xml:space="preserve"> </w:t>
      </w:r>
      <w:r>
        <w:rPr>
          <w:rFonts w:ascii="Arial" w:cs="Arial" w:eastAsia="Arial" w:hAnsi="Arial"/>
          <w:sz w:val="17"/>
          <w:szCs w:val="17"/>
          <w:color w:val="auto"/>
        </w:rPr>
        <w:t>an adjustment to contract value in the statement of net assets available for benefits because contract value of these contracts is the amount participants would receive if they were to initiate permitted transactions under the terms of the Plan. The fair value of the Plan’s interest in the Morley Stable Value Fund is based on audited information reported by the issuer of the common collective trust at year-end. The contract value of the Morley Stable Value Fund represents contributions plus earnings, less participant withdrawals and administrative expenses.</w:t>
      </w:r>
    </w:p>
    <w:p>
      <w:pPr>
        <w:spacing w:after="0" w:line="155"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The Universal Forest Products Stock Fund (the Fund) is tracked on a unitized basis. The Fund consists of common stock of the Plan Sponsor and funds that are held in the Morley Stable Value Fund that are sufficient to meet the Fund’s daily cash needs. Unitization of the Fund allows for daily trades. The value of a unit reflects the combined market value of the common stock and the Morley Stable Value Fund held by the Fund. At December 31, 2007 and 2006, 1,094,160 and 1,075,481 units, respectively, were outstanding with a value of $29.52 and $45.98 per unit, respectively.</w:t>
      </w:r>
    </w:p>
    <w:p>
      <w:pPr>
        <w:spacing w:after="0" w:line="132"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The Evergreen Short Intermediate Bond Fund (the Bond Fund) is also tracked on a unitized basis. The Bond Fund consists of the Evergreen Short Intermediate Fund and funds held in cash that are sufficient to meet the Fund’s daily needs. Unitization of the Bond Fund allows for daily allocation of interest earned to participant accounts. The value of a unit reflects the combined market value of the Evergreen Short Intermediate Bond Fund and the cash held. At December 31, 2007 and 2006, 263,559 and 226,513 units, respectively, were outstanding with a value of $14.72 and $13.98 per unit, respectively.</w:t>
      </w:r>
    </w:p>
    <w:p>
      <w:pPr>
        <w:spacing w:after="0" w:line="13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Investment transactions are recorded as of the settlement dates. The change in the difference between the fair value and the cost of investments held is combined with realized gains and losses on sales of investments and reported in the statements of changes in net assets available for benefits as net realized and unrealized appreciation or depreciation in the fair value of investments. Realized gains and losses on sales of investments represent the difference between the proceeds received and the original cost of investments sold.</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Significant Accounting Policies (continued)</w:t>
      </w:r>
    </w:p>
    <w:p>
      <w:pPr>
        <w:spacing w:after="0" w:line="189"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Administrative Expenses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Administrative expenses incurred in connection with the operations of the Plan are paid by the Plan Sponsor, except for loan and certain investment fees, which are borne by the Plan. Substantially all of these expenses are paid to parties-in-interest of the Plan and are based on reasonable and customary rates for the related services.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Reclassifications</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Certain amounts previously reported in the 2006 financial statements have been reclassified to conform with presentation used in 2007.</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Description of the Plan</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description of the Plan provides only general information. Participants should refer to the Plan agreement, as amended, for a more complete description of the Plan’s provisions.</w:t>
      </w:r>
    </w:p>
    <w:p>
      <w:pPr>
        <w:spacing w:after="0" w:line="143"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Plan is a defined-contribution, profit sharing and 401(k) plan that provides tax-deferred benefits for substantially all eligible employees of the Plan Sponsor, excluding the employees of separate subsidiaries that maintain a similar defined-contribution plan and those covered under a collective bargaining agreement. The Plan is subject to the provisions of the Employee Retirement Security Act of 1974 (ERISA).</w:t>
      </w:r>
    </w:p>
    <w:p>
      <w:pPr>
        <w:spacing w:after="0" w:line="14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Eligible employees are those who are 18 years or older and have completed 1,000 hours of employment (year of service) during the 12-month period following date of employment or, where additional periods are necessary, on succeeding Plan year-end dates. All newly eligible employees on and after July 1, 2006 are automatically enrolled in the Plan at a deferral level of 3% of eligible compensation.</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Description of the Plan (continued)</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Participants may voluntarily contribute up to 75% of their eligible compensation as a 401(k) contribution subject to certain regulatory limitations. Participant contributions to the Plan vest immediately.</w:t>
      </w:r>
    </w:p>
    <w:p>
      <w:pPr>
        <w:spacing w:after="0" w:line="143"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Plan Sponsor contributes regular discretionary matching contributions and may contribute additional discretionary matching contributions. Regular discretionary matching contributions are made quarterly and were 50% of participant deferrals, subject to a limit of 6% of each participant’s compensation in 2007 and 2006. Additional discretionary matching contributions may be made at the end of each Plan year. These amounts are not guaranteed, and may vary from year to year as the Plan Sponsor is not obligated to make such contributions.</w:t>
      </w:r>
    </w:p>
    <w:p>
      <w:pPr>
        <w:spacing w:after="0" w:line="14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Plan Sponsor may also contribute a discretionary profit sharing amount annually as determined by management and approved by the Plan Sponsor’s Board of Directors. The Plan Sponsor’s annual profit sharing contributions are allocated to each participant’s account in the same ratio that each participant’s total compensation for the Plan year bears to the total compensation of all participants for such year.</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Employer contributions are subject to a vesting schedule as follows:</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of Service</w:t>
            </w:r>
          </w:p>
        </w:tc>
        <w:tc>
          <w:tcPr>
            <w:tcW w:w="280" w:type="dxa"/>
            <w:vAlign w:val="bottom"/>
          </w:tcPr>
          <w:p>
            <w:pPr>
              <w:spacing w:after="0"/>
              <w:rPr>
                <w:sz w:val="24"/>
                <w:szCs w:val="24"/>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Vesting Percentage</w:t>
            </w:r>
          </w:p>
        </w:tc>
      </w:tr>
      <w:tr>
        <w:trPr>
          <w:trHeight w:val="210"/>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Less than 2</w:t>
            </w:r>
          </w:p>
        </w:tc>
        <w:tc>
          <w:tcPr>
            <w:tcW w:w="19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2 but less than 3</w:t>
            </w:r>
          </w:p>
        </w:tc>
        <w:tc>
          <w:tcPr>
            <w:tcW w:w="1920" w:type="dxa"/>
            <w:vAlign w:val="bottom"/>
            <w:gridSpan w:val="2"/>
          </w:tcPr>
          <w:p>
            <w:pPr>
              <w:jc w:val="right"/>
              <w:ind w:right="610"/>
              <w:spacing w:after="0"/>
              <w:rPr>
                <w:sz w:val="20"/>
                <w:szCs w:val="20"/>
                <w:color w:val="auto"/>
              </w:rPr>
            </w:pPr>
            <w:r>
              <w:rPr>
                <w:rFonts w:ascii="Arial" w:cs="Arial" w:eastAsia="Arial" w:hAnsi="Arial"/>
                <w:sz w:val="18"/>
                <w:szCs w:val="18"/>
                <w:color w:val="auto"/>
              </w:rPr>
              <w:t>20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3 but less than 4</w:t>
            </w:r>
          </w:p>
        </w:tc>
        <w:tc>
          <w:tcPr>
            <w:tcW w:w="1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40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4 but less than 5</w:t>
            </w:r>
          </w:p>
        </w:tc>
        <w:tc>
          <w:tcPr>
            <w:tcW w:w="1920" w:type="dxa"/>
            <w:vAlign w:val="bottom"/>
            <w:gridSpan w:val="2"/>
          </w:tcPr>
          <w:p>
            <w:pPr>
              <w:jc w:val="right"/>
              <w:ind w:right="610"/>
              <w:spacing w:after="0"/>
              <w:rPr>
                <w:sz w:val="20"/>
                <w:szCs w:val="20"/>
                <w:color w:val="auto"/>
              </w:rPr>
            </w:pPr>
            <w:r>
              <w:rPr>
                <w:rFonts w:ascii="Arial" w:cs="Arial" w:eastAsia="Arial" w:hAnsi="Arial"/>
                <w:sz w:val="18"/>
                <w:szCs w:val="18"/>
                <w:color w:val="auto"/>
              </w:rPr>
              <w:t>60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5 but less than 6</w:t>
            </w:r>
          </w:p>
        </w:tc>
        <w:tc>
          <w:tcPr>
            <w:tcW w:w="1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80</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6 or more</w:t>
            </w:r>
          </w:p>
        </w:tc>
        <w:tc>
          <w:tcPr>
            <w:tcW w:w="1920" w:type="dxa"/>
            <w:vAlign w:val="bottom"/>
            <w:gridSpan w:val="2"/>
          </w:tcPr>
          <w:p>
            <w:pPr>
              <w:jc w:val="right"/>
              <w:ind w:right="610"/>
              <w:spacing w:after="0"/>
              <w:rPr>
                <w:sz w:val="20"/>
                <w:szCs w:val="20"/>
                <w:color w:val="auto"/>
              </w:rPr>
            </w:pPr>
            <w:r>
              <w:rPr>
                <w:rFonts w:ascii="Arial" w:cs="Arial" w:eastAsia="Arial" w:hAnsi="Arial"/>
                <w:sz w:val="18"/>
                <w:szCs w:val="18"/>
                <w:color w:val="auto"/>
              </w:rPr>
              <w:t>100</w:t>
            </w:r>
          </w:p>
        </w:tc>
      </w:tr>
    </w:tbl>
    <w:p>
      <w:pPr>
        <w:spacing w:after="0" w:line="16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vested portion of terminated and retired participants’ accounts are available for distribution following a separation from service. Effective January 1, 2006, all forfeitures are used to offset the Plan Sponsor’s matching contributions. During 2007 and 2006, forfeitures in the amount of $393,000 and $201,000, respectively, were used to offset the Plan Sponsor’s matching contributions.</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Description of the Plan (continued)</w:t>
      </w:r>
    </w:p>
    <w:p>
      <w:pPr>
        <w:spacing w:after="0" w:line="189" w:lineRule="exact"/>
        <w:rPr>
          <w:sz w:val="20"/>
          <w:szCs w:val="20"/>
          <w:color w:val="auto"/>
        </w:rPr>
      </w:pPr>
    </w:p>
    <w:p>
      <w:pPr>
        <w:jc w:val="both"/>
        <w:ind w:left="340" w:right="1760"/>
        <w:spacing w:after="0" w:line="286" w:lineRule="auto"/>
        <w:rPr>
          <w:sz w:val="20"/>
          <w:szCs w:val="20"/>
          <w:color w:val="auto"/>
        </w:rPr>
      </w:pPr>
      <w:r>
        <w:rPr>
          <w:rFonts w:ascii="Arial" w:cs="Arial" w:eastAsia="Arial" w:hAnsi="Arial"/>
          <w:sz w:val="17"/>
          <w:szCs w:val="17"/>
          <w:color w:val="auto"/>
        </w:rPr>
        <w:t>Participants may select from various investment options made available by the Plan. Each participant’s account is credited with the participant’s contribution, an allocation of the Plan Sponsor’s contribution, if any, Plan earnings and losses and certain administrative expenses. Earnings allocations are based on account balances, as defined in the Plan agreement.</w:t>
      </w:r>
    </w:p>
    <w:p>
      <w:pPr>
        <w:spacing w:after="0" w:line="139" w:lineRule="exact"/>
        <w:rPr>
          <w:sz w:val="20"/>
          <w:szCs w:val="20"/>
          <w:color w:val="auto"/>
        </w:rPr>
      </w:pPr>
    </w:p>
    <w:p>
      <w:pPr>
        <w:jc w:val="both"/>
        <w:ind w:left="340" w:right="1760"/>
        <w:spacing w:after="0" w:line="279" w:lineRule="auto"/>
        <w:rPr>
          <w:sz w:val="20"/>
          <w:szCs w:val="20"/>
          <w:color w:val="auto"/>
        </w:rPr>
      </w:pPr>
      <w:r>
        <w:rPr>
          <w:rFonts w:ascii="Arial" w:cs="Arial" w:eastAsia="Arial" w:hAnsi="Arial"/>
          <w:sz w:val="17"/>
          <w:szCs w:val="17"/>
          <w:color w:val="auto"/>
        </w:rPr>
        <w:t>Participants may borrow from their account a minimum amount of $1,000 up to a maximum equal to the lesser of $50,000 or 50% of their vested account balance. Loan terms range from one to five years or up to 25 years for the purchase of a residence. The loans bear interest at a rate equal to the prime rate (7.25% at December 31, 2007) plus 2% calculated on a daily basis. A participant may only have five loans outstanding at any time and one new loan for every 12-month period.</w:t>
      </w:r>
    </w:p>
    <w:p>
      <w:pPr>
        <w:spacing w:after="0" w:line="131"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The Plan Sponsor intends to continue the Plan indefinitely, but reserves the right to terminate or amend the Plan at any time. In the event of termination of the Plan, all participants are automatically fully vested in the value of their accounts and will be paid in full.</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Investments</w:t>
      </w:r>
    </w:p>
    <w:p>
      <w:pPr>
        <w:spacing w:after="0" w:line="202"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Plan’s investments (including investments purchased and held during the year) appreciated (depreciated) in fair value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50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w w:val="99"/>
              </w:rPr>
              <w:t>Year Ended December 31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4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(17,860,785)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(8,473,124)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Common collective trust funds</w:t>
            </w:r>
          </w:p>
        </w:tc>
        <w:tc>
          <w:tcPr>
            <w:tcW w:w="48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2,207,515</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2,589,963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4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(58,994)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2,139,782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(15,712,264</w:t>
            </w:r>
          </w:p>
        </w:tc>
        <w:tc>
          <w:tcPr>
            <w:tcW w:w="360" w:type="dxa"/>
            <w:vAlign w:val="bottom"/>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(3,743,379</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20" w:type="dxa"/>
            <w:vAlign w:val="bottom"/>
            <w:vMerge w:val="restart"/>
          </w:tcPr>
          <w:p>
            <w:pPr>
              <w:jc w:val="right"/>
              <w:ind w:right="1990"/>
              <w:spacing w:after="0"/>
              <w:rPr>
                <w:sz w:val="20"/>
                <w:szCs w:val="20"/>
                <w:color w:val="auto"/>
              </w:rPr>
            </w:pPr>
            <w:r>
              <w:rPr>
                <w:rFonts w:ascii="Arial" w:cs="Arial" w:eastAsia="Arial" w:hAnsi="Arial"/>
                <w:sz w:val="18"/>
                <w:szCs w:val="18"/>
                <w:color w:val="auto"/>
              </w:rPr>
              <w:t>10</w:t>
            </w: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Investments (continued)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Individual investments that represent 5% or more of the fair value of the Plan’s assets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4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68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American Funds Growth Fund of America</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5"/>
              </w:rPr>
              <w:t>$  9,653,584</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   8,928,261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Dreyfus Midcap Index Fund</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8,931,222</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Evergreen International Equity Fund</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11,081,033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8,845,195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Morley Stable Value Fund</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37,390,461</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36,308,055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Neuberger &amp; Berman Genesis Assets Fund</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9,151,067</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 Rowe Price Retirement 2020 Fund</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9,801,201</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Universal Forest Products Common Stock</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31,871,330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49,452,782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Van Kampen Growth and Income Fund</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16,078,210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16,420,651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Wells Fargo Outlook 2020 Fund</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9,307,535</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is less than 5% in the respective year.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Federal Income Taxes</w:t>
      </w:r>
    </w:p>
    <w:p>
      <w:pPr>
        <w:spacing w:after="0" w:line="189"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The Plan has received a determination letter from the Internal Revenue Service dated April 2, 2004, stating that the Plan is qualified under section 401(a) of the Internal Revenue Code (the Code), and, therefore, the related trust is exempt from taxation. Subsequent to this determination by the Internal Revenue Service, the Plan was amended. Once qualified, the Plan is required to operate in conformity with the Code to maintain its qualification. The Plan Sponsor believes the Plan is being operated in compliance with the applicable requirements of the Code and, therefore, believes that the Plan, as amended, is qualified and the related trust is tax exempt.</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Difference Between Financial Statements and Form 5500</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assets available for benefits per the financial statements to the Form 5500: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5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from the financial statements</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8"/>
              </w:rPr>
              <w:t>$ 164,658,680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176,625,428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adjustment to fair value for fully benefit responsive investment contracts</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(294,242)</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(700,006)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Assets available for benefits from the Form 5500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$ 164,364,438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175,925,422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760" w:type="dxa"/>
            <w:vAlign w:val="bottom"/>
            <w:vMerge w:val="restart"/>
          </w:tcPr>
          <w:p>
            <w:pPr>
              <w:jc w:val="right"/>
              <w:ind w:right="1930"/>
              <w:spacing w:after="0"/>
              <w:rPr>
                <w:sz w:val="20"/>
                <w:szCs w:val="20"/>
                <w:color w:val="auto"/>
              </w:rPr>
            </w:pPr>
            <w:r>
              <w:rPr>
                <w:rFonts w:ascii="Arial" w:cs="Arial" w:eastAsia="Arial" w:hAnsi="Arial"/>
                <w:sz w:val="18"/>
                <w:szCs w:val="18"/>
                <w:color w:val="auto"/>
              </w:rPr>
              <w:t>12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67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7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401(k) Retirement Plan</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EIN #38-1465835 Plan #001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ind w:left="680"/>
              <w:spacing w:after="0"/>
              <w:rPr>
                <w:sz w:val="20"/>
                <w:szCs w:val="20"/>
                <w:color w:val="auto"/>
              </w:rPr>
            </w:pPr>
            <w:r>
              <w:rPr>
                <w:rFonts w:ascii="Arial" w:cs="Arial" w:eastAsia="Arial" w:hAnsi="Arial"/>
                <w:sz w:val="18"/>
                <w:szCs w:val="18"/>
                <w:color w:val="auto"/>
              </w:rPr>
              <w:t>December 31, 2007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000" w:type="dxa"/>
            <w:vAlign w:val="bottom"/>
          </w:tcPr>
          <w:p>
            <w:pPr>
              <w:spacing w:after="0"/>
              <w:rPr>
                <w:sz w:val="20"/>
                <w:szCs w:val="20"/>
                <w:color w:val="auto"/>
              </w:rPr>
            </w:pPr>
            <w:r>
              <w:rPr>
                <w:rFonts w:ascii="Arial" w:cs="Arial" w:eastAsia="Arial" w:hAnsi="Arial"/>
                <w:sz w:val="18"/>
                <w:szCs w:val="18"/>
                <w:b w:val="1"/>
                <w:bCs w:val="1"/>
                <w:color w:val="auto"/>
              </w:rPr>
              <w:t>Identity of Issuer, Borrower,</w:t>
            </w:r>
          </w:p>
        </w:tc>
        <w:tc>
          <w:tcPr>
            <w:tcW w:w="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Current</w:t>
            </w:r>
          </w:p>
        </w:tc>
      </w:tr>
      <w:tr>
        <w:trPr>
          <w:trHeight w:val="234"/>
        </w:trPr>
        <w:tc>
          <w:tcPr>
            <w:tcW w:w="3000" w:type="dxa"/>
            <w:vAlign w:val="bottom"/>
          </w:tcPr>
          <w:p>
            <w:pPr>
              <w:spacing w:after="0"/>
              <w:rPr>
                <w:sz w:val="20"/>
                <w:szCs w:val="20"/>
                <w:color w:val="auto"/>
              </w:rPr>
            </w:pPr>
            <w:r>
              <w:rPr>
                <w:rFonts w:ascii="Arial" w:cs="Arial" w:eastAsia="Arial" w:hAnsi="Arial"/>
                <w:sz w:val="18"/>
                <w:szCs w:val="18"/>
                <w:b w:val="1"/>
                <w:bCs w:val="1"/>
                <w:color w:val="auto"/>
              </w:rPr>
              <w:t>Lessor, or Similar Party</w:t>
            </w:r>
          </w:p>
        </w:tc>
        <w:tc>
          <w:tcPr>
            <w:tcW w:w="280" w:type="dxa"/>
            <w:vAlign w:val="bottom"/>
          </w:tcPr>
          <w:p>
            <w:pPr>
              <w:spacing w:after="0"/>
              <w:rPr>
                <w:sz w:val="20"/>
                <w:szCs w:val="20"/>
                <w:color w:val="auto"/>
              </w:rPr>
            </w:pPr>
          </w:p>
        </w:tc>
        <w:tc>
          <w:tcPr>
            <w:tcW w:w="4580" w:type="dxa"/>
            <w:vAlign w:val="bottom"/>
          </w:tcPr>
          <w:p>
            <w:pPr>
              <w:ind w:left="1300"/>
              <w:spacing w:after="0"/>
              <w:rPr>
                <w:sz w:val="20"/>
                <w:szCs w:val="20"/>
                <w:color w:val="auto"/>
              </w:rPr>
            </w:pPr>
            <w:r>
              <w:rPr>
                <w:rFonts w:ascii="Arial" w:cs="Arial" w:eastAsia="Arial" w:hAnsi="Arial"/>
                <w:sz w:val="18"/>
                <w:szCs w:val="18"/>
                <w:b w:val="1"/>
                <w:bCs w:val="1"/>
                <w:color w:val="auto"/>
              </w:rPr>
              <w:t>Description of Investment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Value</w:t>
            </w:r>
          </w:p>
        </w:tc>
      </w:tr>
      <w:tr>
        <w:trPr>
          <w:trHeight w:val="210"/>
        </w:trPr>
        <w:tc>
          <w:tcPr>
            <w:tcW w:w="3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000" w:type="dxa"/>
            <w:vAlign w:val="bottom"/>
          </w:tcPr>
          <w:p>
            <w:pPr>
              <w:ind w:left="200"/>
              <w:spacing w:after="0"/>
              <w:rPr>
                <w:sz w:val="20"/>
                <w:szCs w:val="20"/>
                <w:color w:val="auto"/>
              </w:rPr>
            </w:pPr>
            <w:r>
              <w:rPr>
                <w:rFonts w:ascii="Arial" w:cs="Arial" w:eastAsia="Arial" w:hAnsi="Arial"/>
                <w:sz w:val="18"/>
                <w:szCs w:val="18"/>
                <w:color w:val="auto"/>
              </w:rPr>
              <w:t>Universal Forest Products, Inc.*</w:t>
            </w:r>
          </w:p>
        </w:tc>
        <w:tc>
          <w:tcPr>
            <w:tcW w:w="2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Universal Forest Products Common Stock</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31,871,330</w:t>
            </w:r>
          </w:p>
        </w:tc>
      </w:tr>
      <w:tr>
        <w:trPr>
          <w:trHeight w:val="202"/>
        </w:trPr>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 funds:</w:t>
            </w:r>
          </w:p>
        </w:tc>
        <w:tc>
          <w:tcPr>
            <w:tcW w:w="2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0" w:type="dxa"/>
            <w:vAlign w:val="bottom"/>
          </w:tcPr>
          <w:p>
            <w:pPr>
              <w:ind w:left="200"/>
              <w:spacing w:after="0"/>
              <w:rPr>
                <w:sz w:val="20"/>
                <w:szCs w:val="20"/>
                <w:color w:val="auto"/>
              </w:rPr>
            </w:pPr>
            <w:r>
              <w:rPr>
                <w:rFonts w:ascii="Arial" w:cs="Arial" w:eastAsia="Arial" w:hAnsi="Arial"/>
                <w:sz w:val="18"/>
                <w:szCs w:val="18"/>
                <w:color w:val="auto"/>
              </w:rPr>
              <w:t>Morley</w:t>
            </w:r>
          </w:p>
        </w:tc>
        <w:tc>
          <w:tcPr>
            <w:tcW w:w="2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Stable Value Fund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37,390,461</w:t>
            </w:r>
          </w:p>
        </w:tc>
      </w:tr>
      <w:tr>
        <w:trPr>
          <w:trHeight w:val="216"/>
        </w:trPr>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Wachovia Securities*</w:t>
            </w:r>
          </w:p>
        </w:tc>
        <w:tc>
          <w:tcPr>
            <w:tcW w:w="2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Enhanced Stock Market Fund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7,460,633</w:t>
            </w:r>
          </w:p>
        </w:tc>
      </w:tr>
      <w:tr>
        <w:trPr>
          <w:trHeight w:val="224"/>
        </w:trPr>
        <w:tc>
          <w:tcPr>
            <w:tcW w:w="3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44,851,094</w:t>
            </w:r>
          </w:p>
        </w:tc>
        <w:tc>
          <w:tcPr>
            <w:tcW w:w="100" w:type="dxa"/>
            <w:vAlign w:val="bottom"/>
          </w:tcPr>
          <w:p>
            <w:pPr>
              <w:spacing w:after="0"/>
              <w:rPr>
                <w:sz w:val="19"/>
                <w:szCs w:val="19"/>
                <w:color w:val="auto"/>
              </w:rPr>
            </w:pPr>
          </w:p>
        </w:tc>
      </w:tr>
      <w:tr>
        <w:trPr>
          <w:trHeight w:val="215"/>
        </w:trPr>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0" w:type="dxa"/>
            <w:vAlign w:val="bottom"/>
          </w:tcPr>
          <w:p>
            <w:pPr>
              <w:ind w:left="200"/>
              <w:spacing w:after="0"/>
              <w:rPr>
                <w:sz w:val="20"/>
                <w:szCs w:val="20"/>
                <w:color w:val="auto"/>
              </w:rPr>
            </w:pPr>
            <w:r>
              <w:rPr>
                <w:rFonts w:ascii="Arial" w:cs="Arial" w:eastAsia="Arial" w:hAnsi="Arial"/>
                <w:sz w:val="18"/>
                <w:szCs w:val="18"/>
                <w:color w:val="auto"/>
              </w:rPr>
              <w:t>American Funds</w:t>
            </w:r>
          </w:p>
        </w:tc>
        <w:tc>
          <w:tcPr>
            <w:tcW w:w="2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Growth Fund of America</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9,653,584</w:t>
            </w:r>
          </w:p>
        </w:tc>
      </w:tr>
      <w:tr>
        <w:trPr>
          <w:trHeight w:val="216"/>
        </w:trPr>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Dreyfus</w:t>
            </w:r>
          </w:p>
        </w:tc>
        <w:tc>
          <w:tcPr>
            <w:tcW w:w="2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Midcap Index Fund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8,931,222</w:t>
            </w:r>
          </w:p>
        </w:tc>
      </w:tr>
      <w:tr>
        <w:trPr>
          <w:trHeight w:val="216"/>
        </w:trPr>
        <w:tc>
          <w:tcPr>
            <w:tcW w:w="3000" w:type="dxa"/>
            <w:vAlign w:val="bottom"/>
          </w:tcPr>
          <w:p>
            <w:pPr>
              <w:ind w:left="200"/>
              <w:spacing w:after="0"/>
              <w:rPr>
                <w:sz w:val="20"/>
                <w:szCs w:val="20"/>
                <w:color w:val="auto"/>
              </w:rPr>
            </w:pPr>
            <w:r>
              <w:rPr>
                <w:rFonts w:ascii="Arial" w:cs="Arial" w:eastAsia="Arial" w:hAnsi="Arial"/>
                <w:sz w:val="18"/>
                <w:szCs w:val="18"/>
                <w:color w:val="auto"/>
              </w:rPr>
              <w:t>Evergreen*</w:t>
            </w:r>
          </w:p>
        </w:tc>
        <w:tc>
          <w:tcPr>
            <w:tcW w:w="2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International Equity Fund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11,081,033</w:t>
            </w:r>
          </w:p>
        </w:tc>
      </w:tr>
      <w:tr>
        <w:trPr>
          <w:trHeight w:val="216"/>
        </w:trPr>
        <w:tc>
          <w:tcPr>
            <w:tcW w:w="3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Short Intermediate Bond Fund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3,880,200</w:t>
            </w:r>
          </w:p>
        </w:tc>
      </w:tr>
      <w:tr>
        <w:trPr>
          <w:trHeight w:val="216"/>
        </w:trPr>
        <w:tc>
          <w:tcPr>
            <w:tcW w:w="3000" w:type="dxa"/>
            <w:vAlign w:val="bottom"/>
          </w:tcPr>
          <w:p>
            <w:pPr>
              <w:ind w:left="200"/>
              <w:spacing w:after="0"/>
              <w:rPr>
                <w:sz w:val="20"/>
                <w:szCs w:val="20"/>
                <w:color w:val="auto"/>
              </w:rPr>
            </w:pPr>
            <w:r>
              <w:rPr>
                <w:rFonts w:ascii="Arial" w:cs="Arial" w:eastAsia="Arial" w:hAnsi="Arial"/>
                <w:sz w:val="18"/>
                <w:szCs w:val="18"/>
                <w:color w:val="auto"/>
              </w:rPr>
              <w:t>Neuberger &amp; Berman</w:t>
            </w:r>
          </w:p>
        </w:tc>
        <w:tc>
          <w:tcPr>
            <w:tcW w:w="2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Genesis Assets Fund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9,151,067</w:t>
            </w:r>
          </w:p>
        </w:tc>
      </w:tr>
      <w:tr>
        <w:trPr>
          <w:trHeight w:val="216"/>
        </w:trPr>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Van Kampen</w:t>
            </w:r>
          </w:p>
        </w:tc>
        <w:tc>
          <w:tcPr>
            <w:tcW w:w="2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Growth and Income Fund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16,078,210</w:t>
            </w:r>
          </w:p>
        </w:tc>
      </w:tr>
      <w:tr>
        <w:trPr>
          <w:trHeight w:val="216"/>
        </w:trPr>
        <w:tc>
          <w:tcPr>
            <w:tcW w:w="3000" w:type="dxa"/>
            <w:vAlign w:val="bottom"/>
          </w:tcPr>
          <w:p>
            <w:pPr>
              <w:ind w:left="200"/>
              <w:spacing w:after="0"/>
              <w:rPr>
                <w:sz w:val="20"/>
                <w:szCs w:val="20"/>
                <w:color w:val="auto"/>
              </w:rPr>
            </w:pPr>
            <w:r>
              <w:rPr>
                <w:rFonts w:ascii="Arial" w:cs="Arial" w:eastAsia="Arial" w:hAnsi="Arial"/>
                <w:sz w:val="18"/>
                <w:szCs w:val="18"/>
                <w:color w:val="auto"/>
              </w:rPr>
              <w:t>T. Rowe Price</w:t>
            </w:r>
          </w:p>
        </w:tc>
        <w:tc>
          <w:tcPr>
            <w:tcW w:w="2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Retirement 2040 Fund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2,902,455</w:t>
            </w:r>
          </w:p>
        </w:tc>
      </w:tr>
      <w:tr>
        <w:trPr>
          <w:trHeight w:val="216"/>
        </w:trPr>
        <w:tc>
          <w:tcPr>
            <w:tcW w:w="3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Retirement 2030 Fund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3,115,828</w:t>
            </w:r>
          </w:p>
        </w:tc>
      </w:tr>
      <w:tr>
        <w:trPr>
          <w:trHeight w:val="216"/>
        </w:trPr>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Retirement 2020 Fund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9,801,201</w:t>
            </w:r>
          </w:p>
        </w:tc>
      </w:tr>
      <w:tr>
        <w:trPr>
          <w:trHeight w:val="216"/>
        </w:trPr>
        <w:tc>
          <w:tcPr>
            <w:tcW w:w="3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Retirement 2010 Fund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1,940,176</w:t>
            </w:r>
          </w:p>
        </w:tc>
      </w:tr>
      <w:tr>
        <w:trPr>
          <w:trHeight w:val="216"/>
        </w:trPr>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Retirement Income Fund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1,315,638</w:t>
            </w:r>
          </w:p>
        </w:tc>
      </w:tr>
      <w:tr>
        <w:trPr>
          <w:trHeight w:val="27"/>
        </w:trPr>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77,850,614</w:t>
            </w: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Participant loans receivable*</w:t>
            </w:r>
          </w:p>
        </w:tc>
        <w:tc>
          <w:tcPr>
            <w:tcW w:w="28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Collateralized by vested account balances, payable in monthly</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w w:val="90"/>
              </w:rPr>
              <w:t>installments with interest rates ranging from 5.25% to 11.5%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9,421,917</w:t>
            </w:r>
          </w:p>
        </w:tc>
      </w:tr>
      <w:tr>
        <w:trPr>
          <w:trHeight w:val="27"/>
        </w:trPr>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163,994,955</w:t>
            </w:r>
          </w:p>
        </w:tc>
      </w:tr>
      <w:tr>
        <w:trPr>
          <w:trHeight w:val="20"/>
        </w:trPr>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*Represents party in interest.</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559"/>
        <w:spacing w:after="0" w:line="308" w:lineRule="auto"/>
        <w:rPr>
          <w:sz w:val="20"/>
          <w:szCs w:val="20"/>
          <w:color w:val="auto"/>
        </w:rPr>
      </w:pPr>
      <w:r>
        <w:rPr>
          <w:rFonts w:ascii="Arial" w:cs="Arial" w:eastAsia="Arial" w:hAnsi="Arial"/>
          <w:sz w:val="17"/>
          <w:szCs w:val="17"/>
          <w:color w:val="auto"/>
        </w:rPr>
        <w:t>Pursuant to the requirements of the Securities Exchange Act of 1934, Universal Forest Products, Inc., as Plan Administrator, has duly caused this annual report to be signed on its behalf by the undersigned hereunto duly authorized.</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1"/>
              </w:rPr>
              <w:t>Universal Forest Products, Inc. Employee’s Profit</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Sharing and 401(k) Retirement Plan</w:t>
            </w:r>
          </w:p>
        </w:tc>
        <w:tc>
          <w:tcPr>
            <w:tcW w:w="0" w:type="dxa"/>
            <w:vAlign w:val="bottom"/>
          </w:tcPr>
          <w:p>
            <w:pPr>
              <w:spacing w:after="0"/>
              <w:rPr>
                <w:sz w:val="1"/>
                <w:szCs w:val="1"/>
                <w:color w:val="auto"/>
              </w:rPr>
            </w:pPr>
          </w:p>
        </w:tc>
      </w:tr>
      <w:tr>
        <w:trPr>
          <w:trHeight w:val="392"/>
        </w:trPr>
        <w:tc>
          <w:tcPr>
            <w:tcW w:w="4360" w:type="dxa"/>
            <w:vAlign w:val="bottom"/>
            <w:gridSpan w:val="3"/>
          </w:tcPr>
          <w:p>
            <w:pPr>
              <w:spacing w:after="0"/>
              <w:rPr>
                <w:sz w:val="20"/>
                <w:szCs w:val="20"/>
                <w:color w:val="auto"/>
              </w:rPr>
            </w:pPr>
            <w:r>
              <w:rPr>
                <w:rFonts w:ascii="Arial" w:cs="Arial" w:eastAsia="Arial" w:hAnsi="Arial"/>
                <w:sz w:val="18"/>
                <w:szCs w:val="18"/>
                <w:color w:val="auto"/>
              </w:rPr>
              <w:t>Date: June 20, 2008</w:t>
            </w:r>
          </w:p>
        </w:tc>
        <w:tc>
          <w:tcPr>
            <w:tcW w:w="3600" w:type="dxa"/>
            <w:vAlign w:val="bottom"/>
            <w:gridSpan w:val="2"/>
          </w:tcPr>
          <w:p>
            <w:pPr>
              <w:spacing w:after="0"/>
              <w:rPr>
                <w:sz w:val="20"/>
                <w:szCs w:val="20"/>
                <w:color w:val="auto"/>
              </w:rPr>
            </w:pPr>
            <w:r>
              <w:rPr>
                <w:rFonts w:ascii="Arial" w:cs="Arial" w:eastAsia="Arial" w:hAnsi="Arial"/>
                <w:sz w:val="18"/>
                <w:szCs w:val="18"/>
                <w:color w:val="auto"/>
              </w:rPr>
              <w:t>/s/ Matthew J. Missad</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580" w:type="dxa"/>
            <w:vAlign w:val="bottom"/>
          </w:tcPr>
          <w:p>
            <w:pPr>
              <w:spacing w:after="0" w:line="195" w:lineRule="exact"/>
              <w:rPr>
                <w:sz w:val="20"/>
                <w:szCs w:val="20"/>
                <w:color w:val="auto"/>
              </w:rPr>
            </w:pPr>
            <w:r>
              <w:rPr>
                <w:rFonts w:ascii="Arial" w:cs="Arial" w:eastAsia="Arial" w:hAnsi="Arial"/>
                <w:sz w:val="18"/>
                <w:szCs w:val="18"/>
                <w:color w:val="auto"/>
                <w:w w:val="99"/>
              </w:rPr>
              <w:t>Matthew J. Missad, Executive Vice President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Universal Forest Products, Inc., Plan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Administrator</w:t>
            </w:r>
          </w:p>
        </w:tc>
        <w:tc>
          <w:tcPr>
            <w:tcW w:w="0" w:type="dxa"/>
            <w:vAlign w:val="bottom"/>
          </w:tcPr>
          <w:p>
            <w:pPr>
              <w:spacing w:after="0"/>
              <w:rPr>
                <w:sz w:val="1"/>
                <w:szCs w:val="1"/>
                <w:color w:val="auto"/>
              </w:rPr>
            </w:pPr>
          </w:p>
        </w:tc>
      </w:tr>
      <w:tr>
        <w:trPr>
          <w:trHeight w:val="608"/>
        </w:trPr>
        <w:tc>
          <w:tcPr>
            <w:tcW w:w="4360" w:type="dxa"/>
            <w:vAlign w:val="bottom"/>
            <w:gridSpan w:val="3"/>
          </w:tcPr>
          <w:p>
            <w:pPr>
              <w:spacing w:after="0"/>
              <w:rPr>
                <w:sz w:val="20"/>
                <w:szCs w:val="20"/>
                <w:color w:val="auto"/>
              </w:rPr>
            </w:pPr>
            <w:r>
              <w:rPr>
                <w:rFonts w:ascii="Arial" w:cs="Arial" w:eastAsia="Arial" w:hAnsi="Arial"/>
                <w:sz w:val="18"/>
                <w:szCs w:val="18"/>
                <w:color w:val="auto"/>
              </w:rPr>
              <w:t>Date: June 20, 2008</w:t>
            </w:r>
          </w:p>
        </w:tc>
        <w:tc>
          <w:tcPr>
            <w:tcW w:w="3600" w:type="dxa"/>
            <w:vAlign w:val="bottom"/>
            <w:gridSpan w:val="2"/>
          </w:tcPr>
          <w:p>
            <w:pPr>
              <w:spacing w:after="0"/>
              <w:rPr>
                <w:sz w:val="20"/>
                <w:szCs w:val="20"/>
                <w:color w:val="auto"/>
              </w:rPr>
            </w:pPr>
            <w:r>
              <w:rPr>
                <w:rFonts w:ascii="Arial" w:cs="Arial" w:eastAsia="Arial" w:hAnsi="Arial"/>
                <w:sz w:val="18"/>
                <w:szCs w:val="18"/>
                <w:color w:val="auto"/>
              </w:rPr>
              <w:t>/s/ Michael R. Cole</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580" w:type="dxa"/>
            <w:vAlign w:val="bottom"/>
          </w:tcPr>
          <w:p>
            <w:pPr>
              <w:spacing w:after="0" w:line="195" w:lineRule="exact"/>
              <w:rPr>
                <w:sz w:val="20"/>
                <w:szCs w:val="20"/>
                <w:color w:val="auto"/>
              </w:rPr>
            </w:pPr>
            <w:r>
              <w:rPr>
                <w:rFonts w:ascii="Arial" w:cs="Arial" w:eastAsia="Arial" w:hAnsi="Arial"/>
                <w:sz w:val="18"/>
                <w:szCs w:val="18"/>
                <w:color w:val="auto"/>
              </w:rPr>
              <w:t>Michael R. Cole, Chief Financial Officer</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Universal Forest Products, Inc., Plan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Administrator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14605</wp:posOffset>
            </wp:positionV>
            <wp:extent cx="52400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21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Consent of Ernst &amp; Young LLP</w:t>
      </w:r>
    </w:p>
    <w:p>
      <w:pPr>
        <w:sectPr>
          <w:pgSz w:w="11900" w:h="16838" w:orient="portrait"/>
          <w:cols w:equalWidth="0" w:num="1">
            <w:col w:w="10219"/>
          </w:cols>
          <w:pgMar w:left="240" w:top="419" w:right="1440" w:bottom="1440" w:gutter="0" w:footer="0" w:header="0"/>
        </w:sectPr>
      </w:pPr>
    </w:p>
    <w:bookmarkStart w:id="16" w:name="page17"/>
    <w:bookmarkEnd w:id="16"/>
    <w:p>
      <w:pPr>
        <w:jc w:val="right"/>
        <w:ind w:right="559"/>
        <w:spacing w:after="0"/>
        <w:rPr>
          <w:sz w:val="20"/>
          <w:szCs w:val="20"/>
          <w:color w:val="auto"/>
        </w:rPr>
      </w:pPr>
      <w:r>
        <w:rPr>
          <w:rFonts w:ascii="Arial" w:cs="Arial" w:eastAsia="Arial" w:hAnsi="Arial"/>
          <w:sz w:val="18"/>
          <w:szCs w:val="18"/>
          <w:b w:val="1"/>
          <w:bCs w:val="1"/>
          <w:color w:val="auto"/>
        </w:rPr>
        <w:t>Exhibit 23</w:t>
      </w:r>
    </w:p>
    <w:p>
      <w:pPr>
        <w:spacing w:after="0" w:line="18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33-84632) pertaining to the Universal Forest Products, Inc. Employees’ Profit Sharing and 401(k) Retirement Plan of our report dated June 11, 2008, with respect to the financial statements and schedule of the Universal Forest Products, Inc. Employees’ Profit Sharing and 401(k) Plan included in this Annual Report (Form 11-K) for the year ended December 31, 2007.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19, 2008</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2019-12-14T02:19:08Z</dcterms:created>
  <dcterms:modified xsi:type="dcterms:W3CDTF">2019-12-14T02:19:08Z</dcterms:modified>
</cp:coreProperties>
</file>