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-227330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0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-631825</wp:posOffset>
            </wp:positionV>
            <wp:extent cx="58420" cy="6451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-631825</wp:posOffset>
            </wp:positionV>
            <wp:extent cx="58420" cy="645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751840</wp:posOffset>
            </wp:positionV>
            <wp:extent cx="6992620" cy="60337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603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9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COLE MICHAEL R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600" w:hanging="5"/>
        <w:spacing w:after="0" w:line="261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5" w:space="720"/>
            <w:col w:w="3345"/>
          </w:cols>
          <w:pgMar w:left="460" w:top="216" w:right="359" w:bottom="991" w:gutter="0" w:footer="0" w:header="0"/>
          <w:type w:val="continuous"/>
        </w:sectPr>
      </w:pP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7"/>
          </w:tcPr>
          <w:p>
            <w:pPr>
              <w:jc w:val="center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6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1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right"/>
              <w:ind w:right="2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168,368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29,561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Deferred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27,111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Interest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04/01/2025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</w:t>
            </w:r>
          </w:p>
        </w:tc>
        <w:tc>
          <w:tcPr>
            <w:tcW w:w="6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106.61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168,270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center"/>
              <w:ind w:right="2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1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3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3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375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4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375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04/01/2025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04/01/2025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31,459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-2111375</wp:posOffset>
            </wp:positionV>
            <wp:extent cx="29210" cy="21164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6" w:right="359" w:bottom="991" w:gutter="0" w:footer="0" w:header="0"/>
          <w:type w:val="continuous"/>
        </w:sectPr>
      </w:pP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phantom stock unit was the economic equivalent of one share of issuer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distribution of deferred stock units, each of which was the equivalent of one share of Common Stock of the Company.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 for 1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Katherine L. Karel,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-635</wp:posOffset>
            </wp:positionV>
            <wp:extent cx="12795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Michael R. Cole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-14605</wp:posOffset>
            </wp:positionV>
            <wp:extent cx="119062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06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04/03/2025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5715</wp:posOffset>
            </wp:positionH>
            <wp:positionV relativeFrom="paragraph">
              <wp:posOffset>-8255</wp:posOffset>
            </wp:positionV>
            <wp:extent cx="48958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95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00" w:space="180"/>
            <w:col w:w="2300"/>
          </w:cols>
          <w:pgMar w:left="460" w:top="216" w:right="359" w:bottom="991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9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6276" TargetMode="External"/><Relationship Id="rId14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2025-04-03T08:00:50Z</dcterms:created>
  <dcterms:modified xsi:type="dcterms:W3CDTF">2025-04-03T08:00:50Z</dcterms:modified>
</cp:coreProperties>
</file>