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ufpi-20231230x10k.htm"/>
      <w:bookmarkStart w:id="1" w:name="ksufpi20231230x10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69016edd_f2f0_4592_a196_0a56fcb8d610"/>
      <w:bookmarkEnd w:id="2"/>
      <w:r>
        <w:rPr>
          <w:rFonts w:ascii="Times New Roman;Times;serif" w:hAnsi="Times New Roman;Times;serif"/>
          <w:b/>
          <w:sz w:val="24"/>
        </w:rPr>
        <w:t>UNITED STATES SECURITIES AND EXCHANGE COMMISSION</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10-K</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ANNUAL REPORT PURSUANT TO SECTION 13 OR 15(d) OF THE SECURITIES EXCHANGE ACT OF 1934. For the fiscal year ended December 30, 2023.</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20"/>
              <w:jc w:val="left"/>
              <w:rPr/>
            </w:pPr>
            <w:r>
              <w:rPr/>
              <w:t>☐</w:t>
            </w:r>
          </w:p>
        </w:tc>
        <w:tc>
          <w:tcPr>
            <w:tcW w:w="9874"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TRANSITION REPORT PURSUANT TO SECTION 13 OR 15(d) OF THE SECURITIES EXCHANGE ACT OF 1934. For the transition period of ____ to _____.</w:t>
            </w:r>
          </w:p>
        </w:tc>
      </w:tr>
    </w:tbl>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Commission File No.:  0-22684</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UFP INDUSTRIES, INC.</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rT1sCpqWf0ib1NRi4MgGTg_5_2"/>
      <w:bookmarkStart w:id="4" w:name="Tc_YuDBRxmuokuMsfcG2TUSUA_5_0"/>
      <w:bookmarkStart w:id="5" w:name="Tc_g4oJ11PY9USUYRQ6AEaj3w_4_0"/>
      <w:bookmarkStart w:id="6" w:name="Tc_CDrdtR3RlE6gDZ-ASdajDA_2_2"/>
      <w:bookmarkStart w:id="7" w:name="Tc_C9-1ARGwf0S1-TLS1eQIQg_2_0"/>
      <w:bookmarkStart w:id="8" w:name="_f45e801b_dedc_456f_9d54_a6cf3b76a735"/>
      <w:bookmarkStart w:id="9" w:name="Tc_rT1sCpqWf0ib1NRi4MgGTg_5_2"/>
      <w:bookmarkStart w:id="10" w:name="Tc_YuDBRxmuokuMsfcG2TUSUA_5_0"/>
      <w:bookmarkStart w:id="11" w:name="Tc_g4oJ11PY9USUYRQ6AEaj3w_4_0"/>
      <w:bookmarkStart w:id="12" w:name="Tc_CDrdtR3RlE6gDZ-ASdajDA_2_2"/>
      <w:bookmarkStart w:id="13" w:name="Tc_C9-1ARGwf0S1-TLS1eQIQg_2_0"/>
      <w:bookmarkStart w:id="14" w:name="_f45e801b_dedc_456f_9d54_a6cf3b76a735"/>
      <w:bookmarkEnd w:id="9"/>
      <w:bookmarkEnd w:id="10"/>
      <w:bookmarkEnd w:id="11"/>
      <w:bookmarkEnd w:id="12"/>
      <w:bookmarkEnd w:id="13"/>
      <w:bookmarkEnd w:id="14"/>
    </w:p>
    <w:tbl>
      <w:tblPr>
        <w:tblW w:w="7146" w:type="dxa"/>
        <w:jc w:val="left"/>
        <w:tblInd w:w="0" w:type="dxa"/>
        <w:tblLayout w:type="fixed"/>
        <w:tblCellMar>
          <w:top w:w="0" w:type="dxa"/>
          <w:left w:w="0" w:type="dxa"/>
          <w:bottom w:w="0" w:type="dxa"/>
          <w:right w:w="0" w:type="dxa"/>
        </w:tblCellMar>
      </w:tblPr>
      <w:tblGrid>
        <w:gridCol w:w="4321"/>
        <w:gridCol w:w="109"/>
        <w:gridCol w:w="2716"/>
      </w:tblGrid>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lineRule="atLeast" w:line="200" w:before="0" w:after="0"/>
              <w:ind w:left="0" w:right="0" w:hanging="0"/>
              <w:jc w:val="center"/>
              <w:rPr>
                <w:rFonts w:ascii="Times New Roman;Times;serif" w:hAnsi="Times New Roman;Times;serif"/>
                <w:b/>
                <w:sz w:val="18"/>
              </w:rPr>
            </w:pPr>
            <w:r>
              <w:rPr>
                <w:rFonts w:ascii="Times New Roman;Times;serif" w:hAnsi="Times New Roman;Times;serif"/>
                <w:b/>
                <w:sz w:val="18"/>
              </w:rPr>
              <w:t>Michigan</w:t>
            </w:r>
          </w:p>
        </w:tc>
        <w:tc>
          <w:tcPr>
            <w:tcW w:w="109" w:type="dxa"/>
            <w:tcBorders/>
            <w:vAlign w:val="center"/>
          </w:tcPr>
          <w:p>
            <w:pPr>
              <w:pStyle w:val="TableContents"/>
              <w:bidi w:val="0"/>
              <w:spacing w:lineRule="atLeast" w:line="200" w:before="0" w:after="240"/>
              <w:ind w:left="0" w:right="0" w:hanging="0"/>
              <w:jc w:val="both"/>
              <w:rPr/>
            </w:pPr>
            <w:r>
              <w:rPr/>
              <w:t>​</w:t>
            </w:r>
          </w:p>
        </w:tc>
        <w:tc>
          <w:tcPr>
            <w:tcW w:w="2716" w:type="dxa"/>
            <w:tcBorders/>
            <w:vAlign w:val="center"/>
          </w:tcPr>
          <w:p>
            <w:pPr>
              <w:pStyle w:val="TableContents"/>
              <w:bidi w:val="0"/>
              <w:spacing w:lineRule="atLeast" w:line="200" w:before="0" w:after="0"/>
              <w:ind w:left="0" w:right="0" w:hanging="0"/>
              <w:jc w:val="center"/>
              <w:rPr>
                <w:rFonts w:ascii="Times New Roman;Times;serif" w:hAnsi="Times New Roman;Times;serif"/>
                <w:b/>
                <w:sz w:val="18"/>
              </w:rPr>
            </w:pPr>
            <w:r>
              <w:rPr>
                <w:rFonts w:ascii="Times New Roman;Times;serif" w:hAnsi="Times New Roman;Times;serif"/>
                <w:b/>
                <w:sz w:val="18"/>
              </w:rPr>
              <w:t>38-1465835</w:t>
            </w:r>
          </w:p>
        </w:tc>
      </w:tr>
      <w:tr>
        <w:trPr/>
        <w:tc>
          <w:tcPr>
            <w:tcW w:w="4321" w:type="dxa"/>
            <w:tcBorders/>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109" w:type="dxa"/>
            <w:tcBorders/>
            <w:vAlign w:val="center"/>
          </w:tcPr>
          <w:p>
            <w:pPr>
              <w:pStyle w:val="TableContents"/>
              <w:bidi w:val="0"/>
              <w:spacing w:lineRule="atLeast" w:line="200" w:before="0" w:after="240"/>
              <w:ind w:left="0" w:right="0" w:hanging="0"/>
              <w:jc w:val="both"/>
              <w:rPr/>
            </w:pPr>
            <w:r>
              <w:rPr/>
              <w:t>​</w:t>
            </w:r>
          </w:p>
        </w:tc>
        <w:tc>
          <w:tcPr>
            <w:tcW w:w="2716" w:type="dxa"/>
            <w:tcBorders/>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32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both"/>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4321" w:type="dxa"/>
            <w:tcBorders/>
            <w:vAlign w:val="center"/>
          </w:tcPr>
          <w:p>
            <w:pPr>
              <w:pStyle w:val="TableContents"/>
              <w:bidi w:val="0"/>
              <w:spacing w:lineRule="atLeast" w:line="200" w:before="0" w:after="0"/>
              <w:ind w:left="0" w:right="0" w:hanging="0"/>
              <w:jc w:val="center"/>
              <w:rPr>
                <w:rFonts w:ascii="Times New Roman;Times;serif" w:hAnsi="Times New Roman;Times;serif"/>
                <w:b/>
                <w:sz w:val="18"/>
              </w:rPr>
            </w:pPr>
            <w:r>
              <w:rPr>
                <w:rFonts w:ascii="Times New Roman;Times;serif" w:hAnsi="Times New Roman;Times;serif"/>
                <w:b/>
                <w:sz w:val="18"/>
              </w:rPr>
              <w:t>2801 East Beltline, N.E., Grand Rapids, Michigan</w:t>
            </w:r>
          </w:p>
        </w:tc>
        <w:tc>
          <w:tcPr>
            <w:tcW w:w="109" w:type="dxa"/>
            <w:tcBorders/>
            <w:vAlign w:val="center"/>
          </w:tcPr>
          <w:p>
            <w:pPr>
              <w:pStyle w:val="TableContents"/>
              <w:bidi w:val="0"/>
              <w:spacing w:lineRule="atLeast" w:line="200" w:before="0" w:after="240"/>
              <w:ind w:left="0" w:right="0" w:hanging="0"/>
              <w:jc w:val="both"/>
              <w:rPr/>
            </w:pPr>
            <w:r>
              <w:rPr/>
              <w:t>​</w:t>
            </w:r>
          </w:p>
        </w:tc>
        <w:tc>
          <w:tcPr>
            <w:tcW w:w="2716" w:type="dxa"/>
            <w:tcBorders/>
            <w:vAlign w:val="center"/>
          </w:tcPr>
          <w:p>
            <w:pPr>
              <w:pStyle w:val="TableContents"/>
              <w:bidi w:val="0"/>
              <w:spacing w:lineRule="atLeast" w:line="200" w:before="0" w:after="0"/>
              <w:ind w:left="0" w:right="0" w:hanging="0"/>
              <w:jc w:val="center"/>
              <w:rPr>
                <w:rFonts w:ascii="Times New Roman;Times;serif" w:hAnsi="Times New Roman;Times;serif"/>
                <w:b/>
                <w:sz w:val="18"/>
              </w:rPr>
            </w:pPr>
            <w:r>
              <w:rPr>
                <w:rFonts w:ascii="Times New Roman;Times;serif" w:hAnsi="Times New Roman;Times;serif"/>
                <w:b/>
                <w:sz w:val="18"/>
              </w:rPr>
              <w:t>49525</w:t>
            </w:r>
          </w:p>
        </w:tc>
      </w:tr>
      <w:tr>
        <w:trPr/>
        <w:tc>
          <w:tcPr>
            <w:tcW w:w="4321" w:type="dxa"/>
            <w:tcBorders/>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lineRule="atLeast" w:line="200" w:before="0" w:after="240"/>
              <w:ind w:left="0" w:right="0" w:hanging="0"/>
              <w:jc w:val="both"/>
              <w:rPr/>
            </w:pPr>
            <w:r>
              <w:rPr/>
              <w:t>​</w:t>
            </w:r>
          </w:p>
        </w:tc>
        <w:tc>
          <w:tcPr>
            <w:tcW w:w="2716" w:type="dxa"/>
            <w:tcBorders/>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lineRule="atLeast" w:line="142"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(616) 364-6161</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5" w:name="Tc_37c8DHY8w02kCFo1rMBZTQ_2_2"/>
      <w:bookmarkStart w:id="16" w:name="Tc_eOTomQoX9UmD8osPM6x3QA_2_0"/>
      <w:bookmarkStart w:id="17" w:name="Tc_bZOKcEQVs0e518aRjnnpwg_1_2"/>
      <w:bookmarkStart w:id="18" w:name="Tc_xmvAZYyzeEers9XhXuY0fg_1_1"/>
      <w:bookmarkStart w:id="19" w:name="Tc_61IuHxKNSUOUaJgJmNtjtg_1_0"/>
      <w:bookmarkStart w:id="20" w:name="_8f4fdd9c_18c6_4a73_a74c_7355fac307d3"/>
      <w:bookmarkStart w:id="21" w:name="Tc_37c8DHY8w02kCFo1rMBZTQ_2_2"/>
      <w:bookmarkStart w:id="22" w:name="Tc_eOTomQoX9UmD8osPM6x3QA_2_0"/>
      <w:bookmarkStart w:id="23" w:name="Tc_bZOKcEQVs0e518aRjnnpwg_1_2"/>
      <w:bookmarkStart w:id="24" w:name="Tc_xmvAZYyzeEers9XhXuY0fg_1_1"/>
      <w:bookmarkStart w:id="25" w:name="Tc_61IuHxKNSUOUaJgJmNtjtg_1_0"/>
      <w:bookmarkStart w:id="26" w:name="_8f4fdd9c_18c6_4a73_a74c_7355fac307d3"/>
      <w:bookmarkEnd w:id="21"/>
      <w:bookmarkEnd w:id="22"/>
      <w:bookmarkEnd w:id="23"/>
      <w:bookmarkEnd w:id="24"/>
      <w:bookmarkEnd w:id="25"/>
      <w:bookmarkEnd w:id="26"/>
    </w:p>
    <w:tbl>
      <w:tblPr>
        <w:tblW w:w="7038" w:type="dxa"/>
        <w:jc w:val="left"/>
        <w:tblInd w:w="0" w:type="dxa"/>
        <w:tblLayout w:type="fixed"/>
        <w:tblCellMar>
          <w:top w:w="0" w:type="dxa"/>
          <w:left w:w="0" w:type="dxa"/>
          <w:bottom w:w="0" w:type="dxa"/>
          <w:right w:w="0" w:type="dxa"/>
        </w:tblCellMar>
      </w:tblPr>
      <w:tblGrid>
        <w:gridCol w:w="2356"/>
        <w:gridCol w:w="1261"/>
        <w:gridCol w:w="3421"/>
      </w:tblGrid>
      <w:tr>
        <w:trPr/>
        <w:tc>
          <w:tcPr>
            <w:tcW w:w="235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w:t>
            </w:r>
          </w:p>
        </w:tc>
        <w:tc>
          <w:tcPr>
            <w:tcW w:w="3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3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$1 par value</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UFPI</w:t>
            </w:r>
          </w:p>
        </w:tc>
        <w:tc>
          <w:tcPr>
            <w:tcW w:w="3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Global Select Market</w:t>
            </w:r>
          </w:p>
        </w:tc>
      </w:tr>
    </w:tbl>
    <w:p>
      <w:pPr>
        <w:pStyle w:val="TextBody"/>
        <w:bidi w:val="0"/>
        <w:spacing w:lineRule="atLeast" w:line="142"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xml:space="preserve">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770" w:type="dxa"/>
        <w:jc w:val="left"/>
        <w:tblInd w:w="0" w:type="dxa"/>
        <w:tblLayout w:type="fixed"/>
        <w:tblCellMar>
          <w:top w:w="0" w:type="dxa"/>
          <w:left w:w="0" w:type="dxa"/>
          <w:bottom w:w="0" w:type="dxa"/>
          <w:right w:w="0" w:type="dxa"/>
        </w:tblCellMar>
      </w:tblPr>
      <w:tblGrid>
        <w:gridCol w:w="1846"/>
        <w:gridCol w:w="1471"/>
        <w:gridCol w:w="1786"/>
        <w:gridCol w:w="2356"/>
        <w:gridCol w:w="2311"/>
      </w:tblGrid>
      <w:tr>
        <w:trPr/>
        <w:tc>
          <w:tcPr>
            <w:tcW w:w="18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lineRule="atLeast" w:line="142" w:before="0" w:after="0"/>
        <w:ind w:left="0" w:right="0" w:hanging="0"/>
        <w:jc w:val="left"/>
        <w:rPr/>
      </w:pPr>
      <w:r>
        <w:rPr/>
        <w:t>​</w:t>
      </w:r>
    </w:p>
    <w:p>
      <w:pPr>
        <w:pStyle w:val="TextBody"/>
        <w:bidi w:val="0"/>
        <w:spacing w:before="8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 new or revised financial accounting standards provided pursuant to Section 13(a) of the Exchange Act. Yes ☐            No ⌧</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Yes ☐            No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The aggregate market value of the common stock held by non-affiliates of the registrant (i.e. excluding shares held by executive officers, directors, and control persons as defined in Rule 405, 17 CFR 230.405) on July 1, 2023 (which was the last trading day of the registrant’s second quarter in the fiscal year ended December 30, 2023) was $5,684,288,927 computed at the closing price of $97.05 on that date.</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As of February 3, 2024, 61,624,287 shares of the registrant’s common stock, $1 par value, were outstanding.</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Documents incorporated by reference:</w:t>
      </w:r>
    </w:p>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7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Certain portions of the registrant’s Annual Report to Shareholders for the fiscal year ended December 30, 2023 are incorporated by reference into Part I and II of this Report.</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Certain portions of the registrant’s Proxy Statement for its 2024 Annual Meeting of Shareholders are incorporated by reference into Part III of this Report.</w:t>
            </w:r>
          </w:p>
        </w:tc>
      </w:tr>
    </w:tbl>
    <w:p>
      <w:pPr>
        <w:pStyle w:val="TextBody"/>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Exhibit Index located on page E-21.</w:t>
      </w:r>
    </w:p>
    <w:p>
      <w:pPr>
        <w:pStyle w:val="TextBody"/>
        <w:pBdr>
          <w:top w:val="single" w:sz="2"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27" w:name="_fd54bc1b_b09a_4a64_a99c_6c118c190c36"/>
      <w:bookmarkEnd w:id="27"/>
      <w:r>
        <w:rPr>
          <w:rFonts w:ascii="Times New Roman;Times;serif" w:hAnsi="Times New Roman;Times;serif"/>
          <w:b/>
          <w:sz w:val="20"/>
        </w:rPr>
        <w:t>ANNUAL REPORT ON FORM 10-K</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DECEMBER 30, 2023</w:t>
      </w:r>
    </w:p>
    <w:p>
      <w:pPr>
        <w:pStyle w:val="TextBody"/>
        <w:bidi w:val="0"/>
        <w:spacing w:lineRule="auto" w:line="343" w:before="0" w:after="24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05"/>
        <w:gridCol w:w="9038"/>
        <w:gridCol w:w="362"/>
      </w:tblGrid>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_259456">
              <w:r>
                <w:rPr>
                  <w:rStyle w:val="InternetLink"/>
                  <w:rFonts w:ascii="Times New Roman;Times;serif" w:hAnsi="Times New Roman;Times;serif"/>
                  <w:b/>
                  <w:i w:val="false"/>
                  <w:caps w:val="false"/>
                  <w:smallCaps w:val="false"/>
                  <w:sz w:val="20"/>
                </w:rPr>
                <w:t>PART I</w:t>
              </w:r>
            </w:hyperlink>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hyperlink w:anchor="Item1Business_475593">
              <w:r>
                <w:rPr>
                  <w:rStyle w:val="InternetLink"/>
                  <w:rFonts w:ascii="Times New Roman;Times;serif" w:hAnsi="Times New Roman;Times;serif"/>
                  <w:b w:val="false"/>
                  <w:i w:val="false"/>
                  <w:caps w:val="false"/>
                  <w:smallCaps w:val="false"/>
                  <w:sz w:val="20"/>
                </w:rPr>
                <w:t>Item 1.</w:t>
              </w:r>
            </w:hyperlink>
          </w:p>
        </w:tc>
        <w:tc>
          <w:tcPr>
            <w:tcW w:w="9038" w:type="dxa"/>
            <w:tcBorders/>
            <w:vAlign w:val="center"/>
          </w:tcPr>
          <w:p>
            <w:pPr>
              <w:pStyle w:val="TableContents"/>
              <w:bidi w:val="0"/>
              <w:spacing w:before="0" w:after="0"/>
              <w:ind w:left="0" w:right="0" w:hanging="0"/>
              <w:jc w:val="left"/>
              <w:rPr/>
            </w:pPr>
            <w:hyperlink w:anchor="Item1Business_475593">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5" w:type="dxa"/>
            <w:tcBorders/>
            <w:vAlign w:val="center"/>
          </w:tcPr>
          <w:p>
            <w:pPr>
              <w:pStyle w:val="TableContents"/>
              <w:bidi w:val="0"/>
              <w:spacing w:before="0" w:after="0"/>
              <w:ind w:left="0" w:right="0" w:hanging="0"/>
              <w:jc w:val="left"/>
              <w:rPr/>
            </w:pPr>
            <w:hyperlink w:anchor="Item1ARiskFactors_809047">
              <w:r>
                <w:rPr>
                  <w:rStyle w:val="InternetLink"/>
                  <w:rFonts w:ascii="Times New Roman;Times;serif" w:hAnsi="Times New Roman;Times;serif"/>
                  <w:b w:val="false"/>
                  <w:i w:val="false"/>
                  <w:caps w:val="false"/>
                  <w:smallCaps w:val="false"/>
                  <w:sz w:val="20"/>
                </w:rPr>
                <w:t>Item 1A.</w:t>
              </w:r>
            </w:hyperlink>
          </w:p>
        </w:tc>
        <w:tc>
          <w:tcPr>
            <w:tcW w:w="9038" w:type="dxa"/>
            <w:tcBorders/>
            <w:vAlign w:val="center"/>
          </w:tcPr>
          <w:p>
            <w:pPr>
              <w:pStyle w:val="TableContents"/>
              <w:bidi w:val="0"/>
              <w:spacing w:before="0" w:after="0"/>
              <w:ind w:left="0" w:right="0" w:hanging="0"/>
              <w:jc w:val="left"/>
              <w:rPr/>
            </w:pPr>
            <w:hyperlink w:anchor="Item1ARiskFactors_809047">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05" w:type="dxa"/>
            <w:tcBorders/>
            <w:vAlign w:val="center"/>
          </w:tcPr>
          <w:p>
            <w:pPr>
              <w:pStyle w:val="TableContents"/>
              <w:bidi w:val="0"/>
              <w:spacing w:before="0" w:after="0"/>
              <w:ind w:left="0" w:right="0" w:hanging="0"/>
              <w:jc w:val="left"/>
              <w:rPr/>
            </w:pPr>
            <w:hyperlink w:anchor="Item1BUnresolvedStaffComments_200156">
              <w:r>
                <w:rPr>
                  <w:rStyle w:val="InternetLink"/>
                  <w:rFonts w:ascii="Times New Roman;Times;serif" w:hAnsi="Times New Roman;Times;serif"/>
                  <w:b w:val="false"/>
                  <w:i w:val="false"/>
                  <w:caps w:val="false"/>
                  <w:smallCaps w:val="false"/>
                  <w:sz w:val="20"/>
                </w:rPr>
                <w:t>Item 1B.</w:t>
              </w:r>
            </w:hyperlink>
          </w:p>
        </w:tc>
        <w:tc>
          <w:tcPr>
            <w:tcW w:w="9038" w:type="dxa"/>
            <w:tcBorders/>
            <w:vAlign w:val="center"/>
          </w:tcPr>
          <w:p>
            <w:pPr>
              <w:pStyle w:val="TableContents"/>
              <w:bidi w:val="0"/>
              <w:spacing w:before="0" w:after="0"/>
              <w:ind w:left="0" w:right="0" w:hanging="0"/>
              <w:jc w:val="left"/>
              <w:rPr/>
            </w:pPr>
            <w:hyperlink w:anchor="Item1BUnresolvedStaffComments_200156">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05"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9038"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05" w:type="dxa"/>
            <w:tcBorders/>
            <w:vAlign w:val="center"/>
          </w:tcPr>
          <w:p>
            <w:pPr>
              <w:pStyle w:val="TableContents"/>
              <w:bidi w:val="0"/>
              <w:spacing w:before="0" w:after="0"/>
              <w:ind w:left="0" w:right="0" w:hanging="0"/>
              <w:jc w:val="left"/>
              <w:rPr/>
            </w:pPr>
            <w:hyperlink w:anchor="Item2Properties_518865">
              <w:r>
                <w:rPr>
                  <w:rStyle w:val="InternetLink"/>
                  <w:rFonts w:ascii="Times New Roman;Times;serif" w:hAnsi="Times New Roman;Times;serif"/>
                  <w:b w:val="false"/>
                  <w:i w:val="false"/>
                  <w:caps w:val="false"/>
                  <w:smallCaps w:val="false"/>
                  <w:sz w:val="20"/>
                </w:rPr>
                <w:t>Item 2.</w:t>
              </w:r>
            </w:hyperlink>
          </w:p>
        </w:tc>
        <w:tc>
          <w:tcPr>
            <w:tcW w:w="9038" w:type="dxa"/>
            <w:tcBorders/>
            <w:vAlign w:val="center"/>
          </w:tcPr>
          <w:p>
            <w:pPr>
              <w:pStyle w:val="TableContents"/>
              <w:bidi w:val="0"/>
              <w:spacing w:before="0" w:after="0"/>
              <w:ind w:left="0" w:right="0" w:hanging="0"/>
              <w:jc w:val="left"/>
              <w:rPr/>
            </w:pPr>
            <w:hyperlink w:anchor="Item2Properties_518865">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05" w:type="dxa"/>
            <w:tcBorders/>
            <w:vAlign w:val="center"/>
          </w:tcPr>
          <w:p>
            <w:pPr>
              <w:pStyle w:val="TableContents"/>
              <w:bidi w:val="0"/>
              <w:spacing w:before="0" w:after="0"/>
              <w:ind w:left="0" w:right="0" w:hanging="0"/>
              <w:jc w:val="left"/>
              <w:rPr/>
            </w:pPr>
            <w:hyperlink w:anchor="Item3LegalProceedings_848932">
              <w:r>
                <w:rPr>
                  <w:rStyle w:val="InternetLink"/>
                  <w:rFonts w:ascii="Times New Roman;Times;serif" w:hAnsi="Times New Roman;Times;serif"/>
                  <w:b w:val="false"/>
                  <w:i w:val="false"/>
                  <w:caps w:val="false"/>
                  <w:smallCaps w:val="false"/>
                  <w:sz w:val="20"/>
                </w:rPr>
                <w:t>Item 3.</w:t>
              </w:r>
            </w:hyperlink>
          </w:p>
        </w:tc>
        <w:tc>
          <w:tcPr>
            <w:tcW w:w="9038" w:type="dxa"/>
            <w:tcBorders/>
            <w:vAlign w:val="center"/>
          </w:tcPr>
          <w:p>
            <w:pPr>
              <w:pStyle w:val="TableContents"/>
              <w:bidi w:val="0"/>
              <w:spacing w:before="0" w:after="0"/>
              <w:ind w:left="0" w:right="0" w:hanging="0"/>
              <w:jc w:val="left"/>
              <w:rPr/>
            </w:pPr>
            <w:hyperlink w:anchor="Item3LegalProceedings_848932">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05" w:type="dxa"/>
            <w:tcBorders/>
            <w:vAlign w:val="center"/>
          </w:tcPr>
          <w:p>
            <w:pPr>
              <w:pStyle w:val="TableContents"/>
              <w:bidi w:val="0"/>
              <w:spacing w:before="0" w:after="0"/>
              <w:ind w:left="0" w:right="0" w:hanging="0"/>
              <w:jc w:val="left"/>
              <w:rPr/>
            </w:pPr>
            <w:hyperlink w:anchor="Item4MineSafetyDisclosures_330517">
              <w:r>
                <w:rPr>
                  <w:rStyle w:val="InternetLink"/>
                  <w:rFonts w:ascii="Times New Roman;Times;serif" w:hAnsi="Times New Roman;Times;serif"/>
                  <w:b w:val="false"/>
                  <w:i w:val="false"/>
                  <w:caps w:val="false"/>
                  <w:smallCaps w:val="false"/>
                  <w:sz w:val="20"/>
                </w:rPr>
                <w:t>Item 4.</w:t>
              </w:r>
            </w:hyperlink>
          </w:p>
        </w:tc>
        <w:tc>
          <w:tcPr>
            <w:tcW w:w="9038" w:type="dxa"/>
            <w:tcBorders/>
            <w:vAlign w:val="center"/>
          </w:tcPr>
          <w:p>
            <w:pPr>
              <w:pStyle w:val="TableContents"/>
              <w:bidi w:val="0"/>
              <w:spacing w:before="0" w:after="0"/>
              <w:ind w:left="0" w:right="0" w:hanging="0"/>
              <w:jc w:val="left"/>
              <w:rPr/>
            </w:pPr>
            <w:hyperlink w:anchor="Item4MineSafetyDisclosures_330517">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AdditionalItemExecutiveOfficersoftheRegi">
              <w:r>
                <w:rPr>
                  <w:rStyle w:val="InternetLink"/>
                  <w:rFonts w:ascii="Times New Roman;Times;serif" w:hAnsi="Times New Roman;Times;serif"/>
                  <w:b w:val="false"/>
                  <w:i w:val="false"/>
                  <w:caps w:val="false"/>
                  <w:smallCaps w:val="false"/>
                  <w:sz w:val="20"/>
                </w:rPr>
                <w:t>Additional item: Executive Officers of the Registrant.</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_87120">
              <w:r>
                <w:rPr>
                  <w:rStyle w:val="InternetLink"/>
                  <w:rFonts w:ascii="Times New Roman;Times;serif" w:hAnsi="Times New Roman;Times;serif"/>
                  <w:b/>
                  <w:i w:val="false"/>
                  <w:caps w:val="false"/>
                  <w:smallCaps w:val="false"/>
                  <w:sz w:val="20"/>
                </w:rPr>
                <w:t>PART II</w:t>
              </w:r>
            </w:hyperlink>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hyperlink w:anchor="Item5MarketforRegistrantsCommonEquity_23">
              <w:r>
                <w:rPr>
                  <w:rStyle w:val="InternetLink"/>
                  <w:rFonts w:ascii="Times New Roman;Times;serif" w:hAnsi="Times New Roman;Times;serif"/>
                  <w:b w:val="false"/>
                  <w:i w:val="false"/>
                  <w:caps w:val="false"/>
                  <w:smallCaps w:val="false"/>
                  <w:sz w:val="20"/>
                </w:rPr>
                <w:t>Item 5.</w:t>
              </w:r>
            </w:hyperlink>
          </w:p>
        </w:tc>
        <w:tc>
          <w:tcPr>
            <w:tcW w:w="9038" w:type="dxa"/>
            <w:tcBorders/>
            <w:vAlign w:val="center"/>
          </w:tcPr>
          <w:p>
            <w:pPr>
              <w:pStyle w:val="TableContents"/>
              <w:bidi w:val="0"/>
              <w:spacing w:before="0" w:after="0"/>
              <w:ind w:left="0" w:right="0" w:hanging="0"/>
              <w:jc w:val="left"/>
              <w:rPr/>
            </w:pPr>
            <w:hyperlink w:anchor="Item5MarketforRegistrantsCommonEquity_23">
              <w:r>
                <w:rPr>
                  <w:rStyle w:val="InternetLink"/>
                  <w:rFonts w:ascii="Times New Roman;Times;serif" w:hAnsi="Times New Roman;Times;serif"/>
                  <w:b w:val="false"/>
                  <w:i w:val="false"/>
                  <w:caps w:val="false"/>
                  <w:smallCaps w:val="false"/>
                  <w:sz w:val="20"/>
                </w:rPr>
                <w:t>Market for Registrant’s Common Equity, Related Shareholder Matters and Issuer Purchases of Equity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05" w:type="dxa"/>
            <w:tcBorders/>
            <w:vAlign w:val="center"/>
          </w:tcPr>
          <w:p>
            <w:pPr>
              <w:pStyle w:val="TableContents"/>
              <w:bidi w:val="0"/>
              <w:spacing w:before="0" w:after="0"/>
              <w:ind w:left="0" w:right="0" w:hanging="0"/>
              <w:jc w:val="left"/>
              <w:rPr/>
            </w:pPr>
            <w:hyperlink w:anchor="Item6SelectedFinancialData_423905">
              <w:r>
                <w:rPr>
                  <w:rStyle w:val="InternetLink"/>
                  <w:rFonts w:ascii="Times New Roman;Times;serif" w:hAnsi="Times New Roman;Times;serif"/>
                  <w:b w:val="false"/>
                  <w:i w:val="false"/>
                  <w:caps w:val="false"/>
                  <w:smallCaps w:val="false"/>
                  <w:sz w:val="20"/>
                </w:rPr>
                <w:t>Item 6.</w:t>
              </w:r>
            </w:hyperlink>
          </w:p>
        </w:tc>
        <w:tc>
          <w:tcPr>
            <w:tcW w:w="9038" w:type="dxa"/>
            <w:tcBorders/>
            <w:vAlign w:val="center"/>
          </w:tcPr>
          <w:p>
            <w:pPr>
              <w:pStyle w:val="TableContents"/>
              <w:bidi w:val="0"/>
              <w:spacing w:before="0" w:after="0"/>
              <w:ind w:left="0" w:right="0" w:hanging="0"/>
              <w:jc w:val="left"/>
              <w:rPr/>
            </w:pPr>
            <w:hyperlink w:anchor="Item6SelectedFinancialData_423905">
              <w:r>
                <w:rPr>
                  <w:rStyle w:val="InternetLink"/>
                  <w:rFonts w:ascii="Times New Roman;Times;serif" w:hAnsi="Times New Roman;Times;serif"/>
                  <w:b w:val="false"/>
                  <w:i w:val="false"/>
                  <w:caps w:val="false"/>
                  <w:smallCaps w:val="false"/>
                  <w:sz w:val="20"/>
                </w:rPr>
                <w:t>[Reserved]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05" w:type="dxa"/>
            <w:tcBorders/>
            <w:vAlign w:val="center"/>
          </w:tcPr>
          <w:p>
            <w:pPr>
              <w:pStyle w:val="TableContents"/>
              <w:bidi w:val="0"/>
              <w:spacing w:before="0" w:after="0"/>
              <w:ind w:left="0" w:right="0" w:hanging="0"/>
              <w:jc w:val="left"/>
              <w:rPr/>
            </w:pPr>
            <w:hyperlink w:anchor="Item7ManagementsDiscussionandAnalysis_14">
              <w:r>
                <w:rPr>
                  <w:rStyle w:val="InternetLink"/>
                  <w:rFonts w:ascii="Times New Roman;Times;serif" w:hAnsi="Times New Roman;Times;serif"/>
                  <w:b w:val="false"/>
                  <w:i w:val="false"/>
                  <w:caps w:val="false"/>
                  <w:smallCaps w:val="false"/>
                  <w:sz w:val="20"/>
                </w:rPr>
                <w:t>Item 7.</w:t>
              </w:r>
            </w:hyperlink>
          </w:p>
        </w:tc>
        <w:tc>
          <w:tcPr>
            <w:tcW w:w="9038" w:type="dxa"/>
            <w:tcBorders/>
            <w:vAlign w:val="center"/>
          </w:tcPr>
          <w:p>
            <w:pPr>
              <w:pStyle w:val="TableContents"/>
              <w:bidi w:val="0"/>
              <w:spacing w:before="0" w:after="0"/>
              <w:ind w:left="0" w:right="0" w:hanging="0"/>
              <w:jc w:val="left"/>
              <w:rPr/>
            </w:pPr>
            <w:hyperlink w:anchor="Item7ManagementsDiscussionandAnalysis_14">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05"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903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05"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903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05"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903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05" w:type="dxa"/>
            <w:tcBorders/>
            <w:vAlign w:val="center"/>
          </w:tcPr>
          <w:p>
            <w:pPr>
              <w:pStyle w:val="TableContents"/>
              <w:bidi w:val="0"/>
              <w:spacing w:before="0" w:after="0"/>
              <w:ind w:left="0" w:right="0" w:hanging="0"/>
              <w:jc w:val="left"/>
              <w:rPr/>
            </w:pPr>
            <w:hyperlink w:anchor="Item9AControlsandProcedures_370789">
              <w:r>
                <w:rPr>
                  <w:rStyle w:val="InternetLink"/>
                  <w:rFonts w:ascii="Times New Roman;Times;serif" w:hAnsi="Times New Roman;Times;serif"/>
                  <w:b w:val="false"/>
                  <w:i w:val="false"/>
                  <w:caps w:val="false"/>
                  <w:smallCaps w:val="false"/>
                  <w:sz w:val="20"/>
                </w:rPr>
                <w:t>Item 9A.</w:t>
              </w:r>
            </w:hyperlink>
          </w:p>
        </w:tc>
        <w:tc>
          <w:tcPr>
            <w:tcW w:w="9038" w:type="dxa"/>
            <w:tcBorders/>
            <w:vAlign w:val="center"/>
          </w:tcPr>
          <w:p>
            <w:pPr>
              <w:pStyle w:val="TableContents"/>
              <w:bidi w:val="0"/>
              <w:spacing w:before="0" w:after="0"/>
              <w:ind w:left="0" w:right="0" w:hanging="0"/>
              <w:jc w:val="left"/>
              <w:rPr/>
            </w:pPr>
            <w:hyperlink w:anchor="Item9AControlsandProcedures_370789">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05" w:type="dxa"/>
            <w:tcBorders/>
            <w:vAlign w:val="center"/>
          </w:tcPr>
          <w:p>
            <w:pPr>
              <w:pStyle w:val="TableContents"/>
              <w:bidi w:val="0"/>
              <w:spacing w:before="0" w:after="0"/>
              <w:ind w:left="0" w:right="0" w:hanging="0"/>
              <w:jc w:val="left"/>
              <w:rPr/>
            </w:pPr>
            <w:hyperlink w:anchor="Item9BOtherInformation_68855">
              <w:r>
                <w:rPr>
                  <w:rStyle w:val="InternetLink"/>
                  <w:rFonts w:ascii="Times New Roman;Times;serif" w:hAnsi="Times New Roman;Times;serif"/>
                  <w:b w:val="false"/>
                  <w:i w:val="false"/>
                  <w:caps w:val="false"/>
                  <w:smallCaps w:val="false"/>
                  <w:sz w:val="20"/>
                </w:rPr>
                <w:t>Item 9B.</w:t>
              </w:r>
            </w:hyperlink>
          </w:p>
        </w:tc>
        <w:tc>
          <w:tcPr>
            <w:tcW w:w="9038" w:type="dxa"/>
            <w:tcBorders/>
            <w:vAlign w:val="center"/>
          </w:tcPr>
          <w:p>
            <w:pPr>
              <w:pStyle w:val="TableContents"/>
              <w:bidi w:val="0"/>
              <w:spacing w:before="0" w:after="0"/>
              <w:ind w:left="0" w:right="0" w:hanging="0"/>
              <w:jc w:val="left"/>
              <w:rPr/>
            </w:pPr>
            <w:hyperlink w:anchor="Item9BOtherInformation_68855">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05" w:type="dxa"/>
            <w:tcBorders/>
            <w:vAlign w:val="center"/>
          </w:tcPr>
          <w:p>
            <w:pPr>
              <w:pStyle w:val="TableContents"/>
              <w:bidi w:val="0"/>
              <w:spacing w:before="0" w:after="0"/>
              <w:ind w:left="0" w:right="0" w:hanging="0"/>
              <w:jc w:val="left"/>
              <w:rPr/>
            </w:pPr>
            <w:hyperlink w:anchor="Item9CDisclosureRegardingForeign">
              <w:r>
                <w:rPr>
                  <w:rStyle w:val="InternetLink"/>
                  <w:rFonts w:ascii="Times New Roman;Times;serif" w:hAnsi="Times New Roman;Times;serif"/>
                  <w:b w:val="false"/>
                  <w:i w:val="false"/>
                  <w:caps w:val="false"/>
                  <w:smallCaps w:val="false"/>
                  <w:sz w:val="20"/>
                </w:rPr>
                <w:t>Item 9C.</w:t>
              </w:r>
            </w:hyperlink>
          </w:p>
        </w:tc>
        <w:tc>
          <w:tcPr>
            <w:tcW w:w="9038" w:type="dxa"/>
            <w:tcBorders/>
            <w:vAlign w:val="center"/>
          </w:tcPr>
          <w:p>
            <w:pPr>
              <w:pStyle w:val="TableContents"/>
              <w:bidi w:val="0"/>
              <w:spacing w:before="0" w:after="0"/>
              <w:ind w:left="0" w:right="0" w:hanging="0"/>
              <w:jc w:val="left"/>
              <w:rPr/>
            </w:pPr>
            <w:hyperlink w:anchor="Item9CDisclosureRegardingForeign">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I_165468">
              <w:r>
                <w:rPr>
                  <w:rStyle w:val="InternetLink"/>
                  <w:rFonts w:ascii="Times New Roman;Times;serif" w:hAnsi="Times New Roman;Times;serif"/>
                  <w:b/>
                  <w:i w:val="false"/>
                  <w:caps w:val="false"/>
                  <w:smallCaps w:val="false"/>
                  <w:sz w:val="20"/>
                </w:rPr>
                <w:t>PART III</w:t>
              </w:r>
            </w:hyperlink>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hyperlink w:anchor="Item10DirectorsExecutiveOfficers_673702">
              <w:r>
                <w:rPr>
                  <w:rStyle w:val="InternetLink"/>
                  <w:rFonts w:ascii="Times New Roman;Times;serif" w:hAnsi="Times New Roman;Times;serif"/>
                  <w:b w:val="false"/>
                  <w:i w:val="false"/>
                  <w:caps w:val="false"/>
                  <w:smallCaps w:val="false"/>
                  <w:sz w:val="20"/>
                </w:rPr>
                <w:t>Item 10.</w:t>
              </w:r>
            </w:hyperlink>
          </w:p>
        </w:tc>
        <w:tc>
          <w:tcPr>
            <w:tcW w:w="9038" w:type="dxa"/>
            <w:tcBorders/>
            <w:vAlign w:val="center"/>
          </w:tcPr>
          <w:p>
            <w:pPr>
              <w:pStyle w:val="TableContents"/>
              <w:bidi w:val="0"/>
              <w:spacing w:before="0" w:after="0"/>
              <w:ind w:left="0" w:right="0" w:hanging="0"/>
              <w:jc w:val="left"/>
              <w:rPr/>
            </w:pPr>
            <w:hyperlink w:anchor="Item10DirectorsExecutiveOfficers_673702">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05" w:type="dxa"/>
            <w:tcBorders/>
            <w:vAlign w:val="center"/>
          </w:tcPr>
          <w:p>
            <w:pPr>
              <w:pStyle w:val="TableContents"/>
              <w:bidi w:val="0"/>
              <w:spacing w:before="0" w:after="0"/>
              <w:ind w:left="0" w:right="0" w:hanging="0"/>
              <w:jc w:val="left"/>
              <w:rPr/>
            </w:pPr>
            <w:hyperlink w:anchor="Item11ExecutiveCompensation_993414">
              <w:r>
                <w:rPr>
                  <w:rStyle w:val="InternetLink"/>
                  <w:rFonts w:ascii="Times New Roman;Times;serif" w:hAnsi="Times New Roman;Times;serif"/>
                  <w:b w:val="false"/>
                  <w:i w:val="false"/>
                  <w:caps w:val="false"/>
                  <w:smallCaps w:val="false"/>
                  <w:sz w:val="20"/>
                </w:rPr>
                <w:t>Item 11.</w:t>
              </w:r>
            </w:hyperlink>
          </w:p>
        </w:tc>
        <w:tc>
          <w:tcPr>
            <w:tcW w:w="9038" w:type="dxa"/>
            <w:tcBorders/>
            <w:vAlign w:val="center"/>
          </w:tcPr>
          <w:p>
            <w:pPr>
              <w:pStyle w:val="TableContents"/>
              <w:bidi w:val="0"/>
              <w:spacing w:before="0" w:after="0"/>
              <w:ind w:left="0" w:right="0" w:hanging="0"/>
              <w:jc w:val="left"/>
              <w:rPr/>
            </w:pPr>
            <w:hyperlink w:anchor="Item11ExecutiveCompensation_993414">
              <w:r>
                <w:rPr>
                  <w:rStyle w:val="InternetLink"/>
                  <w:rFonts w:ascii="Times New Roman;Times;serif" w:hAnsi="Times New Roman;Times;serif"/>
                  <w:b w:val="false"/>
                  <w:i w:val="false"/>
                  <w:caps w:val="false"/>
                  <w:smallCaps w:val="false"/>
                  <w:sz w:val="20"/>
                </w:rPr>
                <w:t>Executive Compensation.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05"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903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Shareholder Matters.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05" w:type="dxa"/>
            <w:tcBorders/>
            <w:vAlign w:val="center"/>
          </w:tcPr>
          <w:p>
            <w:pPr>
              <w:pStyle w:val="TableContents"/>
              <w:bidi w:val="0"/>
              <w:spacing w:before="0" w:after="0"/>
              <w:ind w:left="0" w:right="0" w:hanging="0"/>
              <w:jc w:val="left"/>
              <w:rPr/>
            </w:pPr>
            <w:hyperlink w:anchor="Item13CertainRelationshipsandRelated_723">
              <w:r>
                <w:rPr>
                  <w:rStyle w:val="InternetLink"/>
                  <w:rFonts w:ascii="Times New Roman;Times;serif" w:hAnsi="Times New Roman;Times;serif"/>
                  <w:b w:val="false"/>
                  <w:i w:val="false"/>
                  <w:caps w:val="false"/>
                  <w:smallCaps w:val="false"/>
                  <w:sz w:val="20"/>
                </w:rPr>
                <w:t>Item 13.</w:t>
              </w:r>
            </w:hyperlink>
          </w:p>
        </w:tc>
        <w:tc>
          <w:tcPr>
            <w:tcW w:w="9038" w:type="dxa"/>
            <w:tcBorders/>
            <w:vAlign w:val="center"/>
          </w:tcPr>
          <w:p>
            <w:pPr>
              <w:pStyle w:val="TableContents"/>
              <w:bidi w:val="0"/>
              <w:spacing w:before="0" w:after="0"/>
              <w:ind w:left="0" w:right="0" w:hanging="0"/>
              <w:jc w:val="left"/>
              <w:rPr/>
            </w:pPr>
            <w:hyperlink w:anchor="Item13CertainRelationshipsandRelated_72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05" w:type="dxa"/>
            <w:tcBorders/>
            <w:vAlign w:val="center"/>
          </w:tcPr>
          <w:p>
            <w:pPr>
              <w:pStyle w:val="TableContents"/>
              <w:bidi w:val="0"/>
              <w:spacing w:before="0" w:after="0"/>
              <w:ind w:left="0" w:right="0" w:hanging="0"/>
              <w:jc w:val="left"/>
              <w:rPr/>
            </w:pPr>
            <w:hyperlink w:anchor="Item14PrincipalAccountantFees_865810">
              <w:r>
                <w:rPr>
                  <w:rStyle w:val="InternetLink"/>
                  <w:rFonts w:ascii="Times New Roman;Times;serif" w:hAnsi="Times New Roman;Times;serif"/>
                  <w:b w:val="false"/>
                  <w:i w:val="false"/>
                  <w:caps w:val="false"/>
                  <w:smallCaps w:val="false"/>
                  <w:sz w:val="20"/>
                </w:rPr>
                <w:t>Item 14.</w:t>
              </w:r>
            </w:hyperlink>
          </w:p>
        </w:tc>
        <w:tc>
          <w:tcPr>
            <w:tcW w:w="9038" w:type="dxa"/>
            <w:tcBorders/>
            <w:vAlign w:val="center"/>
          </w:tcPr>
          <w:p>
            <w:pPr>
              <w:pStyle w:val="TableContents"/>
              <w:bidi w:val="0"/>
              <w:spacing w:before="0" w:after="0"/>
              <w:ind w:left="0" w:right="0" w:hanging="0"/>
              <w:jc w:val="left"/>
              <w:rPr/>
            </w:pPr>
            <w:hyperlink w:anchor="Item14PrincipalAccountantFees_865810">
              <w:r>
                <w:rPr>
                  <w:rStyle w:val="InternetLink"/>
                  <w:rFonts w:ascii="Times New Roman;Times;serif" w:hAnsi="Times New Roman;Times;serif"/>
                  <w:b w:val="false"/>
                  <w:i w:val="false"/>
                  <w:caps w:val="false"/>
                  <w:smallCaps w:val="false"/>
                  <w:sz w:val="20"/>
                </w:rPr>
                <w:t>Principal Accountant Fees and Services.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V_21737">
              <w:r>
                <w:rPr>
                  <w:rStyle w:val="InternetLink"/>
                  <w:rFonts w:ascii="Times New Roman;Times;serif" w:hAnsi="Times New Roman;Times;serif"/>
                  <w:b/>
                  <w:i w:val="false"/>
                  <w:caps w:val="false"/>
                  <w:smallCaps w:val="false"/>
                  <w:sz w:val="20"/>
                </w:rPr>
                <w:t>PART IV</w:t>
              </w:r>
            </w:hyperlink>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805" w:type="dxa"/>
            <w:tcBorders/>
            <w:vAlign w:val="center"/>
          </w:tcPr>
          <w:p>
            <w:pPr>
              <w:pStyle w:val="TableContents"/>
              <w:bidi w:val="0"/>
              <w:spacing w:before="0" w:after="0"/>
              <w:ind w:left="0" w:right="0" w:hanging="0"/>
              <w:jc w:val="left"/>
              <w:rPr/>
            </w:pPr>
            <w:hyperlink w:anchor="Item15ExhibitsFinancialStatement_398148">
              <w:r>
                <w:rPr>
                  <w:rStyle w:val="InternetLink"/>
                  <w:rFonts w:ascii="Times New Roman;Times;serif" w:hAnsi="Times New Roman;Times;serif"/>
                  <w:b w:val="false"/>
                  <w:i w:val="false"/>
                  <w:caps w:val="false"/>
                  <w:smallCaps w:val="false"/>
                  <w:sz w:val="20"/>
                </w:rPr>
                <w:t>Item 15.</w:t>
              </w:r>
            </w:hyperlink>
          </w:p>
        </w:tc>
        <w:tc>
          <w:tcPr>
            <w:tcW w:w="9038" w:type="dxa"/>
            <w:tcBorders/>
            <w:vAlign w:val="center"/>
          </w:tcPr>
          <w:p>
            <w:pPr>
              <w:pStyle w:val="TableContents"/>
              <w:bidi w:val="0"/>
              <w:spacing w:before="0" w:after="0"/>
              <w:ind w:left="0" w:right="0" w:hanging="0"/>
              <w:jc w:val="left"/>
              <w:rPr/>
            </w:pPr>
            <w:hyperlink w:anchor="Item15ExhibitsFinancialStatement_398148">
              <w:r>
                <w:rPr>
                  <w:rStyle w:val="InternetLink"/>
                  <w:rFonts w:ascii="Times New Roman;Times;serif" w:hAnsi="Times New Roman;Times;serif"/>
                  <w:b w:val="false"/>
                  <w:i w:val="false"/>
                  <w:caps w:val="false"/>
                  <w:smallCaps w:val="false"/>
                  <w:sz w:val="20"/>
                </w:rPr>
                <w:t>Exhibits, Financial Statement Schedules.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05" w:type="dxa"/>
            <w:tcBorders/>
            <w:vAlign w:val="center"/>
          </w:tcPr>
          <w:p>
            <w:pPr>
              <w:pStyle w:val="TableContents"/>
              <w:bidi w:val="0"/>
              <w:spacing w:before="0" w:after="0"/>
              <w:ind w:left="0" w:right="0" w:hanging="0"/>
              <w:jc w:val="left"/>
              <w:rPr/>
            </w:pPr>
            <w:r>
              <w:rPr/>
              <w:t>​</w:t>
            </w:r>
          </w:p>
        </w:tc>
        <w:tc>
          <w:tcPr>
            <w:tcW w:w="903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EXHIBITINDEX_794902">
              <w:r>
                <w:rPr>
                  <w:rStyle w:val="InternetLink"/>
                  <w:rFonts w:ascii="Times New Roman;Times;serif" w:hAnsi="Times New Roman;Times;serif"/>
                  <w:b w:val="false"/>
                  <w:i w:val="false"/>
                  <w:caps w:val="false"/>
                  <w:smallCaps w:val="false"/>
                  <w:sz w:val="20"/>
                </w:rPr>
                <w:t>Exhibit Index.</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343" w:before="0" w:after="240"/>
        <w:ind w:left="0" w:right="0" w:hanging="0"/>
        <w:jc w:val="center"/>
        <w:rPr>
          <w:rFonts w:ascii="Times New Roman;Times;serif" w:hAnsi="Times New Roman;Times;serif"/>
          <w:b/>
          <w:sz w:val="20"/>
        </w:rPr>
      </w:pPr>
      <w:bookmarkStart w:id="29" w:name="PARTI_259456"/>
      <w:bookmarkStart w:id="30" w:name="_a5de9c83_00bb_4204_87de_e3a4c64e4225"/>
      <w:bookmarkEnd w:id="29"/>
      <w:bookmarkEnd w:id="30"/>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1" w:name="Item1Business_475593"/>
      <w:bookmarkEnd w:id="31"/>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Development of the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UFP Industries, Inc. (“we” or “our”) is a holding company with subsidiaries throughout North America, Europe, Asia, and Australia that design, manufacture and supply products made from wood, composites, and other materials to three markets: retail, packaging, and construction. We are headquartered in Grand Rapids, Michigan. For more information about UFP Industries, Inc., or our affiliated operations, go to www.ufpi.com.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relating to current developments in our business is incorporated by reference from our Annual Report to Shareholders for the fiscal year ended December 30, 2023 ("2023 Annual Report") under the caption "Management’s Discussion and Analysis of Financial Condition and Results of Operations." Selected portions of the 2023 Annual Report are filed as Exhibit 13 with this Form 10-K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Information About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ASC 280, </w:t>
      </w:r>
      <w:r>
        <w:rPr>
          <w:rFonts w:ascii="Times New Roman;Times;serif" w:hAnsi="Times New Roman;Times;serif"/>
          <w:i/>
          <w:sz w:val="20"/>
        </w:rPr>
        <w:t>Segment Reporting</w:t>
      </w:r>
      <w:r>
        <w:rPr>
          <w:rFonts w:ascii="Times New Roman;Times;serif" w:hAnsi="Times New Roman;Times;serif"/>
          <w:sz w:val="20"/>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Our business segments consist of UFP Retail Solutions, UFP Packaging and UFP Construction and align with the end markets we serve. Among other things, this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referred to as “All Other” throughout this report.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Corporate segment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Corporate. Inter-company lease and services charges are assessed to our operating segments for the use of these assets and services at fair market value rates.</w:t>
      </w:r>
    </w:p>
    <w:p>
      <w:pPr>
        <w:pStyle w:val="TextBody"/>
        <w:bidi w:val="0"/>
        <w:spacing w:before="0" w:after="240"/>
        <w:ind w:left="0" w:right="0" w:hanging="0"/>
        <w:jc w:val="left"/>
        <w:rPr>
          <w:rFonts w:ascii="Times New Roman;Times;serif" w:hAnsi="Times New Roman;Times;serif"/>
          <w:b/>
          <w:sz w:val="20"/>
        </w:rPr>
      </w:pPr>
      <w:bookmarkStart w:id="32" w:name="_Hlk157437567"/>
      <w:bookmarkEnd w:id="32"/>
      <w:r>
        <w:rPr>
          <w:rFonts w:ascii="Times New Roman;Times;serif" w:hAnsi="Times New Roman;Times;serif"/>
          <w:b/>
          <w:sz w:val="20"/>
        </w:rPr>
        <w:t>Narrative Description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we owned and operated a number of manufacturing facilities across North America that served our various markets, and we managed those operations primarily on a geographic basis. As part of that structure, the managers of those facilities and geographic business units were responsible for and compensated on the basis of each facility's, unit's, and region's respective financial performance. This structure fostered a strong entrepreneurial and sales culture, as well as significant revenue growth – from 2011 to 2019 our revenues increased from $1.8 billion to $4.4 billion. We believe that the duration and durability of our relationships with many of our customers, which extend over several decades with certain key customers, is a reflection of our strong sales culture and intense focus on providing custom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growth in our business, and in the size and number of our customers, generated an increased need for a deeper understanding of the markets we serve, as well as the need to offer more complete solutions, services, and products for existing and prospective customers. That need, combined with our growth objectives, required a structure that would reorient the company’s focus from geography to end markets. Our 2020 restructuring accomplished that objective and now allows us to better serve our customers, recognize and exploit market opportunities, enhance the efficiency of our operations, and improve the deployment of capital. At the same time, we continue to maintain our existing compensation philosophy and practices of rewarding the financial performance of our plants, business units, and segments, based upon pre-bonus operating profits and return on investment, to preserve our strong entrepreneurial and sales culture.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segments are functionally interdependent and are supported by common corporate services, such as accounting and finance, information technology, human resources, legal and compliance, and others. We regularly invest in automation and create best practices to improve the efficiency of our manufacturing facilities across each of the segments. The results and improvements from these investments are shared among the segments. This exchange of improvements and ideas has also prompted better and faster innovation for new products, processes, and product improvements.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Importantly, the restructuring allows us to better evaluate market conditions and opportunities, while effectively allocating capital and resources to the appropriate segments and business units. Also, we believe that the diversification and manner in which we operate our business provides an inherent hedge against the inevitable business cycles that our markets experience and over which we have little control. Accordingly, our goal is to provide stable earnings and cash flows to our shareholders. Our diversification and operating practices also mitigate the impact of volatile lumber market conditions experienced by traditional lumber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Retail Solutions segment. Our Retail Solutions segment is comprised of the following business units: ProWood, Deckorators and UFP-Edge. The segment is focused on distinct product offerings which are grouped by brands and business units. These groupings may change periodically as opportunities to gain efficiencies occur or development of products that deliver increased scale and synergy are developed.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ProWood</w:t>
      </w:r>
      <w:r>
        <w:rPr>
          <w:rFonts w:ascii="Times New Roman;Times;serif" w:hAnsi="Times New Roman;Times;serif"/>
          <w:sz w:val="20"/>
        </w:rPr>
        <w:t>. Our ProWood business unit manufactures and sells pressure-treated lumber products, including decking, fencing, and lattice, as well as decorative and functional lawn and garden products to building products retailers across the nation. This business unit includes our branded ProWood line of pressure-treated and fire-retardant products used primarily for outdoor decking environments, including associated accessories. It also includes our branded Outdoor Essentials line of lawn and garden products, consisting of wood and vinyl fencing and lattice, garden beds and planters, pergolas, picnic tables, and other landscaping products. Numerous pressure-treaters exist on local and regional scales with none approaching the volume sold by UFP. We estimate we produce approximately 28% of all residential treated wood, 9% of all wood fencing, and 8% of all fire-retardant wood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Deckorators</w:t>
      </w:r>
      <w:r>
        <w:rPr>
          <w:rFonts w:ascii="Times New Roman;Times;serif" w:hAnsi="Times New Roman;Times;serif"/>
          <w:sz w:val="20"/>
        </w:rPr>
        <w:t>. This business unit includes the manufacture of wood plastic composite and our patented Surestone mineral based composite decking and related decking accessories, including aluminum railing systems, balusters, post caps, and similar products, as well as customized, aluminum fencing. Customers include big box home improvement retailers, regional home centers and wholesale distributors. We estimate we manufacture 6% of all composite decking and railing in the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UFP-Edge</w:t>
      </w:r>
      <w:r>
        <w:rPr>
          <w:rFonts w:ascii="Times New Roman;Times;serif" w:hAnsi="Times New Roman;Times;serif"/>
          <w:sz w:val="20"/>
        </w:rPr>
        <w:t>. This business unit manufactures and sells exterior siding, pattern, trim and facia products. These products include traditional wood, engineered wood and modified wood siding with a variety of finish and profile alternatives as well as primed wood trim boards and facia. It also includes interior pattern and trim products, as well as pre-painted and primed shiplap and project boards. UFP-Edge is sold to home improvement retailers and two-step distributors.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UFP Retail Solutions has numerous competitive advantages. We are not aware of any competitor that currently manufactures, treats and distributes a full line of both value-added and commodity-based products, on a national basis, as we do within this segment. We believe the breadth of our product offering, scale and geographic dispersion, proximity of our plants to core customers and key vendors, product innovation initiatives, purchasing and manufacturing expertise, procurement advantages, and service capabilities provide us a competitive edge in this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supply customers in this segment from many of our locations. Our facilities supply mixed truckloads of products, delivered to customers with rapid turnaround. Freight costs are a factor in the ability to competitively service this market, especially with treated wood products due to their weight. The proximity of our manufacturing facilities to customer locations is factored into annual sales programs. The Retail segment services two of our largest customers, The Home Depot and Lowes, which accounted for approximately 17% and 12%, respectively, of our total net sales in fiscal 2023, 15% and 11%, respectively, in 2022, and 16% and 10%, respectively, in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M "Segment Reporting" of our Annual Report to Shareholders for the fiscal year ended December 30, 2023 for our disaggregated net sales by business unit for our Retail Solutions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Packaging segment. Formerly known as our Industrial segment, it is comprised of the following business units: Structural Packaging, PalletOne, and Protective Packaging Solutions.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Structural Packaging</w:t>
      </w:r>
      <w:r>
        <w:rPr>
          <w:rFonts w:ascii="Times New Roman;Times;serif" w:hAnsi="Times New Roman;Times;serif"/>
          <w:sz w:val="20"/>
        </w:rPr>
        <w:t>. This business unit designs, engineers, manufactures and tests custom packaging products primarily made of wood and metal. These products are custom designed, often including mixed materials, and manufactured based upon specific customer needs and requirements. We serve a wide variety of regional, national, and global customers in several end markets such as building materials, durable goods, agricultural, moving and storage, heavy equipment and automotive. We utilize combinations of various materials through industrial engineering and testing to promote the best value and functionality for our customers. In Structural Packaging there are regional companies that produce similar product lines, and small single-location competitors in most of our markets. We estimate our domestic market share in Structural Packaging to be 10-12%.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PalletOne</w:t>
      </w:r>
      <w:r>
        <w:rPr>
          <w:rFonts w:ascii="Times New Roman;Times;serif" w:hAnsi="Times New Roman;Times;serif"/>
          <w:sz w:val="20"/>
        </w:rPr>
        <w:t>. This business unit designs and manufactures pallets primarily made of wood and heat-treated wood. Our pallets are designed and manufactured in numerous sizes and configurations and are used by our customers for shipping a wide assortment of consumer and industrial products. This business unit also includes a recycling operation of previously used pallets. Keys to our success in this business unit are low-cost production through expanded automation, including robotics and high efficiency pallet machines, and the procurement of competitively priced industrial grade wood fiber. In 2022 the company acquired a 50% equity stake in Dempsey Wood Products, LLC, which produces pallet lumber and other industrial wood products in Orangeburg, South Carolina. The lumber Dempsey produces is a crucial product for pallet operations and has been in short supply as larger mills produce less of this type of lumber. PalletOne’s investment in Dempsey helps it secure and grow a critical long-term supply source. There are numerous local and regional pallet manufacturers that compete with PalletOne. We estimate that, as the largest supplier, we manufacture approximately 10% of new machine-built pallets nationally.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Protective Packaging Solutions</w:t>
      </w:r>
      <w:r>
        <w:rPr>
          <w:rFonts w:ascii="Times New Roman;Times;serif" w:hAnsi="Times New Roman;Times;serif"/>
          <w:sz w:val="20"/>
        </w:rPr>
        <w:t>. This business unit consists of a wide variety of products, such as corrugate, foam, labels, strapping and films. These products are primarily sold as additional offerings to our structural packaging products and pallets and are generally sold as a means of providing a more complete solution to our customers' packaging needs and requirements. Over the last five years, we have added additional products and services to this business unit to meet the increasing demand of our customers to provide a wider array of innovative solutions to their packaging and shipping needs. Through the acquisitions of Advantage Label in Grand Rapids, MI, and Titan Manufacturing, a highly-automated corrugate converter in Flower Mound, TX, UFP has become a manufacturer of labels and corrugate boxes, two significant growth categories for UFP Packaging.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Competitive advantages for UFP Packaging include: being a low cost pallet producer due to our supply agreements, investments in vertical integration, and level of automation in our manufacturing plants; our scale and ability to serve large global, national and regional customers; design and engineering expertise, coupled with our ability to manufacture structural packaging with mixed materials, allowing us to provide creative, value-added solutions to our customers; single-source supplier offering a wide breadth of products, allowing customers to buy more efficiently.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acquire companies across the industrial packaging spectrum with capabilities in product categories that allow us to fill geographical gaps that enhance our ability to offer valuable packaging solutions to our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M "Segment Reporting" of our Annual Report to Shareholders for the fiscal year ended December 30, 2023 for our disaggregated net sales by business unit for our Packaging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Construction segment. Our construction segment is comprised of the following business units – Factory-Built Housing, Site-Built Construction, Commercial Construction, and Concrete Forming.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Factory-Built Housing</w:t>
      </w:r>
      <w:r>
        <w:rPr>
          <w:rFonts w:ascii="Times New Roman;Times;serif" w:hAnsi="Times New Roman;Times;serif"/>
          <w:sz w:val="20"/>
        </w:rPr>
        <w:t>. This business unit designs and manufactures roof trusses, cut-to-size dimensional and board lumber, plywood, and oriented strand board, all intended for use in the construction of manufactured housing. Our customers in this market are producers of mobile, modular and prefabricated homes and, to a lesser extent, recreational vehicles (RV) and cargo trailers. Our principal competitive advantages include our product knowledge, the strength of our engineering support services, the proximity of our regional facilities to our customers, our purchasing and manufacturing expertise and our ability to provide national sales programs to certain customers. As a result of these advantages, we estimate we produce approximately 45% of all roof trusses used in factory-built housing in the United States. We also distribute products such as siding, electrical, plumbing, and many other specialty products to factory-built housing and RV customers. Customer vertical integration strategies have affected us in certain regions, and we’ve taken steps to mitigate this risk by increasing our value as a supplier through innovation and low cost production.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Site-Built Construction</w:t>
      </w:r>
      <w:r>
        <w:rPr>
          <w:rFonts w:ascii="Times New Roman;Times;serif" w:hAnsi="Times New Roman;Times;serif"/>
          <w:sz w:val="20"/>
        </w:rPr>
        <w:t>. This business unit designs and manufactures roof and floor trusses, wall panels, I-joists and lumber packages as well as engineered wood components used to frame residential and light commercial projects. Recent acquisitions, including Atlantic Prefab, Inc., Exterior Designs, LLC, and Patriot Building Systems, LLC, and Endurable Building Products have given the company manufacturing capability in alternate material components such as metal trusses, sheathed and pre-finished light gauge metal wall panels and aluminum balconies, decks and rail accessories. We’ve made a variety of investments in automation, allowing us to enhance efficiency and capacity in numerous UFP Construction operations. Our recently launched proprietary smartphone application, TrussTrax, provides a convenient, simple way for builders to track orders, shipments and engineered documents 24 hours a day, and has enjoyed wide customer adoption. Our customers in this market are primarily large-volume, multi-tract builders and smaller volume custom builders. We also supply builders engaged in multi-family and light commercial construction. We currently estimate that approximately 65% of the unit's business is for single-family homes while 35% is for multi-family structures.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Competition in site-built construction consists of numerous national and regional building products dealers who also manufacture components and/or provide framing services, as well as regional manufacturers of engineered wood components. We believe our primary competitive advantages relate to the engineering and design capabilities of our staff, purchasing and manufacturing expertise, product quality, timeliness of delivery, and financial strength, as well as providing a comprehensive turn-key package, including installation in selected markets. As a result of these strengths, we estimate we produce approximately 12% of all engineered wood components used in housing in the United States. Generally, terms of sale and pricing are determined based on contracts we enter into with our customers. We currently supply customers in these markets from manufacturing facilities in many different states, primarily located in the non-urban Northeast, mid-Atlantic, Southeast, Texas, and Colorado. We have intentionally avoided markets that have experienced more severe demand volatility for housing. Also, the states in which we have a presence are forecast to continue to benefit from migration trends in the United States. Freight costs are a factor in the ability to competitively service this market due to the space requirements of these products on each truckload. We also provide framing services for builders in certain regional markets in which we erect the wood structure.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Commercial Construction</w:t>
      </w:r>
      <w:r>
        <w:rPr>
          <w:rFonts w:ascii="Times New Roman;Times;serif" w:hAnsi="Times New Roman;Times;serif"/>
          <w:sz w:val="20"/>
        </w:rPr>
        <w:t>. Our commercial construction business unit primarily includes the operations of idX Holdings, Inc. idX is a designer, manufacturer and installer of highly customized interior fixtures, casework and architectural millwork used in a variety of retail and commercial structures. This business unit serves customers throughout North America and to a lesser extent, Asia and Europe, in healthcare, hospitality, quick service restaurants, retail, and financial, offering comprehensive, streamlined solutions and customized products while managing programs from concept through completion, on a global scale. We believe we are one of the top five custom interior environment providers globally and the largest diversified custom solutions provider.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Concrete Forming</w:t>
      </w:r>
      <w:r>
        <w:rPr>
          <w:rFonts w:ascii="Times New Roman;Times;serif" w:hAnsi="Times New Roman;Times;serif"/>
          <w:sz w:val="20"/>
        </w:rPr>
        <w:t>. This business unit designs, manufactures and supplies wood forms and related products that are used by our customers to set or form concrete for various structures, including large parking garages, stadiums, commercial structures, and infrastructure projects such as bridges. Our customers in this business unit include general contractors as well as distributors. We believe we are unique in our ability to deliver highly engineered, factory-built solutions to job sites.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the diversification of the end markets we serve in our Construction segment as well as the breadth of our products and services represent a competitive advantage.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M "Segment Reporting" of our Annual Report to Shareholders for the fiscal year ended December 30, 2023 for our disaggregated net sales by business unit for our Construction segment.</w:t>
      </w:r>
    </w:p>
    <w:p>
      <w:pPr>
        <w:pStyle w:val="TextBody"/>
        <w:bidi w:val="0"/>
        <w:spacing w:before="0" w:after="240"/>
        <w:ind w:left="0" w:right="0" w:hanging="0"/>
        <w:jc w:val="both"/>
        <w:rPr>
          <w:rFonts w:ascii="Times New Roman;Times;serif" w:hAnsi="Times New Roman;Times;serif"/>
          <w:sz w:val="20"/>
        </w:rPr>
      </w:pPr>
      <w:bookmarkStart w:id="33" w:name="_Hlk157503578"/>
      <w:bookmarkEnd w:id="33"/>
      <w:r>
        <w:rPr>
          <w:rFonts w:ascii="Times New Roman;Times;serif" w:hAnsi="Times New Roman;Times;serif"/>
          <w:sz w:val="20"/>
        </w:rPr>
        <w:t>UFP Purchasing/Suppliers. Our purchasing team manages and purchases wood fiber for each of our segments. The three main end markets for softwood lumber in North America – retail, construction, and packaging – align with our three business segments We are the largest converter of solid sawn softwood lumber from North American primary producers (lumber mills). For 2023, we estimate we purchased approximately 8% of the 51.5 billion board feet of North America softwood lumber production. The volume and variety of lumber dimensions purchased allows us to consume all grades and dimensions of what many of our mill suppliers produce, effecting and maintaining long-term, beneficial relationships with many of those suppliers. In turn, this has allowed us to better manage our raw materials inventory (including vendor-managed inventory), lower our costs, and mitigate the volatility of lumber prices.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primarily southern yellow pine in our pressure-treating operations and our site-built housing, structural packaging, and machine-built pallet operations in the Southeastern United States. Southern yellow pine is sourced from mills ranging from Texas to the Carolinas. We also use spruce-pine-fir from both Eastern and Western Canada; hemlock, douglas fir and cedar from the Pacific Northwest; inland species of pine, plantation grown radiata and southern yellow pines from South America; and various European softwoods. During 2023 our annual purchases of lumber totaled approximately $2.2 billion and consisted of the following species and their respective percent of total lumber purchases: southern yellow pine (69%), spruce-pine-fir (13%), and douglas fir (2%), while the remaining 16% of lumber purchases comprise various other species and imports outside of North America. Additionally, we purchased approximately $571.7 million in plywood in 2023. There are numerous primary producers for all varieties we use, and we are not dependent on any particular source of supply.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Intellectual Property. We own numerous patents and have several patents pending on technologies related to our business. Examples include our Deckorators brand of composite decking and railing and its proprietary, patented Surestone technology used to produce mineral-based composite decking; Trusstrax, mobile application offered to our Site-Built customers; and the ProWood brand of pressure-treated lumber and outdoor living products.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Backlog.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a customer's requirements. In such cases, either we are able to forecast the customer's requirements, or the customer may provide an estimate of its future needs. In neither case, however, will we receive firm orders until just prior to the anticipated delivery dates for the products ordered.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30, 2023 and December 31, 2022, we estimate that backlog orders associated with our customized interior fixture businesses approximated $59.2 million and $90.1 million, respectively. Cancelled orders have been removed from the prior year figure.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30, 2023 and December 31, 2022, we estimate that backlog orders associated with our site-built construction businesses approximated $79.7 million and $91.1 million, respectively. We expect that the orders above will be primarily filled within the next fiscal year; however, it is possible that some orders could be canceled.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Environmental. Information required for environmental disclosures is incorporated by reference from Note L of the Consolidated Financial Statements presented under Item 8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Seasonality. Information required for seasonality disclosures is incorporated by reference from Item 1A. Risk Factors under the caption “</w:t>
      </w:r>
      <w:r>
        <w:rPr>
          <w:rFonts w:ascii="Times New Roman;Times;serif" w:hAnsi="Times New Roman;Times;serif"/>
          <w:i/>
          <w:sz w:val="20"/>
        </w:rPr>
        <w:t>Seasonality and weather conditions, including those arising from climate change, could adversely affect us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Human Capital Management. On December 30, 2023, we had approximately 15,800 employees. For nearly 70 years, the success of our company has rested on the skill, motivation and performance of our employees. We treat our people honestly and fairly, creating career paths and training opportunities to develop and expand their scope of responsibilities and financial rewards. This approach to human capital, which is embedded in the Company's culture, has fostered an environment where our employees often commit their respective careers to UFP Industries,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Environmental, Social, and Governance. Matters of sustainability, health and safety, employee welfare, supply chain management, and community engagement are managed by our executive team, with oversight from our Nominating and Corporate Governance and Personnel and Compensation Committees. In March 2023, we published on our website our fiscal year 2022 “Governance Report,” detailing our responsible practices as well as our future outlook. We anticipate publishing on our website our fiscal year 2023 Governance Report during the second quarter of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manufacturing operations have a long history of environmental stewardship through efficiency and energy savings, waste management, and responsible product sourcing. We quantified our 2022 Scope 1 and Scope 2 greenhouse gas (GHG) emissions in our fiscal year 2022 Governance Report and plan to disclose our 2023 Scope 1 and Scope 2 GHG emissions in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driven by operational excellence throughout the enterprise and by cultivating a unique culture that provides significant opportunity for professional and personal growth. In managing our human capital, we have focused our efforts on employee health and safety, equal opportunity for all, and learning and development.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UFP we welcome all who are willing to work hard. We do not discriminate in hiring, promotion, or opportunity – we believe the best performers should be rewarded commensurately. We prefer hiring people with potential and helping them grow and achieve their goals within our company. To provide opportunity to a broader base of our teammates we removed the requirement of a 4-year degree for sales and management positions and give credit for work experience. We use our internal training programs and UFP Business School to help employees gain functional knowledge and hone the skills and competencies that allow them advancement to greater roles and responsibilities.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long history of supporting talented and hard-working employees go from factory floor to management, sales and operations roles. These transformations require diligence and dedication, and they demonstrate that regardless of background, our teammates at UFP have a chance to make a better life for themselves and their families. We also recognize the need to hire talented individuals from outside the company who bring special expertise and innovative skills to UFP.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"Our Company - Governance" is our Code of Ethics for Senior Financial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Reports to Security 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Enforceability of Civil Liabilities Against Foreign Persons.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rFonts w:ascii="Times New Roman;Times;serif" w:hAnsi="Times New Roman;Times;serif"/>
          <w:b/>
          <w:sz w:val="20"/>
        </w:rPr>
      </w:pPr>
      <w:bookmarkStart w:id="34" w:name="Item1ARiskFactors_809047"/>
      <w:bookmarkStart w:id="35" w:name="_d0fbb0cd_5b0f_4fef_a5b2_fb076c95b5d2"/>
      <w:bookmarkEnd w:id="34"/>
      <w:bookmarkEnd w:id="35"/>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Pressures from various global and national macroeconomic events, including recessionary concerns, heightened inflation, uncertainty regarding future interest rates, foreign currency exchange rate fluctuations, recent adverse weather conditions, escalating tensions in the Middle East, the continuation of the Russia-Ukraine war, and potential governmental responses to these events have created, and continue to create, significant economic uncertainty and could materially and adversely impact our financial performance. </w:t>
      </w:r>
      <w:r>
        <w:rPr>
          <w:rFonts w:ascii="Times New Roman;Times;serif" w:hAnsi="Times New Roman;Times;serif"/>
          <w:sz w:val="20"/>
        </w:rPr>
        <w:t>The extent to which these macroeconomic pressures may impact our business, results of operations, costs and financial condition will depend on future developments, which continue to be highly uncertain and difficult to predict. While we have planned for and anticipate a mild U.S. recession continuing into 2024, any one or more of the above macroeconomic factors could result in a more severe and longer recessionary cycle, which would have an adverse and potentially material impact on our business and financial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We may be impacted by a significant change in the value of the U.S. dollar and our results of operations may be harmed by currency fluctuations and inflation. </w:t>
      </w:r>
      <w:r>
        <w:rPr>
          <w:rFonts w:ascii="Times New Roman;Times;serif" w:hAnsi="Times New Roman;Times;serif"/>
          <w:sz w:val="20"/>
        </w:rPr>
        <w:t>We purchase a variety of raw materials and finished goods from sources around the world and export certain products. The impact of a change in U.S. dollar exchange rates, and inflation, would impact our import purchases and export sales, which totaled $391.2 million and $246.3 million, respectively, in 2023. In addition, many of our packaging customers export their products; consequently, any adverse impact on those customers from currency fluctuations and inflation may have an adverse impact on our sales to those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Our growth may be limited by the customer demand in the markets we serve, including our construction market which is highly cyclical. </w:t>
      </w:r>
      <w:r>
        <w:rPr>
          <w:rFonts w:ascii="Times New Roman;Times;serif" w:hAnsi="Times New Roman;Times;serif"/>
          <w:sz w:val="20"/>
        </w:rPr>
        <w:t>Our sales growth is dependent, in part, upon the growth of the markets we serve. If our markets do not achieve anticipated growth, or if we fail to maintain our market share, financial results could be impaired.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are subject to fluctuations in the price of lumber</w:t>
      </w:r>
      <w:r>
        <w:rPr>
          <w:rFonts w:ascii="Times New Roman;Times;serif" w:hAnsi="Times New Roman;Times;serif"/>
          <w:sz w:val="20"/>
        </w:rPr>
        <w:t>. We experience significant fluctuations in the cost of commodity 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including plywood, as a percentage of net sales were 43.5% in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 significant portion of our sales are concentrated with two customers</w:t>
      </w:r>
      <w:r>
        <w:rPr>
          <w:rFonts w:ascii="Times New Roman;Times;serif" w:hAnsi="Times New Roman;Times;serif"/>
          <w:sz w:val="20"/>
        </w:rPr>
        <w:t>. Our sales to The Home Depot and Lowes comprised 17% and 12%, respectively, of our total net sales in fiscal 2023, 15% and 11%, respectively, in 2022, and 16% and 10%, respectively, in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may be impacted by vertical integration strategies.</w:t>
      </w:r>
      <w:r>
        <w:rPr>
          <w:rFonts w:ascii="Times New Roman;Times;serif" w:hAnsi="Times New Roman;Times;serif"/>
          <w:sz w:val="20"/>
        </w:rPr>
        <w:t xml:space="preserve"> In certain markets and product lines, our customers or vendors could pursue vertical integration strategies that could have an adverse effect on our sales. We strive to add value and be a low-cost producer while maintaining competitive pricing in each of our markets to mitigate this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We may be impacted by industry capacity of products we supply. </w:t>
      </w:r>
      <w:r>
        <w:rPr>
          <w:rFonts w:ascii="Times New Roman;Times;serif" w:hAnsi="Times New Roman;Times;serif"/>
          <w:sz w:val="20"/>
        </w:rPr>
        <w:t>From time to time, we may experience excess capacity among suppliers of certain products in some of the markets we serve. Our selling prices and profitability are impacted during periods of shortages or excess industry capacity relative to market demand. We may also experience limited capacity among suppliers of certain products as a result of supply chain challenges, which may impact our profitability and ability to meet sales objectives.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Our growth may be limited by our ability to make successful acquisitions. </w:t>
      </w:r>
      <w:r>
        <w:rPr>
          <w:rFonts w:ascii="Times New Roman;Times;serif" w:hAnsi="Times New Roman;Times;serif"/>
          <w:sz w:val="20"/>
        </w:rPr>
        <w:t>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We may be adversely affected by the impact of environmental and safety regulations. </w:t>
      </w:r>
      <w:r>
        <w:rPr>
          <w:rFonts w:ascii="Times New Roman;Times;serif" w:hAnsi="Times New Roman;Times;serif"/>
          <w:sz w:val="20"/>
        </w:rPr>
        <w:t>We are subject to the requirements 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Seasonality and weather conditions, including those arising from climate change, could adversely affect us</w:t>
      </w:r>
      <w:r>
        <w:rPr>
          <w:rFonts w:ascii="Times New Roman;Times;serif" w:hAnsi="Times New Roman;Times;serif"/>
          <w:sz w:val="20"/>
        </w:rPr>
        <w:t>. Some aspects of our business are seasonal in nature and 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 To the extent changes in the world’s climate have a greater impact on adverse weather conditions, we would expect more variability in our business operations and results. Climate change, which could result in more and more severe and adverse weather events, would likely create greater volatility in our financial results. In addition, it is possible that new legislation or regulation enacted to address the impact of climate change could increase costs for us and our suppliers, including costs associated with raw materials, energy, production, transportation, environmental monitoring and reporting, and capital expenditures.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Inbound and outbound transportation costs represent a significant part of our cost structure. </w:t>
      </w:r>
      <w:r>
        <w:rPr>
          <w:rFonts w:ascii="Times New Roman;Times;serif" w:hAnsi="Times New Roman;Times;serif"/>
          <w:sz w:val="20"/>
        </w:rPr>
        <w:t>An increase in fuel and other operating expenses will significantly increase our costs. While we attempt to pass these costs along to our customers, there can be no assurance that they would agree to these price increases. Our total inbound and outbound transportation costs were approximately 9.4%, 7.4%, and 7.3% of net sales in 2023, 2022, and 2021,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New alternatives may be developed to replace traditional treated wood products. </w:t>
      </w:r>
      <w:r>
        <w:rPr>
          <w:rFonts w:ascii="Times New Roman;Times;serif" w:hAnsi="Times New Roman;Times;serif"/>
          <w:sz w:val="20"/>
        </w:rPr>
        <w:t>The manufacturers of wood preservatives 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Cybersecurity breaches or a failure in our e-commerce operations could disrupt our business. </w:t>
      </w:r>
      <w:r>
        <w:rPr>
          <w:rFonts w:ascii="Times New Roman;Times;serif" w:hAnsi="Times New Roman;Times;serif"/>
          <w:sz w:val="20"/>
        </w:rPr>
        <w:t>We rely upon information technology systems and network 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 Additionally, consumers are increasingly shopping online and through mobile commerce applications. As a result, we are vulnerable to additional risks and uncertainties associated with e-commerce sales, including rapid changes in technology, website downtime and other technical failures, security breaches, cyber-attacks, consumer privacy concerns, changes in state tax regimes and government regulation of internet activities. Our failure to successfully respond to these risks and uncertainties could reduce our e-commerce sales and increase our costs, which could negatively impact our results of operations. In addition, there is no guarantee that we will be able to expand our e-commerce business. Our competitors may have e-commerce businesses that are substantially larger and more developed than ours, which could place us at a competitive disadvantage.</w:t>
      </w:r>
    </w:p>
    <w:p>
      <w:pPr>
        <w:pStyle w:val="TextBody"/>
        <w:bidi w:val="0"/>
        <w:spacing w:before="0" w:after="240"/>
        <w:ind w:left="0" w:right="0" w:hanging="0"/>
        <w:jc w:val="both"/>
        <w:rPr>
          <w:rFonts w:ascii="Times New Roman;Times;serif" w:hAnsi="Times New Roman;Times;serif"/>
          <w:sz w:val="20"/>
        </w:rPr>
      </w:pPr>
      <w:bookmarkStart w:id="36" w:name="_Hlk536122627"/>
      <w:bookmarkEnd w:id="36"/>
      <w:r>
        <w:rPr>
          <w:rFonts w:ascii="Times New Roman;Times;serif" w:hAnsi="Times New Roman;Times;serif"/>
          <w:b/>
          <w:i/>
          <w:sz w:val="20"/>
        </w:rPr>
        <w:t>We may be impacted by new tariffs and duties on U.S. imports and foreign export sales.</w:t>
      </w:r>
      <w:r>
        <w:rPr>
          <w:rFonts w:ascii="Times New Roman;Times;serif" w:hAnsi="Times New Roman;Times;serif"/>
          <w:sz w:val="20"/>
        </w:rPr>
        <w:t xml:space="preserve"> Instability of established free trade agreements may lead to raw material and finished goods price volatility. An increase in foreign tariffs on U.S. goods could curtail our export sales to other countries which was approximately $246.3 million in 2023.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are impacted by tariffs were approximately $391.2 million in 2023, including UFP’s U.S. import of Canadian Softwood Lumber of approximately $223.8 million, which is the largest imported commodity. In addition, there is a risk that U.S. tariffs on imports and countering tariffs on U.S. exports could trigger broader international trade conflicts that could adversely impact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Our financial results could be negatively impacted by costs associated with product liability, casualty, manufacturing and construction defects, and other claims. </w:t>
      </w:r>
      <w:r>
        <w:rPr>
          <w:rFonts w:ascii="Times New Roman;Times;serif" w:hAnsi="Times New Roman;Times;serif"/>
          <w:sz w:val="20"/>
        </w:rPr>
        <w:t>From time to time, we are exposed to claims relating to product liability, casualty events, manufacturing and construction defects, and similar claims, including as the result of the conduct of our employees and subcontractors. These claims could have a negative impact on our results of operation and financial condition, including through increased litigation costs, insurance-related costs, and damage to our reputation and customer relationships.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We may be adversely affected by the impact of pandemics and similar outbreaks.</w:t>
      </w:r>
      <w:r>
        <w:rPr>
          <w:rFonts w:ascii="Times New Roman;Times;serif" w:hAnsi="Times New Roman;Times;serif"/>
          <w:sz w:val="20"/>
        </w:rPr>
        <w:t xml:space="preserve"> Disease outbreaks, such as the recent COVID-19 pandemic, could have an adverse impact on the Company's operations and financial results. These outbreaks may adversely impact our business, consolidated results of operations and financial condition. Any such outbreak, as well as measures taken by governmental authorities and businesses to limit the spread of any outbreak, may result in adverse changes in customer demand and our sales, interfere with the ability of our employees and suppliers to perform and function in a manner consistent with targeted objectives and otherwise adversely impact the efficiency of our operations. This may cause us to materially curtail certain segments and could have a material adverse effect on the results of our operations and cash flow.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Adverse economic conditions and our customers’ ability to operate may impact their ability to pay.</w:t>
      </w:r>
      <w:r>
        <w:rPr>
          <w:rFonts w:ascii="Times New Roman;Times;serif" w:hAnsi="Times New Roman;Times;serif"/>
          <w:sz w:val="20"/>
        </w:rPr>
        <w:t xml:space="preserve"> This may result in higher write-offs of receivables than we normally experience. We continue to monitor our customers’ business activities, payment patterns, and credit profiles carefully and make changes in our terms when necessary in response to this risk. As a result, our accounts receivable aging as of December 30, 2023 was approximately 91% current. Our bad debt expense as a percentage of sales was 0.03%, 0.15%, and 0.01%, in 2023, 2022, and 2021, respectively. During the most difficult collection period of the Great Recession, from 2008 through 2010, our bad debt expense as a percentage of sales averaged 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7" w:name="Item1BUnresolvedStaffComments_200156"/>
      <w:bookmarkStart w:id="38" w:name="_7a4795fb_cfdb_4a86_8937_eda8c1291735"/>
      <w:bookmarkEnd w:id="37"/>
      <w:bookmarkEnd w:id="38"/>
      <w:r>
        <w:rPr>
          <w:rFonts w:ascii="Times New Roman;Times;serif" w:hAnsi="Times New Roman;Times;serif"/>
          <w:b/>
          <w:sz w:val="20"/>
        </w:rPr>
        <w:t>Item 1B. Unresolved Staff Comments.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9" w:name="_3b93a865_d337_43da_8652_dc007e3a8610"/>
      <w:bookmarkStart w:id="40" w:name="_Hlk126515105"/>
      <w:bookmarkStart w:id="41" w:name="Item1CCybersecurity"/>
      <w:bookmarkEnd w:id="39"/>
      <w:bookmarkEnd w:id="40"/>
      <w:bookmarkEnd w:id="41"/>
      <w:r>
        <w:rPr>
          <w:rFonts w:ascii="Times New Roman;Times;serif" w:hAnsi="Times New Roman;Times;serif"/>
          <w:b/>
          <w:sz w:val="20"/>
        </w:rPr>
        <w:t>Item 1C. Cybersecurity.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from Cybersecurity Threats. Information relating to risks from cybersecurity threats is included in this report in Item 1A under the caption “</w:t>
      </w:r>
      <w:r>
        <w:rPr>
          <w:rFonts w:ascii="Times New Roman;Times;serif" w:hAnsi="Times New Roman;Times;serif"/>
          <w:i/>
          <w:sz w:val="20"/>
        </w:rPr>
        <w:t>Cybersecurity breaches or a failure in our e-commerce operations and could disrupt our business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manage and oversee a cybersecurity risk program designed to evaluate potential threats, vulnerabilities, and the potential impact on our operations, data, and stakeholders. This program undergoes regular reviews and updates to address emerging risks. Our process for addressing risk aligns with industry standards as outlined in the NIST Cybersecurity Framework, NIST Risk Management Framework, and CIS Top 18 Security Controls.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utilize a three-step process to effectively manage cybersecurity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Identify</w:t>
      </w:r>
      <w:r>
        <w:rPr>
          <w:rFonts w:ascii="Times New Roman;Times;serif" w:hAnsi="Times New Roman;Times;serif"/>
          <w:sz w:val="20"/>
        </w:rPr>
        <w:t> We establish an understanding of our critical operational assets and those that could be attractive to potential threat actors. We consider any cyber activity that could diminish an asset’s value, hinder our ability to use or access the asset, or covertly allow a threat actor to gain access to an asset as a potential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Assess</w:t>
      </w:r>
      <w:r>
        <w:rPr>
          <w:rFonts w:ascii="Times New Roman;Times;serif" w:hAnsi="Times New Roman;Times;serif"/>
          <w:sz w:val="20"/>
        </w:rPr>
        <w:t> We evaluate the exposure of our assets to identified cyber risks and the potential impacts on our operations or reputation if we were unable to access or utilize an asset or realize its value, or if a threat actor gained access to an asset or its value. We also assess the potential materiality of these risks based on their potential impact on our operations or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Manage</w:t>
      </w:r>
      <w:r>
        <w:rPr>
          <w:rFonts w:ascii="Times New Roman;Times;serif" w:hAnsi="Times New Roman;Times;serif"/>
          <w:sz w:val="20"/>
        </w:rPr>
        <w:t> We apply a multi-layered defense strategy to maintain our ability to access or utilize an asset or its value and prevent threat actors from gaining or increasing their access to an asset or its value. We prioritize our defensive mechanisms, including administrative, procedural, and technical controls, based on their cost-effectiveness and their ability to reduce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Periodically, we engage consultants and other third parties to assist in the continued improvement of our cybersecurity program. These engagements are designed to enhance our cybersecurity posture, and we work closely with these experts to help us identify and address vulnerabilities. Examples of these engagements include penetration testing, risk assessments, and cybersecurity control audits.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maintain policies and procedures to oversee and identify cybersecurity risks associated with our third-party service providers, especially those with access to customer and employee data. Our selection and oversight of these providers incorporate cybersecurity considerations, including contractual and other mechanisms to mitigate and continually monitor risks.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undertake proactive activities to prevent, detect, and minimize the impact of cybersecurity incidents. We maintain an incident response plan to respond to breaches and minimize disruption to our operations swiftly. The incident response process is consistently tested and reviewed through simulated incidents. To bolster the incident response process, we have business continuity, contingency, and recovery plans to ensure operational resilience during a cybersecurity incident. Previous cybersecurity incidents guide continuous improvements in our governance, policies, procedures, and technology. We use these lessons to strengthen our cybersecurity defenses.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Cybersecurity threats and risks, to include any previous cybersecurity incidents, have not materially affected, or are not reasonably likely to materially affect, our business strategy, results of operations, or financial condition. We have not, as of the date of this filing, experienced a cybersecurity breach that has materially affected our business or financial condition. However, because our business involves the collection, transmission, and storage of certain customer and employee data, it is possible that we could be susceptible to various cybersecurity threats, including cyberattacks, unauthorized access, and similar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committed to the ongoing identification and management of cybersecurity risks as part of our business strategy, financial planning, and capital allocation. We strive to incorporate cybersecurity considerations into all aspects of our operations. As the cybersecurity landscape evolves, so does our strategy to identify and mitigate these risks. We continuously work towards enhancing our processes to ensure an effective cybersecurity posture.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of Directors and Management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Board of Directors Oversight. We recognize the critical importance of cybersecurity and data protection and understand the potential harm to our business from cybersecurity incidents. Accordingly, we place a high priority on mitigating risks associated with cybersecurity threats and any cybersecurity incidents.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management maintains primary responsibility for the risk management of the Company, including cybersecurity risks. The Board’s Audit Committee is responsible for the oversight of risks associated with cybersecurity threats. The Audit Committee Charter provides that the Committee is responsible for reviewing management’s assessment of the Company’s information technology process framework and practices and the controls implemented to monitor and mitigate information technology risks. In addition, as part of the Audit Committee’s quarterly meetings and as provided for in its Charter, the Committee receives reports and briefings from the Company’s Chief Information Officer (CIO), Director of Cybersecurity, and management’s cybersecurity team. Those reports and briefings include management’s review of emerging cybersecurity developments and threats, the Company’s risk relating to cybersecurity, and the Company’s strategy to mitigate data protection and cybersecurity risks. The Audit Committee has the authority to obtain advice and input from external cybersecurity resources to assist in its oversight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Management’s Role. Our management team is actively engaged in assessing and managing material risks from cybersecurity threats. We have established a robust framework for identifying, evaluating, and mitigating these risks.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Responsibility for Cybersecurity Risks</w:t>
      </w:r>
      <w:r>
        <w:rPr>
          <w:rFonts w:ascii="Times New Roman;Times;serif" w:hAnsi="Times New Roman;Times;serif"/>
          <w:sz w:val="20"/>
        </w:rPr>
        <w:t>. Our CIO has developed expertise in cybersecurity, compliance, enterprise architecture and design, data analytics, digital transformation, and customer service through years of experience in the information technology space. Our Director of Cybersecurity is designated as the senior executive responsible for cybersecurity and reports directly to our CIO. He has a comprehensive information technology background with 30 years of information technology experience, to include 10 years of systems architecture and design, 12 years of management, and 14 years of service in managing, or assisting in managing, cybersecurity related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support the CIO and Director of Cybersecurity in managing cybersecurity risks, we established a cross-functional cybersecurity team that includes experts in various aspects of information security. Combined, this team of employees includes individuals with over 85 years of prior work experience in cybersecurity and data protection. These individuals are responsible for the day-to-day implementation of our cybersecurity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cybersecurity management team regularly consults with additional resources, to include attorneys, accountants, human resources personnel, and other information technology specialists, to determine materiality for cybersecurity related risks and incidents. There is an established Incident Response Plan that clearly identifies escalation measures based on the impact to our organization.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Processes for Monitoring and Mitigating Risks and Incidents.</w:t>
      </w:r>
      <w:r>
        <w:rPr>
          <w:rFonts w:ascii="Times New Roman;Times;serif" w:hAnsi="Times New Roman;Times;serif"/>
          <w:sz w:val="20"/>
        </w:rPr>
        <w:t xml:space="preserve"> We employ a comprehensive set of processes to monitor and mitigate cybersecurity risks. These processes include:</w:t>
      </w:r>
    </w:p>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Continuous monitoring of network traffic and systems for signs of potential threats.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vulnerability assessments and penetration testing to identify and address weaknesses.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cybersecurity measures, such as firewalls, intrusion detection systems, and data encryption.</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training and awareness programs to educate staff about cybersecurity best practices.</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plans to ensure swift and effective responses to cybersecurity incidents.</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and Vendor Risk Assessments.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Vulnerability management solution to prioritize patches based on risk.</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Privileged account management solutions for administrative access.</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These processes are designed to prevent cybersecurity incidents, but also allows our organization to quickly detect and respond to incidents if they do occur. They are regularly reviewed and updated to adapt to evolving cybersecurity threats.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incidents occur, we have a comprehensive Incident Response Plan in place. The Plan includes materiality qualifiers based on the size and scope of the incident. Furthermore, there is an escalation matrix that identifies who is directly involved with managing the incident based on the severity. An Incident Report is compiled for all incidents, regardless of materiality. Management reviews the incident reports and ensures all incidents are mitigated and remediated effectively. These reports are shared with the CIO, CFO, and Audit Committee so they can effectively manage resources to reduce risk and prevent future incidents.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i/>
          <w:sz w:val="20"/>
        </w:rPr>
        <w:t>Reporting to the Board.</w:t>
      </w:r>
      <w:r>
        <w:rPr>
          <w:rFonts w:ascii="Times New Roman;Times;serif" w:hAnsi="Times New Roman;Times;serif"/>
          <w:b/>
          <w:sz w:val="20"/>
        </w:rPr>
        <w:t xml:space="preserve"> </w:t>
      </w:r>
      <w:r>
        <w:rPr>
          <w:rFonts w:ascii="Times New Roman;Times;serif" w:hAnsi="Times New Roman;Times;serif"/>
          <w:b w:val="false"/>
          <w:sz w:val="20"/>
        </w:rPr>
        <w:t>As noted above, our CIO, Director of Cybersecurity, and cybersecurity team provide quarterly updates and reports to our Audit Committee on cybersecurity risks as well as a review of the processes described above. Our management personnel are also required to provide more frequent updates to the Audit Committee on major developments regarding cybersecurity matters. The Committee, in turn, provides regular updates to the Board on these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rFonts w:ascii="Times New Roman;Times;serif" w:hAnsi="Times New Roman;Times;serif"/>
          <w:b/>
          <w:sz w:val="20"/>
        </w:rPr>
      </w:pPr>
      <w:bookmarkStart w:id="42" w:name="Item2Properties_518865"/>
      <w:bookmarkStart w:id="43" w:name="_4a545e1f_c25f_4e79_b8a3_27f187187461"/>
      <w:bookmarkEnd w:id="42"/>
      <w:bookmarkEnd w:id="43"/>
      <w:r>
        <w:rPr>
          <w:rFonts w:ascii="Times New Roman;Times;serif" w:hAnsi="Times New Roman;Times;serif"/>
          <w:b/>
          <w:sz w:val="20"/>
        </w:rPr>
        <w:t>Item 2. Properties.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corporate headquarters building is located in suburban Grand Rapids, Michigan. We currently have approximately 219 facilities located throughout the United States, Canada, Mexico, Europe, Asia, and Australia. Depending upon function and location, these facilities typically utilize office, manufacturing, and indoor and outdoor storage space.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our property locations assigned by the primary segment the plant serves.</w:t>
      </w:r>
    </w:p>
    <w:tbl>
      <w:tblPr>
        <w:tblW w:w="7156" w:type="dxa"/>
        <w:jc w:val="left"/>
        <w:tblInd w:w="0" w:type="dxa"/>
        <w:tblLayout w:type="fixed"/>
        <w:tblCellMar>
          <w:top w:w="0" w:type="dxa"/>
          <w:left w:w="0" w:type="dxa"/>
          <w:bottom w:w="0" w:type="dxa"/>
          <w:right w:w="0" w:type="dxa"/>
        </w:tblCellMar>
      </w:tblPr>
      <w:tblGrid>
        <w:gridCol w:w="1516"/>
        <w:gridCol w:w="109"/>
        <w:gridCol w:w="1681"/>
        <w:gridCol w:w="109"/>
        <w:gridCol w:w="1906"/>
        <w:gridCol w:w="109"/>
        <w:gridCol w:w="172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62660" cy="175260"/>
                      <wp:effectExtent l="0" t="0" r="0" b="0"/>
                      <wp:wrapNone/>
                      <wp:docPr id="1" name="Frame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10310" cy="175260"/>
                      <wp:effectExtent l="0" t="0" r="0" b="0"/>
                      <wp:wrapNone/>
                      <wp:docPr id="5" name="Frame5"/>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096010" cy="175260"/>
                      <wp:effectExtent l="0" t="0" r="0" b="0"/>
                      <wp:wrapNone/>
                      <wp:docPr id="7" name="Frame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56"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 SEGMENT</w: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c>
          <w:tcPr>
            <w:tcW w:w="109" w:type="dxa"/>
            <w:tcBorders/>
            <w:vAlign w:val="center"/>
          </w:tcPr>
          <w:p>
            <w:pPr>
              <w:pStyle w:val="TableContents"/>
              <w:bidi w:val="0"/>
              <w:spacing w:before="0" w:after="1"/>
              <w:ind w:left="0" w:right="0" w:hanging="0"/>
              <w:jc w:val="left"/>
              <w:rPr/>
            </w:pPr>
            <w:r>
              <w:rPr/>
              <w:t>​</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Athens, AL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Miami, FL*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Bartow, FL</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Moneta, VA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Belchertown, MA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Mosheim, TN</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Bennett, IA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Moultrie, GA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Bonner, MT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Ponce, PR</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Brunswick,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Poulsbo, WA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Callao, VA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Prairie du Chien, WI</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Dodgeville, WI</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Rancho Cucamonga, CA*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Elizabeth City, NC*</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Ranson, WV*</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Fairless Hills, PA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Ringgold, GA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Fort Worth, TX</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Rockledge, FL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Grand Rapids, MI</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Rockwell, NC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Greeneville, TN</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Saginaw, TX*</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Hamilton, OH</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Schertz, TX*</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Hampton, VA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Selma, 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Hazelhurst,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Silsbee, TX</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Howell, MI</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Stockertown, PA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Idabel, OK</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Tampa, FL</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Janesville, WI*</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Thomaston, GA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Kearneysville, WV*</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Tipton, IA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Lansing, MI*</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Union City, GA*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Lockhart, FL</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White Bear Lake, MN*</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Louisville, AL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White Pigeon, MI</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Matthews, NC</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Windsor, CO*</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54</w:t>
            </w:r>
          </w:p>
        </w:tc>
      </w:tr>
      <w:tr>
        <w:trPr/>
        <w:tc>
          <w:tcPr>
            <w:tcW w:w="15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7156"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 SEGMENT</w: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c>
          <w:tcPr>
            <w:tcW w:w="109" w:type="dxa"/>
            <w:tcBorders/>
            <w:vAlign w:val="center"/>
          </w:tcPr>
          <w:p>
            <w:pPr>
              <w:pStyle w:val="TableContents"/>
              <w:bidi w:val="0"/>
              <w:spacing w:before="0" w:after="1"/>
              <w:ind w:left="0" w:right="0" w:hanging="0"/>
              <w:jc w:val="center"/>
              <w:rPr/>
            </w:pPr>
            <w:r>
              <w:rPr/>
              <w:t>​</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Adairsville, GA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Martin, TN</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Ashburn,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McMinnville, OR*</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Auburndale, FL*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Milwaukee, WI</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Barnesville,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Minneota, MN*</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Bartow, FL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Mocksville, NC</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Blanchester, OH</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Morristown, TN</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Blue Island, IL*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Muscle Shoals, 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Burnsville, MN</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Nappanee, IN</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Butner, NC</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Boston, TX</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Chaffee, NY</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London, WI</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Chandler, AZ*</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Newnan, GA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Chase City, VA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Newton, NC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Clarksville, TX</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Orangeburg, SC</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Clearfield, UT*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Parker, PA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Dallas, TX</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Peru, IL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Delano, PA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Port Arthur, TX</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Douglas, GA*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Prattville, 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Eatonton,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Riverside, CA*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Flower Mound, TX</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Robertsdale, 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Forsyth,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Rowesville, SC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Franklinton, NC*</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Salina, KS*</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Gilmer, TX</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Salisbury, NC*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Grand Rapids, MI</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Sharon, TN</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Grandview, TX</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w:t>
            </w:r>
          </w:p>
        </w:tc>
        <w:tc>
          <w:tcPr>
            <w:tcW w:w="109"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Shawnee, OK</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Harrisonville, MO*</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Shipshewana, IN</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tbl>
      <w:tblPr>
        <w:tblW w:w="8191" w:type="dxa"/>
        <w:jc w:val="left"/>
        <w:tblInd w:w="0" w:type="dxa"/>
        <w:tblLayout w:type="fixed"/>
        <w:tblCellMar>
          <w:top w:w="0" w:type="dxa"/>
          <w:left w:w="0" w:type="dxa"/>
          <w:bottom w:w="0" w:type="dxa"/>
          <w:right w:w="0" w:type="dxa"/>
        </w:tblCellMar>
      </w:tblPr>
      <w:tblGrid>
        <w:gridCol w:w="2476"/>
        <w:gridCol w:w="109"/>
        <w:gridCol w:w="1681"/>
        <w:gridCol w:w="109"/>
        <w:gridCol w:w="1981"/>
        <w:gridCol w:w="109"/>
        <w:gridCol w:w="1726"/>
      </w:tblGrid>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Hartford, WI</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Siler City, NC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Hazelhurst, GA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Snohomish, WA*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Kansas City, MO</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Thornton, CA*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Lawrenceburg, TN</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Warrens, WI*</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Livermore Falls, ME</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Wenatchee, WA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Magna, UT*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Woodburn, OR*</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Marietta,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Yakima, WA</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77</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8191"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 SEGMENT</w:t>
            </w:r>
          </w:p>
        </w:tc>
      </w:tr>
      <w:tr>
        <w:trPr/>
        <w:tc>
          <w:tcPr>
            <w:tcW w:w="24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c>
          <w:tcPr>
            <w:tcW w:w="109" w:type="dxa"/>
            <w:tcBorders/>
            <w:vAlign w:val="center"/>
          </w:tcPr>
          <w:p>
            <w:pPr>
              <w:pStyle w:val="TableContents"/>
              <w:bidi w:val="0"/>
              <w:spacing w:before="0" w:after="1"/>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Athena, OR</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Jefferson, GA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Auburn, NY</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Jeffersonville, IN</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Aurora, CO</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Kyle, TX</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Bangalore, India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Lafayette, CO</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Belchertown, MA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Lenoir City, TN</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Berlin, NJ</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Liberty, NC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Berthoud, CO</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Locust, NC</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Bridgeton, MO</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Londonderry, NH</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Brooklyn Center, MN</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Nampa, ID*</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Burlington, NC</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Naugatuck, CT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Cedar Hill, TX</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London, NC*</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Chesapeake, VA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Waverly, TX*</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Chicago, IL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Windsor, MD</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Chicopee, MA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Ontario, CA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Clinton, NC</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Ooltewah, TN</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Conway, SC</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Pearisburg, VA*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Cordele, GA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Plainville, MA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Dayton, OH</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San Antonio, TX</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DuBois, PA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Shippenville, PA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Edwardsburg, MI*</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Sidney, NY</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Elkhart, IN</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Stafford, TX</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Folkston, GA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Stanfield, NC</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Fredericksburg, VA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Swindon, United Kingdom</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Gordon, PA*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Temple, TX</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Granger, IN*</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Washington, NC</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Haleyville, AL*</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Westbury, NY</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Hillsboro, TX*</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Wilton, NH</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Hudson, NY</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Wujinang, China</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62</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8191"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 SEGMENT</w:t>
            </w:r>
          </w:p>
        </w:tc>
      </w:tr>
      <w:tr>
        <w:trPr/>
        <w:tc>
          <w:tcPr>
            <w:tcW w:w="24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Number of Properties</w:t>
            </w:r>
          </w:p>
        </w:tc>
        <w:tc>
          <w:tcPr>
            <w:tcW w:w="109" w:type="dxa"/>
            <w:tcBorders/>
            <w:vAlign w:val="center"/>
          </w:tcPr>
          <w:p>
            <w:pPr>
              <w:pStyle w:val="TableContents"/>
              <w:bidi w:val="0"/>
              <w:spacing w:before="0" w:after="1"/>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Number of Properties</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Abu Dhabi, United Arab Emirates</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Erskine Park, Australia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Apaseo el Grande, Mexico</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Noida, India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Bangalore, India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Guntur, India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Carole Park, Australia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Hyderabad, India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Castellón, Spain</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Lacolle, Canada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Chennai, India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Mordialloc, Australia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Coimbatore, India</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Nuevo Leon, Mexico</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Deer Park, Australia</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Port Melbourne, Australia</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Dubai, United Arab Emirates</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Pune, India</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Durango, Mexico</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Vadodara, India</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r>
      <w:tr>
        <w:trPr/>
        <w:tc>
          <w:tcPr>
            <w:tcW w:w="24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23</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4266"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 SEGMENT</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24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Properties</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Grand Rapids, MI</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pPr>
            <w:r>
              <w:rPr/>
              <w:t>​</w:t>
            </w:r>
          </w:p>
        </w:tc>
      </w:tr>
      <w:tr>
        <w:trPr/>
        <w:tc>
          <w:tcPr>
            <w:tcW w:w="24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Spring Lake, MI</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9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26"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 Due to the nature of our business and historical operating strategy, many of our locations service more than one segment.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own all of our properties, free from any significant mortgage or other encumbrance, except for approximately 74 facilities which are leased. We believe all of these operating facilities are adequate in capacity and condition to service our existing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rFonts w:ascii="Times New Roman;Times;serif" w:hAnsi="Times New Roman;Times;serif"/>
          <w:b/>
          <w:sz w:val="20"/>
        </w:rPr>
      </w:pPr>
      <w:bookmarkStart w:id="44" w:name="Item3LegalProceedings_848932"/>
      <w:bookmarkStart w:id="45" w:name="_4b161301_3709_4cd7_9370_484ae308b8cc"/>
      <w:bookmarkEnd w:id="44"/>
      <w:bookmarkEnd w:id="45"/>
      <w:r>
        <w:rPr>
          <w:rFonts w:ascii="Times New Roman;Times;serif" w:hAnsi="Times New Roman;Times;serif"/>
          <w:b/>
          <w:sz w:val="20"/>
        </w:rPr>
        <w:t>Item 3.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regarding our legal proceedings is set forth in Note L of our Consolidated Financial Statements which are presented under Item 8 of this Form 10-K and are incorporated herein by reference.</w:t>
      </w:r>
    </w:p>
    <w:p>
      <w:pPr>
        <w:pStyle w:val="TextBody"/>
        <w:bidi w:val="0"/>
        <w:spacing w:before="0" w:after="240"/>
        <w:ind w:left="0" w:right="0" w:hanging="0"/>
        <w:jc w:val="left"/>
        <w:rPr>
          <w:rFonts w:ascii="Times New Roman;Times;serif" w:hAnsi="Times New Roman;Times;serif"/>
          <w:b/>
          <w:sz w:val="20"/>
        </w:rPr>
      </w:pPr>
      <w:bookmarkStart w:id="46" w:name="Item4MineSafetyDisclosures_330517"/>
      <w:bookmarkStart w:id="47" w:name="_9e0a867e_d713_4c83_9b04_d1eb769aa505"/>
      <w:bookmarkEnd w:id="46"/>
      <w:bookmarkEnd w:id="47"/>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8" w:name="AdditionalItemExecutiveOfficersoftheRegi"/>
      <w:bookmarkStart w:id="49" w:name="_459b0902_5a9c_41ab_9cb2_bfd8ebbb2c36"/>
      <w:bookmarkStart w:id="50" w:name="_Additional_Item_"/>
      <w:bookmarkEnd w:id="48"/>
      <w:bookmarkEnd w:id="49"/>
      <w:bookmarkEnd w:id="50"/>
      <w:r>
        <w:rPr>
          <w:rFonts w:ascii="Times New Roman;Times;serif" w:hAnsi="Times New Roman;Times;serif"/>
          <w:b/>
          <w:sz w:val="20"/>
        </w:rPr>
        <w:t>Additional Item: Executive Officers of the Registrant.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executive officers are appointed annually by our Board of Directors. There are no family relationships among these officers and our directors nor any arrangement or understanding between any of these officers and any other person pursuant to which the officer was appointed.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lists the names, ages, and positions of our executive officers as of February, 2024.</w:t>
      </w:r>
    </w:p>
    <w:tbl>
      <w:tblPr>
        <w:tblW w:w="7960" w:type="dxa"/>
        <w:jc w:val="left"/>
        <w:tblInd w:w="0" w:type="dxa"/>
        <w:tblLayout w:type="fixed"/>
        <w:tblCellMar>
          <w:top w:w="0" w:type="dxa"/>
          <w:left w:w="0" w:type="dxa"/>
          <w:bottom w:w="0" w:type="dxa"/>
          <w:right w:w="0" w:type="dxa"/>
        </w:tblCellMar>
      </w:tblPr>
      <w:tblGrid>
        <w:gridCol w:w="2056"/>
        <w:gridCol w:w="326"/>
        <w:gridCol w:w="436"/>
        <w:gridCol w:w="326"/>
        <w:gridCol w:w="4816"/>
      </w:tblGrid>
      <w:tr>
        <w:trPr/>
        <w:tc>
          <w:tcPr>
            <w:tcW w:w="2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6" w:type="dxa"/>
            <w:tcBorders/>
            <w:vAlign w:val="center"/>
          </w:tcPr>
          <w:p>
            <w:pPr>
              <w:pStyle w:val="TableContents"/>
              <w:bidi w:val="0"/>
              <w:spacing w:before="0" w:after="1"/>
              <w:ind w:left="0" w:right="0" w:hanging="0"/>
              <w:jc w:val="left"/>
              <w:rPr/>
            </w:pPr>
            <w:r>
              <w:rPr/>
              <w:t>​</w:t>
            </w:r>
          </w:p>
        </w:tc>
      </w:tr>
      <w:tr>
        <w:trPr/>
        <w:tc>
          <w:tcPr>
            <w:tcW w:w="205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26" w:type="dxa"/>
            <w:tcBorders/>
            <w:vAlign w:val="center"/>
          </w:tcPr>
          <w:p>
            <w:pPr>
              <w:pStyle w:val="TableContents"/>
              <w:bidi w:val="0"/>
              <w:spacing w:before="0" w:after="1"/>
              <w:ind w:left="0" w:right="0" w:hanging="0"/>
              <w:jc w:val="left"/>
              <w:rPr/>
            </w:pPr>
            <w:r>
              <w:rPr/>
              <w:t>    </w:t>
            </w:r>
          </w:p>
        </w:tc>
        <w:tc>
          <w:tcPr>
            <w:tcW w:w="481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Matthew J. Missad</w:t>
            </w:r>
          </w:p>
        </w:tc>
        <w:tc>
          <w:tcPr>
            <w:tcW w:w="326" w:type="dxa"/>
            <w:tcBorders/>
            <w:shd w:fill="CCEEFF" w:val="clear"/>
            <w:vAlign w:val="center"/>
          </w:tcPr>
          <w:p>
            <w:pPr>
              <w:pStyle w:val="TableContents"/>
              <w:bidi w:val="0"/>
              <w:spacing w:before="0" w:after="1"/>
              <w:ind w:left="0" w:right="0" w:hanging="0"/>
              <w:jc w:val="both"/>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1"/>
              <w:ind w:left="0" w:right="0" w:hanging="0"/>
              <w:jc w:val="both"/>
              <w:rPr/>
            </w:pPr>
            <w:r>
              <w:rPr/>
              <w:t>​</w:t>
            </w:r>
          </w:p>
        </w:tc>
        <w:tc>
          <w:tcPr>
            <w:tcW w:w="48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R. Cole</w:t>
            </w:r>
          </w:p>
        </w:tc>
        <w:tc>
          <w:tcPr>
            <w:tcW w:w="326" w:type="dxa"/>
            <w:tcBorders/>
            <w:vAlign w:val="center"/>
          </w:tcPr>
          <w:p>
            <w:pPr>
              <w:pStyle w:val="TableContents"/>
              <w:bidi w:val="0"/>
              <w:spacing w:before="0" w:after="1"/>
              <w:ind w:left="0" w:right="0" w:hanging="0"/>
              <w:jc w:val="both"/>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both"/>
              <w:rPr/>
            </w:pPr>
            <w:r>
              <w:rPr/>
              <w:t>​</w:t>
            </w:r>
          </w:p>
        </w:tc>
        <w:tc>
          <w:tcPr>
            <w:tcW w:w="48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Chief Financial Officer and Treasurer</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Patrick M. Benton</w:t>
            </w:r>
          </w:p>
        </w:tc>
        <w:tc>
          <w:tcPr>
            <w:tcW w:w="326" w:type="dxa"/>
            <w:tcBorders/>
            <w:shd w:fill="CCEEFF" w:val="clear"/>
            <w:vAlign w:val="center"/>
          </w:tcPr>
          <w:p>
            <w:pPr>
              <w:pStyle w:val="TableContents"/>
              <w:bidi w:val="0"/>
              <w:spacing w:before="0" w:after="1"/>
              <w:ind w:left="0" w:right="0" w:hanging="0"/>
              <w:jc w:val="both"/>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1"/>
              <w:ind w:left="0" w:right="0" w:hanging="0"/>
              <w:jc w:val="both"/>
              <w:rPr/>
            </w:pPr>
            <w:r>
              <w:rPr/>
              <w:t>​</w:t>
            </w:r>
          </w:p>
        </w:tc>
        <w:tc>
          <w:tcPr>
            <w:tcW w:w="48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President of UFP Construction, LLC</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Scott A. Worthington</w:t>
            </w:r>
          </w:p>
        </w:tc>
        <w:tc>
          <w:tcPr>
            <w:tcW w:w="326" w:type="dxa"/>
            <w:tcBorders/>
            <w:vAlign w:val="center"/>
          </w:tcPr>
          <w:p>
            <w:pPr>
              <w:pStyle w:val="TableContents"/>
              <w:bidi w:val="0"/>
              <w:spacing w:before="0" w:after="1"/>
              <w:ind w:left="0" w:right="0" w:hanging="0"/>
              <w:jc w:val="both"/>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1"/>
              <w:ind w:left="0" w:right="0" w:hanging="0"/>
              <w:jc w:val="both"/>
              <w:rPr/>
            </w:pPr>
            <w:r>
              <w:rPr/>
              <w:t>​</w:t>
            </w:r>
          </w:p>
        </w:tc>
        <w:tc>
          <w:tcPr>
            <w:tcW w:w="48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President of UFP Packaging, LLC</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William D. Schwartz, Jr.</w:t>
            </w:r>
          </w:p>
        </w:tc>
        <w:tc>
          <w:tcPr>
            <w:tcW w:w="326" w:type="dxa"/>
            <w:tcBorders/>
            <w:shd w:fill="CCEEFF" w:val="clear"/>
            <w:vAlign w:val="center"/>
          </w:tcPr>
          <w:p>
            <w:pPr>
              <w:pStyle w:val="TableContents"/>
              <w:bidi w:val="0"/>
              <w:spacing w:before="0" w:after="1"/>
              <w:ind w:left="0" w:right="0" w:hanging="0"/>
              <w:jc w:val="both"/>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both"/>
              <w:rPr/>
            </w:pPr>
            <w:r>
              <w:rPr/>
              <w:t>​</w:t>
            </w:r>
          </w:p>
        </w:tc>
        <w:tc>
          <w:tcPr>
            <w:tcW w:w="48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President of UFP Retail Solutions, LLC</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A. Tutas</w:t>
            </w:r>
          </w:p>
        </w:tc>
        <w:tc>
          <w:tcPr>
            <w:tcW w:w="326" w:type="dxa"/>
            <w:tcBorders/>
            <w:vAlign w:val="center"/>
          </w:tcPr>
          <w:p>
            <w:pPr>
              <w:pStyle w:val="TableContents"/>
              <w:bidi w:val="0"/>
              <w:spacing w:before="0" w:after="1"/>
              <w:ind w:left="0" w:right="0" w:hanging="0"/>
              <w:jc w:val="both"/>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1"/>
              <w:ind w:left="0" w:right="0" w:hanging="0"/>
              <w:jc w:val="both"/>
              <w:rPr/>
            </w:pPr>
            <w:r>
              <w:rPr/>
              <w:t>​</w:t>
            </w:r>
          </w:p>
        </w:tc>
        <w:tc>
          <w:tcPr>
            <w:tcW w:w="48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Counsel, Chief Compliance Officer and Secretary</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Matthew J. Missad</w:t>
      </w:r>
      <w:r>
        <w:rPr>
          <w:rFonts w:ascii="Times New Roman;Times;serif" w:hAnsi="Times New Roman;Times;serif"/>
          <w:sz w:val="20"/>
        </w:rPr>
        <w:t xml:space="preserve"> joined us in 1985. In February 1996, Mr. Missad was promoted to Executive Vice President of the Company. On July 13, 2011, Mr. Missad became Chief Executive Officer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Michael R. Cole</w:t>
      </w:r>
      <w:r>
        <w:rPr>
          <w:rFonts w:ascii="Times New Roman;Times;serif" w:hAnsi="Times New Roman;Times;serif"/>
          <w:sz w:val="20"/>
        </w:rPr>
        <w:t xml:space="preserve"> joined us in 1993 from the international public accounting firm Deloitte &amp; Touche. In December 1999, he was promoted to Vice President of Finance. On July 19, 2000, Mr. Cole became Chief Financial Officer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Patrick M. Benton</w:t>
      </w:r>
      <w:r>
        <w:rPr>
          <w:rFonts w:ascii="Times New Roman;Times;serif" w:hAnsi="Times New Roman;Times;serif"/>
          <w:sz w:val="20"/>
        </w:rPr>
        <w:t xml:space="preserve"> joined us in 1993. In 2008 he became Operations Vice President of the South Texas Region, and on July 1, 2014, he became Executive Vice President of UFP Eastern Division – North. On February 1, 2017, Mr. Benton became President of the UFP Northern Division, and on January 1, 2020, he became President of UFP Construction,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Scott A. Worthington</w:t>
      </w:r>
      <w:r>
        <w:rPr>
          <w:rFonts w:ascii="Times New Roman;Times;serif" w:hAnsi="Times New Roman;Times;serif"/>
          <w:sz w:val="20"/>
        </w:rPr>
        <w:t xml:space="preserve"> joined us in 1997. In 2014, he was promoted to Regional Vice President of the South Texas Region. On January 1, 2020, he became President of UFP Packaging,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William D. Schwartz, Jr. </w:t>
      </w:r>
      <w:r>
        <w:rPr>
          <w:rFonts w:ascii="Times New Roman;Times;serif" w:hAnsi="Times New Roman;Times;serif"/>
          <w:sz w:val="20"/>
        </w:rPr>
        <w:t>joined us in 1998. He became Operations Vice President in 2014 and Executive Vice President of Purchasing and Transportation in 2020. On July 1, 2022, he became Executive Vice President of Operations Services and on September 26, 2022, he became President of UFP Retail Solutions,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David A. Tutas</w:t>
      </w:r>
      <w:r>
        <w:rPr>
          <w:rFonts w:ascii="Times New Roman;Times;serif" w:hAnsi="Times New Roman;Times;serif"/>
          <w:sz w:val="20"/>
        </w:rPr>
        <w:t xml:space="preserve"> joined us in 2003 as a staff counsel. In 2007, he was promoted to Director of Legal Services. On August 1, 2011, he was promoted to General Counsel. On January 18, 2013, he became Secretary of the Company, and on February 1, 2019, he became Chief Compliance Officer. </w:t>
      </w:r>
    </w:p>
    <w:p>
      <w:pPr>
        <w:pStyle w:val="TextBody"/>
        <w:bidi w:val="0"/>
        <w:spacing w:before="0" w:after="240"/>
        <w:ind w:left="0" w:right="0" w:hanging="0"/>
        <w:jc w:val="center"/>
        <w:rPr>
          <w:rFonts w:ascii="Times New Roman;Times;serif" w:hAnsi="Times New Roman;Times;serif"/>
          <w:b/>
          <w:sz w:val="20"/>
        </w:rPr>
      </w:pPr>
      <w:bookmarkStart w:id="51" w:name="PARTII_87120"/>
      <w:bookmarkStart w:id="52" w:name="_331ad4d9_5ba5_4e13_99c0_879297f259ad"/>
      <w:bookmarkEnd w:id="51"/>
      <w:bookmarkEnd w:id="52"/>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information items in this Part II, which are contained in the 2023 Annual Report, are specifically incorporated by reference into this Form 10-K Report. These portions of the 2023 Annual Report that are specifically incorporated by reference are filed as Exhibit 13 with this Form 10-K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rFonts w:ascii="Times New Roman;Times;serif" w:hAnsi="Times New Roman;Times;serif"/>
          <w:b/>
          <w:sz w:val="20"/>
        </w:rPr>
      </w:pPr>
      <w:bookmarkStart w:id="53" w:name="Item5MarketforRegistrantsCommonEquity_23"/>
      <w:bookmarkStart w:id="54" w:name="_Hlk159321242"/>
      <w:bookmarkEnd w:id="53"/>
      <w:bookmarkEnd w:id="54"/>
      <w:r>
        <w:rPr>
          <w:rFonts w:ascii="Times New Roman;Times;serif" w:hAnsi="Times New Roman;Times;serif"/>
          <w:b/>
          <w:sz w:val="20"/>
        </w:rPr>
        <w:t>Item 5. Market for Registrant’s Common Equity, Related Shareholder Matters and Issuer Purchases of Equity Securities.</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relating to market, holders and dividends is incorporated by reference from the 2023 Annual Report under the captions "Market Information for Our Common Stock" and “Stock Performance Graph.” As of February 3, 2024, there were approximately 2,566 record holders of our common stock.</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sales of securities by the Company during fiscal 2023 that were not registered under the Securities Act of 1933.</w:t>
      </w:r>
    </w:p>
    <w:tbl>
      <w:tblPr>
        <w:tblW w:w="1742" w:type="dxa"/>
        <w:jc w:val="left"/>
        <w:tblInd w:w="0" w:type="dxa"/>
        <w:tblLayout w:type="fixed"/>
        <w:tblCellMar>
          <w:top w:w="0" w:type="dxa"/>
          <w:left w:w="0" w:type="dxa"/>
          <w:bottom w:w="0" w:type="dxa"/>
          <w:right w:w="0" w:type="dxa"/>
        </w:tblCellMar>
      </w:tblPr>
      <w:tblGrid>
        <w:gridCol w:w="346"/>
        <w:gridCol w:w="13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5477" w:type="dxa"/>
        <w:jc w:val="left"/>
        <w:tblInd w:w="0" w:type="dxa"/>
        <w:tblLayout w:type="fixed"/>
        <w:tblCellMar>
          <w:top w:w="0" w:type="dxa"/>
          <w:left w:w="0" w:type="dxa"/>
          <w:bottom w:w="0" w:type="dxa"/>
          <w:right w:w="0" w:type="dxa"/>
        </w:tblCellMar>
      </w:tblPr>
      <w:tblGrid>
        <w:gridCol w:w="331"/>
        <w:gridCol w:w="514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purchases of equity securities during the fourth quarter:</w:t>
            </w:r>
          </w:p>
        </w:tc>
      </w:tr>
    </w:tbl>
    <w:tbl>
      <w:tblPr>
        <w:tblW w:w="7625" w:type="dxa"/>
        <w:jc w:val="left"/>
        <w:tblInd w:w="0" w:type="dxa"/>
        <w:tblLayout w:type="fixed"/>
        <w:tblCellMar>
          <w:top w:w="0" w:type="dxa"/>
          <w:left w:w="0" w:type="dxa"/>
          <w:bottom w:w="0" w:type="dxa"/>
          <w:right w:w="0" w:type="dxa"/>
        </w:tblCellMar>
      </w:tblPr>
      <w:tblGrid>
        <w:gridCol w:w="2731"/>
        <w:gridCol w:w="326"/>
        <w:gridCol w:w="781"/>
        <w:gridCol w:w="326"/>
        <w:gridCol w:w="571"/>
        <w:gridCol w:w="326"/>
        <w:gridCol w:w="781"/>
        <w:gridCol w:w="326"/>
        <w:gridCol w:w="211"/>
        <w:gridCol w:w="124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734185" cy="175260"/>
                      <wp:effectExtent l="0" t="0" r="0" b="0"/>
                      <wp:wrapNone/>
                      <wp:docPr id="8" name="Frame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2585" cy="175260"/>
                      <wp:effectExtent l="0" t="0" r="0" b="0"/>
                      <wp:wrapNone/>
                      <wp:docPr id="12" name="Frame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91210" cy="175260"/>
                      <wp:effectExtent l="0" t="0" r="0" b="0"/>
                      <wp:wrapNone/>
                      <wp:docPr id="17" name="Frame1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Month</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w:t>
            </w:r>
          </w:p>
        </w:tc>
        <w:tc>
          <w:tcPr>
            <w:tcW w:w="326" w:type="dxa"/>
            <w:tcBorders/>
            <w:vAlign w:val="center"/>
          </w:tcPr>
          <w:p>
            <w:pPr>
              <w:pStyle w:val="TableContents"/>
              <w:bidi w:val="0"/>
              <w:spacing w:before="0" w:after="1"/>
              <w:ind w:left="0" w:right="0" w:hanging="0"/>
              <w:jc w:val="center"/>
              <w:rPr/>
            </w:pPr>
            <w:r>
              <w:rPr/>
              <w:t>    </w:t>
            </w:r>
          </w:p>
        </w:tc>
        <w:tc>
          <w:tcPr>
            <w:tcW w:w="145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(4)</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October 1 - November 4,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208,057</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96.48</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208,057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173,335,471</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5 - December 2, 2023</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173,335,471</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3 - 30,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173,335,471</w:t>
            </w:r>
          </w:p>
        </w:tc>
      </w:tr>
    </w:tbl>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number of shares purchased.</w:t>
            </w:r>
          </w:p>
        </w:tc>
      </w:tr>
    </w:tbl>
    <w:tbl>
      <w:tblPr>
        <w:tblW w:w="2522" w:type="dxa"/>
        <w:jc w:val="left"/>
        <w:tblInd w:w="0" w:type="dxa"/>
        <w:tblLayout w:type="fixed"/>
        <w:tblCellMar>
          <w:top w:w="0" w:type="dxa"/>
          <w:left w:w="0" w:type="dxa"/>
          <w:bottom w:w="0" w:type="dxa"/>
          <w:right w:w="0" w:type="dxa"/>
        </w:tblCellMar>
      </w:tblPr>
      <w:tblGrid>
        <w:gridCol w:w="331"/>
        <w:gridCol w:w="219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2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 price paid per share.</w:t>
            </w:r>
          </w:p>
        </w:tc>
      </w:tr>
    </w:tbl>
    <w:tbl>
      <w:tblPr>
        <w:tblW w:w="6302" w:type="dxa"/>
        <w:jc w:val="left"/>
        <w:tblInd w:w="0" w:type="dxa"/>
        <w:tblLayout w:type="fixed"/>
        <w:tblCellMar>
          <w:top w:w="0" w:type="dxa"/>
          <w:left w:w="0" w:type="dxa"/>
          <w:bottom w:w="0" w:type="dxa"/>
          <w:right w:w="0" w:type="dxa"/>
        </w:tblCellMar>
      </w:tblPr>
      <w:tblGrid>
        <w:gridCol w:w="331"/>
        <w:gridCol w:w="597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5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number of shares purchased as part of publicly announced plans or programs.</w:t>
            </w:r>
          </w:p>
        </w:tc>
      </w:tr>
    </w:tbl>
    <w:tbl>
      <w:tblPr>
        <w:tblW w:w="6842" w:type="dxa"/>
        <w:jc w:val="left"/>
        <w:tblInd w:w="0" w:type="dxa"/>
        <w:tblLayout w:type="fixed"/>
        <w:tblCellMar>
          <w:top w:w="0" w:type="dxa"/>
          <w:left w:w="0" w:type="dxa"/>
          <w:bottom w:w="0" w:type="dxa"/>
          <w:right w:w="0" w:type="dxa"/>
        </w:tblCellMar>
      </w:tblPr>
      <w:tblGrid>
        <w:gridCol w:w="331"/>
        <w:gridCol w:w="65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6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dollar value of shares that may yet be purchased under the plans or programs.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and effective as of July 26, 2023, our board authorized the repurchase of up to $200 million worth of shares of our common stock through the period ending July 31, 2024, which supersedes and replaces prior authorizations. </w:t>
      </w:r>
    </w:p>
    <w:p>
      <w:pPr>
        <w:pStyle w:val="TextBody"/>
        <w:bidi w:val="0"/>
        <w:spacing w:before="0" w:after="240"/>
        <w:ind w:left="0" w:right="0" w:hanging="0"/>
        <w:jc w:val="left"/>
        <w:rPr>
          <w:rFonts w:ascii="Times New Roman;Times;serif" w:hAnsi="Times New Roman;Times;serif"/>
          <w:b/>
          <w:sz w:val="20"/>
        </w:rPr>
      </w:pPr>
      <w:bookmarkStart w:id="55" w:name="Item6SelectedFinancialData_423905"/>
      <w:bookmarkStart w:id="56" w:name="_872c11ac_bf95_459a_82df_eb45081fc6f4"/>
      <w:bookmarkEnd w:id="55"/>
      <w:bookmarkEnd w:id="56"/>
      <w:r>
        <w:rPr>
          <w:rFonts w:ascii="Times New Roman;Times;serif" w:hAnsi="Times New Roman;Times;serif"/>
          <w:b/>
          <w:sz w:val="20"/>
        </w:rPr>
        <w:t>Item 6. [RESERVED.]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7" w:name="Item7ManagementsDiscussionandAnalysis_14"/>
      <w:bookmarkStart w:id="58" w:name="_32e65804_2352_4d70_b6de_fcbe3b3a03d3"/>
      <w:bookmarkEnd w:id="57"/>
      <w:bookmarkEnd w:id="58"/>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from the 2023 Annual Report under the caption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59" w:name="Item7AQuantitativeandQualitativeDisclosu"/>
      <w:bookmarkStart w:id="60" w:name="_ca0ddc16_1845_4c26_890d_dc3e86a3621b"/>
      <w:bookmarkStart w:id="61" w:name="_Hlk534792338"/>
      <w:bookmarkEnd w:id="59"/>
      <w:bookmarkEnd w:id="60"/>
      <w:bookmarkEnd w:id="61"/>
      <w:r>
        <w:rPr>
          <w:rFonts w:ascii="Times New Roman;Times;serif" w:hAnsi="Times New Roman;Times;serif"/>
          <w:b/>
          <w:sz w:val="20"/>
        </w:rPr>
        <w:t>Item 7A.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30, 2023, the estimated fair value of our long-term debt, including the current portion, was $241.4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Expected cash flows over the next five years related to debt instruments, excluding debt issuance costs, are as follows:</w:t>
      </w:r>
    </w:p>
    <w:tbl>
      <w:tblPr>
        <w:tblW w:w="10205" w:type="dxa"/>
        <w:jc w:val="left"/>
        <w:tblInd w:w="0" w:type="dxa"/>
        <w:tblLayout w:type="fixed"/>
        <w:tblCellMar>
          <w:top w:w="0" w:type="dxa"/>
          <w:left w:w="0" w:type="dxa"/>
          <w:bottom w:w="0" w:type="dxa"/>
          <w:right w:w="0" w:type="dxa"/>
        </w:tblCellMar>
      </w:tblPr>
      <w:tblGrid>
        <w:gridCol w:w="2100"/>
        <w:gridCol w:w="211"/>
        <w:gridCol w:w="676"/>
        <w:gridCol w:w="361"/>
        <w:gridCol w:w="211"/>
        <w:gridCol w:w="466"/>
        <w:gridCol w:w="361"/>
        <w:gridCol w:w="211"/>
        <w:gridCol w:w="466"/>
        <w:gridCol w:w="361"/>
        <w:gridCol w:w="211"/>
        <w:gridCol w:w="571"/>
        <w:gridCol w:w="361"/>
        <w:gridCol w:w="211"/>
        <w:gridCol w:w="676"/>
        <w:gridCol w:w="361"/>
        <w:gridCol w:w="211"/>
        <w:gridCol w:w="781"/>
        <w:gridCol w:w="361"/>
        <w:gridCol w:w="211"/>
        <w:gridCol w:w="826"/>
      </w:tblGrid>
      <w:tr>
        <w:trPr/>
        <w:tc>
          <w:tcPr>
            <w:tcW w:w="2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3500" cy="175260"/>
                      <wp:effectExtent l="0" t="0" r="0" b="0"/>
                      <wp:wrapNone/>
                      <wp:docPr id="18" name="Frame18"/>
                      <a:graphic xmlns:a="http://schemas.openxmlformats.org/drawingml/2006/main">
                        <a:graphicData uri="http://schemas.microsoft.com/office/word/2010/wordprocessingShape">
                          <wps:wsp>
                            <wps:cNvSpPr txBox="1"/>
                            <wps:spPr>
                              <a:xfrm>
                                <a:off x="0" y="0"/>
                                <a:ext cx="1333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9235" cy="175260"/>
                      <wp:effectExtent l="0" t="0" r="0" b="0"/>
                      <wp:wrapNone/>
                      <wp:docPr id="21" name="Frame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95910" cy="175260"/>
                      <wp:effectExtent l="0" t="0" r="0" b="0"/>
                      <wp:wrapNone/>
                      <wp:docPr id="23" name="Frame2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29235" cy="175260"/>
                      <wp:effectExtent l="0" t="0" r="0" b="0"/>
                      <wp:wrapNone/>
                      <wp:docPr id="24" name="Frame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95910" cy="175260"/>
                      <wp:effectExtent l="0" t="0" r="0" b="0"/>
                      <wp:wrapNone/>
                      <wp:docPr id="26" name="Frame2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9235" cy="175260"/>
                      <wp:effectExtent l="0" t="0" r="0" b="0"/>
                      <wp:wrapNone/>
                      <wp:docPr id="27" name="Frame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62585" cy="175260"/>
                      <wp:effectExtent l="0" t="0" r="0" b="0"/>
                      <wp:wrapNone/>
                      <wp:docPr id="29" name="Frame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9235" cy="175260"/>
                      <wp:effectExtent l="0" t="0" r="0" b="0"/>
                      <wp:wrapNone/>
                      <wp:docPr id="30" name="Frame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9235" cy="175260"/>
                      <wp:effectExtent l="0" t="0" r="0" b="0"/>
                      <wp:wrapNone/>
                      <wp:docPr id="33" name="Frame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5"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9235" cy="175260"/>
                      <wp:effectExtent l="0" t="0" r="0" b="0"/>
                      <wp:wrapNone/>
                      <wp:docPr id="36" name="Frame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24510" cy="175260"/>
                      <wp:effectExtent l="0" t="0" r="0" b="0"/>
                      <wp:wrapNone/>
                      <wp:docPr id="38" name="Frame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equivalents, in thousands)</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61"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1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($US)</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40,098</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40,232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185,383</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266,790</w:t>
            </w:r>
          </w:p>
        </w:tc>
      </w:tr>
      <w:tr>
        <w:trPr/>
        <w:tc>
          <w:tcPr>
            <w:tcW w:w="21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interest rate</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1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Rate ($US)</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9,794</w:t>
            </w:r>
          </w:p>
        </w:tc>
      </w:tr>
      <w:tr>
        <w:trPr/>
        <w:tc>
          <w:tcPr>
            <w:tcW w:w="2100" w:type="dxa"/>
            <w:tcBorders>
              <w:bottom w:val="single" w:sz="12" w:space="0" w:color="000000"/>
            </w:tcBorders>
            <w:shd w:fill="CCEEFF" w:val="clear"/>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Average interest rate</w:t>
            </w:r>
            <w:r>
              <w:rPr>
                <w:rFonts w:ascii="Times New Roman;Times;serif" w:hAnsi="Times New Roman;Times;serif"/>
                <w:sz w:val="15"/>
              </w:rPr>
              <w:t>(1)</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1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 Average of rates at December 30, 2023</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 w:name="Item8FinancialStatementsandSupplementary"/>
      <w:bookmarkStart w:id="63" w:name="_c8c03d04_3a30_4198_95af_bc117ad9e8a3"/>
      <w:bookmarkEnd w:id="62"/>
      <w:bookmarkEnd w:id="63"/>
      <w:r>
        <w:rPr>
          <w:rFonts w:ascii="Times New Roman;Times;serif" w:hAnsi="Times New Roman;Times;serif"/>
          <w:b/>
          <w:sz w:val="20"/>
        </w:rPr>
        <w:t>Item 8. Financial Statements and Supplementary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from the 2023 Annual Report under the following captions: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Earnings and Comprehensive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Shareholders’ Equity"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4" w:name="Item9ChangesinandDisagreementswithAccoun"/>
      <w:bookmarkStart w:id="65" w:name="_d95ce052_22c6_40ea_ab59_e6d247e41fb7"/>
      <w:bookmarkEnd w:id="64"/>
      <w:bookmarkEnd w:id="65"/>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6" w:name="Item9AControlsandProcedures_370789"/>
      <w:bookmarkStart w:id="67" w:name="_4eb8537e_623f_4321_90e1_ab2c1063b64c"/>
      <w:bookmarkStart w:id="68" w:name="_Hlk96422251"/>
      <w:bookmarkEnd w:id="66"/>
      <w:bookmarkEnd w:id="67"/>
      <w:bookmarkEnd w:id="68"/>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Evaluation of Disclosure Controls and Procedures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conducted an evaluation of the effectiveness of our disclosure controls and procedures (as defined in Rules 13a-15(e) and 15d-15(e) of the Securities Exchange Act of 1934, as amended, referred to herein as “Disclosure Controls”) as of the end of the period covered by this Annual Report on Form 10-K. The controls evaluation was performed under the supervision and with the participation of management, including our Chief Executive Officer (CEO) and Chief Financial Officer (CFO). Based upon our most recent evaluation, we have concluded that the consolidated financial statements included in this Annual Report on Form 10-K fairly present, in all material respects, our financial position, results of operations and cash flows for the periods presented in conformity with accounting principles generally accepted in the United States of America (“U.S. GAAP”).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Management’s Annual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defined in Rules 13a-15(f) and 15d-15(f) under the Exchange Act and based upon the criteria established in Internal Control — 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U.S. GAAP. Our management assessed the effectiveness of our internal control over financial reporting as of December 30, 2023. Based on this assessment, our internal control over financial reporting was effective as of December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Deloitte &amp; Touche LLP, our independent registered public accounting firm, has audited the effectiveness of our internal control over financial reporting as of December 30, 2023. Deloitte &amp; Touche LLP's opinion, as stated in their report which appears on page 20 of this Form 10-K, is consistent with management's report on internal control over financial reporting as set forth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quarter ended December 30, 2023, that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69" w:name="Item9BOtherInformation_68855"/>
      <w:bookmarkStart w:id="70" w:name="_67f5a012_c609_4a64_bc47_581909052209"/>
      <w:bookmarkEnd w:id="69"/>
      <w:bookmarkEnd w:id="70"/>
      <w:r>
        <w:rPr>
          <w:rFonts w:ascii="Times New Roman;Times;serif" w:hAnsi="Times New Roman;Times;serif"/>
          <w:b/>
          <w:sz w:val="20"/>
        </w:rPr>
        <w:t>Item 9B.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quarter ended December 30, 2023, no director or officer </w:t>
      </w:r>
      <w:r>
        <w:rPr>
          <w:rFonts w:ascii="Times New Roman;Times;serif" w:hAnsi="Times New Roman;Times;serif"/>
          <w:b w:val="false"/>
          <w:i w:val="false"/>
          <w:caps w:val="false"/>
          <w:smallCaps w:val="false"/>
          <w:sz w:val="20"/>
        </w:rPr>
        <w:t>adopted</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terminated</w:t>
      </w:r>
      <w:r>
        <w:rPr>
          <w:rFonts w:ascii="Times New Roman;Times;serif" w:hAnsi="Times New Roman;Times;serif"/>
          <w:sz w:val="20"/>
        </w:rPr>
        <w:t xml:space="preserve"> a “Rule 10b5-1 trading arrangement” or a “non-Rule 10b5-1 trading arrangement,” as each term is defined in Item 408(a) of Regulation S-K.</w:t>
      </w:r>
    </w:p>
    <w:p>
      <w:pPr>
        <w:pStyle w:val="TextBody"/>
        <w:bidi w:val="0"/>
        <w:spacing w:before="0" w:after="240"/>
        <w:ind w:left="0" w:right="0" w:hanging="0"/>
        <w:jc w:val="both"/>
        <w:rPr>
          <w:rFonts w:ascii="Times New Roman;Times;serif" w:hAnsi="Times New Roman;Times;serif"/>
          <w:b/>
          <w:sz w:val="20"/>
        </w:rPr>
      </w:pPr>
      <w:bookmarkStart w:id="71" w:name="Item9CDisclosureRegardingForeign"/>
      <w:bookmarkStart w:id="72" w:name="_57d7bab6_06fe_41fb_aa02_717a5d081709"/>
      <w:bookmarkEnd w:id="71"/>
      <w:bookmarkEnd w:id="72"/>
      <w:r>
        <w:rPr>
          <w:rFonts w:ascii="Times New Roman;Times;serif" w:hAnsi="Times New Roman;Times;serif"/>
          <w:b/>
          <w:sz w:val="20"/>
        </w:rPr>
        <w:t>Item 9C. Disclosure Regarding Foreign Jurisdictions that Prevent Inspections.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73" w:name="PARTIII_165468"/>
      <w:bookmarkEnd w:id="73"/>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74" w:name="Item10DirectorsExecutiveOfficers_673702"/>
      <w:bookmarkStart w:id="75" w:name="_0c1e2e63_3835_4e39_8084_869341b41409"/>
      <w:bookmarkEnd w:id="74"/>
      <w:bookmarkEnd w:id="75"/>
      <w:r>
        <w:rPr>
          <w:rFonts w:ascii="Times New Roman;Times;serif" w:hAnsi="Times New Roman;Times;serif"/>
          <w:b/>
          <w:sz w:val="20"/>
        </w:rPr>
        <w:t>Item 10. Directors, Executive Officers and Corporate Governance.</w:t>
      </w:r>
    </w:p>
    <w:p>
      <w:pPr>
        <w:pStyle w:val="TextBody"/>
        <w:bidi w:val="0"/>
        <w:spacing w:before="0" w:after="240"/>
        <w:ind w:left="0" w:right="0" w:hanging="0"/>
        <w:jc w:val="both"/>
        <w:rPr>
          <w:rFonts w:ascii="Times New Roman;Times;serif" w:hAnsi="Times New Roman;Times;serif"/>
          <w:sz w:val="20"/>
        </w:rPr>
      </w:pPr>
      <w:bookmarkStart w:id="76" w:name="_484685"/>
      <w:bookmarkEnd w:id="76"/>
      <w:r>
        <w:rPr>
          <w:rFonts w:ascii="Times New Roman;Times;serif" w:hAnsi="Times New Roman;Times;serif"/>
          <w:sz w:val="20"/>
        </w:rPr>
        <w:t>Information relating to our directors, compliance with Section 16(a) of the Securities Exchange Act of 1934 and various corporate governance matters is incorporated by reference from our definitive Proxy Statement for the year ended December 30, 2023 for the 2024 Annual Meeting of Shareholders, to be filed with the Commission ("2024 Proxy Statement"), under the captions "Election of Directors," "Corporate Governance and Board Matters," and "Delinquent Section 16(a) Reports."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pStyle w:val="TextBody"/>
        <w:bidi w:val="0"/>
        <w:spacing w:before="0" w:after="240"/>
        <w:ind w:left="0" w:right="0" w:hanging="0"/>
        <w:jc w:val="left"/>
        <w:rPr>
          <w:rFonts w:ascii="Times New Roman;Times;serif" w:hAnsi="Times New Roman;Times;serif"/>
          <w:b/>
          <w:sz w:val="20"/>
        </w:rPr>
      </w:pPr>
      <w:bookmarkStart w:id="77" w:name="Item11ExecutiveCompensation_993414"/>
      <w:bookmarkStart w:id="78" w:name="_29d04240_14ba_4233_98c5_91b19bfca758"/>
      <w:bookmarkEnd w:id="77"/>
      <w:bookmarkEnd w:id="78"/>
      <w:r>
        <w:rPr>
          <w:rFonts w:ascii="Times New Roman;Times;serif" w:hAnsi="Times New Roman;Times;serif"/>
          <w:b/>
          <w:sz w:val="20"/>
        </w:rPr>
        <w:t>Item 11.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relating to director and executive compensation is incorporated by reference from the 2024 Proxy Statement under the caption "Executive Compensation." The "Personnel and Compensation Committee Report" included in the 2024 Proxy Statement is incorporated by reference for the purpose of being furnished herein and is not and shall not be deemed to be filed under the Securities Exchange Act of 1934, as amended.</w:t>
      </w:r>
    </w:p>
    <w:p>
      <w:pPr>
        <w:pStyle w:val="TextBody"/>
        <w:bidi w:val="0"/>
        <w:spacing w:before="0" w:after="240"/>
        <w:ind w:left="0" w:right="0" w:hanging="0"/>
        <w:jc w:val="left"/>
        <w:rPr>
          <w:rFonts w:ascii="Times New Roman;Times;serif" w:hAnsi="Times New Roman;Times;serif"/>
          <w:b/>
          <w:sz w:val="20"/>
        </w:rPr>
      </w:pPr>
      <w:bookmarkStart w:id="79" w:name="Item12SecurityOwnershipofCertainBenefici"/>
      <w:bookmarkStart w:id="80" w:name="_3f86a410_6b3e_42d5_9f67_6fff59a8ab48"/>
      <w:bookmarkEnd w:id="79"/>
      <w:bookmarkEnd w:id="80"/>
      <w:r>
        <w:rPr>
          <w:rFonts w:ascii="Times New Roman;Times;serif" w:hAnsi="Times New Roman;Times;serif"/>
          <w:b/>
          <w:sz w:val="20"/>
        </w:rPr>
        <w:t>Item 12. Security Ownership of Certain Beneficial Owners and Management and Related Shareholder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relating to security ownership of certain beneficial owners and management is incorporated by reference from our 2024 Proxy Statement under the captions "Ownership of Common Stock" and "Securities Ownership of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relating to securities authorized for issuance under equity compensation plans as of December 30, 2023, is as follows:</w:t>
      </w:r>
    </w:p>
    <w:tbl>
      <w:tblPr>
        <w:tblW w:w="10205" w:type="dxa"/>
        <w:jc w:val="left"/>
        <w:tblInd w:w="0" w:type="dxa"/>
        <w:tblLayout w:type="fixed"/>
        <w:tblCellMar>
          <w:top w:w="0" w:type="dxa"/>
          <w:left w:w="0" w:type="dxa"/>
          <w:bottom w:w="0" w:type="dxa"/>
          <w:right w:w="0" w:type="dxa"/>
        </w:tblCellMar>
      </w:tblPr>
      <w:tblGrid>
        <w:gridCol w:w="4946"/>
        <w:gridCol w:w="326"/>
        <w:gridCol w:w="1412"/>
        <w:gridCol w:w="326"/>
        <w:gridCol w:w="532"/>
        <w:gridCol w:w="878"/>
        <w:gridCol w:w="326"/>
        <w:gridCol w:w="1459"/>
      </w:tblGrid>
      <w:tr>
        <w:trPr/>
        <w:tc>
          <w:tcPr>
            <w:tcW w:w="4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140710" cy="175260"/>
                      <wp:effectExtent l="0" t="0" r="0" b="0"/>
                      <wp:wrapNone/>
                      <wp:docPr id="39" name="Frame39"/>
                      <a:graphic xmlns:a="http://schemas.openxmlformats.org/drawingml/2006/main">
                        <a:graphicData uri="http://schemas.microsoft.com/office/word/2010/wordprocessingShape">
                          <wps:wsp>
                            <wps:cNvSpPr txBox="1"/>
                            <wps:spPr>
                              <a:xfrm>
                                <a:off x="0" y="0"/>
                                <a:ext cx="314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96620" cy="175260"/>
                      <wp:effectExtent l="0" t="0" r="0" b="0"/>
                      <wp:wrapNone/>
                      <wp:docPr id="41" name="Frame41"/>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37820" cy="175260"/>
                      <wp:effectExtent l="0" t="0" r="0" b="0"/>
                      <wp:wrapNone/>
                      <wp:docPr id="43" name="Frame43"/>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57530" cy="175260"/>
                      <wp:effectExtent l="0" t="0" r="0" b="0"/>
                      <wp:wrapNone/>
                      <wp:docPr id="44" name="Frame4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26465" cy="175260"/>
                      <wp:effectExtent l="0" t="0" r="0" b="0"/>
                      <wp:wrapNone/>
                      <wp:docPr id="46" name="Frame46"/>
                      <a:graphic xmlns:a="http://schemas.openxmlformats.org/drawingml/2006/main">
                        <a:graphicData uri="http://schemas.microsoft.com/office/word/2010/wordprocessingShape">
                          <wps:wsp>
                            <wps:cNvSpPr txBox="1"/>
                            <wps:spPr>
                              <a:xfrm>
                                <a:off x="0" y="0"/>
                                <a:ext cx="926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59" w:type="dxa"/>
            <w:tcBorders/>
            <w:vAlign w:val="center"/>
          </w:tcPr>
          <w:p>
            <w:pPr>
              <w:pStyle w:val="TableContents"/>
              <w:bidi w:val="0"/>
              <w:spacing w:before="0" w:after="1"/>
              <w:ind w:left="0" w:right="0" w:hanging="0"/>
              <w:jc w:val="center"/>
              <w:rPr/>
            </w:pPr>
            <w:r>
              <w:rPr/>
              <w:t>​</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 for </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to be</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vAlign w:val="center"/>
          </w:tcPr>
          <w:p>
            <w:pPr>
              <w:pStyle w:val="TableContents"/>
              <w:bidi w:val="0"/>
              <w:spacing w:before="0" w:after="1"/>
              <w:ind w:left="0" w:right="0" w:hanging="0"/>
              <w:jc w:val="left"/>
              <w:rPr/>
            </w:pPr>
            <w:r>
              <w:rPr/>
              <w:t>​</w:t>
            </w:r>
          </w:p>
        </w:tc>
        <w:tc>
          <w:tcPr>
            <w:tcW w:w="14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reflected in</w:t>
            </w:r>
          </w:p>
        </w:tc>
      </w:tr>
      <w:tr>
        <w:trPr/>
        <w:tc>
          <w:tcPr>
            <w:tcW w:w="4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rights (a)</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rights</w:t>
            </w:r>
          </w:p>
        </w:tc>
        <w:tc>
          <w:tcPr>
            <w:tcW w:w="326" w:type="dxa"/>
            <w:tcBorders/>
            <w:vAlign w:val="center"/>
          </w:tcPr>
          <w:p>
            <w:pPr>
              <w:pStyle w:val="TableContents"/>
              <w:bidi w:val="0"/>
              <w:spacing w:before="0" w:after="1"/>
              <w:ind w:left="0" w:right="0" w:hanging="0"/>
              <w:jc w:val="left"/>
              <w:rPr/>
            </w:pPr>
            <w:r>
              <w:rPr/>
              <w:t>​</w:t>
            </w:r>
          </w:p>
        </w:tc>
        <w:tc>
          <w:tcPr>
            <w:tcW w:w="145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column (a)]</w:t>
            </w:r>
            <w:r>
              <w:rPr>
                <w:rFonts w:ascii="Times New Roman;Times;serif" w:hAnsi="Times New Roman;Times;serif"/>
                <w:sz w:val="16"/>
              </w:rPr>
              <w:t> </w:t>
            </w:r>
            <w:r>
              <w:rPr>
                <w:rFonts w:ascii="Times New Roman;Times;serif" w:hAnsi="Times New Roman;Times;serif"/>
                <w:b/>
                <w:sz w:val="12"/>
              </w:rPr>
              <w:t>(1)</w:t>
            </w:r>
          </w:p>
        </w:tc>
      </w:tr>
      <w:tr>
        <w:trPr/>
        <w:tc>
          <w:tcPr>
            <w:tcW w:w="4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26" w:type="dxa"/>
            <w:tcBorders/>
            <w:shd w:fill="CCEEFF" w:val="clear"/>
            <w:vAlign w:val="center"/>
          </w:tcPr>
          <w:p>
            <w:pPr>
              <w:pStyle w:val="TableContents"/>
              <w:bidi w:val="0"/>
              <w:spacing w:before="0" w:after="1"/>
              <w:ind w:left="0" w:right="0" w:hanging="0"/>
              <w:jc w:val="left"/>
              <w:rPr/>
            </w:pPr>
            <w:r>
              <w:rPr/>
              <w:t>    </w:t>
            </w:r>
          </w:p>
        </w:tc>
        <w:tc>
          <w:tcPr>
            <w:tcW w:w="14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5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14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2,132,181</w:t>
            </w:r>
          </w:p>
        </w:tc>
      </w:tr>
      <w:tr>
        <w:trPr/>
        <w:tc>
          <w:tcPr>
            <w:tcW w:w="4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26" w:type="dxa"/>
            <w:tcBorders/>
            <w:vAlign w:val="center"/>
          </w:tcPr>
          <w:p>
            <w:pPr>
              <w:pStyle w:val="TableContents"/>
              <w:bidi w:val="0"/>
              <w:spacing w:before="0" w:after="1"/>
              <w:ind w:left="0" w:right="0" w:hanging="0"/>
              <w:jc w:val="left"/>
              <w:rPr/>
            </w:pPr>
            <w:r>
              <w:rPr/>
              <w:t>​</w:t>
            </w:r>
          </w:p>
        </w:tc>
        <w:tc>
          <w:tcPr>
            <w:tcW w:w="14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1"/>
              <w:ind w:left="0" w:right="0" w:hanging="0"/>
              <w:jc w:val="left"/>
              <w:rPr/>
            </w:pPr>
            <w:r>
              <w:rPr/>
              <w:t>  </w:t>
            </w:r>
          </w:p>
        </w:tc>
        <w:tc>
          <w:tcPr>
            <w:tcW w:w="532"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59" w:type="dxa"/>
            <w:tcBorders/>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remaining available for future issuance under equity compensation plans, excluding outstanding options, warrants, or similar rights, as of December 30, 2023, is as follows: 128,821 shares for our Employee Stock Purchase Plan, 167,372 shares for our Director Compensation Plan, and 10,073 shares for our Employee Stock Gift Program. In addition, of the remaining 1,825,915 shares available for future issuance under our Long-Term Stock Incentive Plan, those awards may be made in the form of options as well as stock appreciation rights, restricted stock, performance shares, or other stock-based awards. See Note H "Common Stock" of our 2023 Annual Report for information regarding these plans.</w:t>
            </w:r>
          </w:p>
        </w:tc>
      </w:tr>
    </w:tbl>
    <w:p>
      <w:pPr>
        <w:pStyle w:val="TextBody"/>
        <w:bidi w:val="0"/>
        <w:spacing w:before="0" w:after="240"/>
        <w:ind w:left="0" w:right="0" w:hanging="0"/>
        <w:jc w:val="left"/>
        <w:rPr>
          <w:rFonts w:ascii="Times New Roman;Times;serif" w:hAnsi="Times New Roman;Times;serif"/>
          <w:b/>
          <w:sz w:val="20"/>
        </w:rPr>
      </w:pPr>
      <w:bookmarkStart w:id="81" w:name="Item13CertainRelationshipsandRelated_723"/>
      <w:bookmarkEnd w:id="81"/>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relating to certain relationships and related transactions, and director independence is incorporated by reference from the 2024 Proxy Statement under the captions "Election of Directors", “Affirmative Determination Regarding Director Independence and Other Matters” and "Related Party Transactions."</w:t>
      </w:r>
    </w:p>
    <w:p>
      <w:pPr>
        <w:pStyle w:val="TextBody"/>
        <w:bidi w:val="0"/>
        <w:spacing w:before="0" w:after="240"/>
        <w:ind w:left="0" w:right="0" w:hanging="0"/>
        <w:jc w:val="left"/>
        <w:rPr>
          <w:rFonts w:ascii="Times New Roman;Times;serif" w:hAnsi="Times New Roman;Times;serif"/>
          <w:b/>
          <w:sz w:val="20"/>
        </w:rPr>
      </w:pPr>
      <w:bookmarkStart w:id="82" w:name="Item14PrincipalAccountantFees_865810"/>
      <w:bookmarkEnd w:id="82"/>
      <w:r>
        <w:rPr>
          <w:rFonts w:ascii="Times New Roman;Times;serif" w:hAnsi="Times New Roman;Times;serif"/>
          <w:b/>
          <w:sz w:val="20"/>
        </w:rPr>
        <w:t>Item 14. Principal Accountant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relating to the types of services rendered by our Independent Registered Public Accounting Firm and the fees paid for these services is incorporated by reference from our 2024 Proxy Statement under the caption "Independent Registered Public Accounting Firm – Disclosure of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center"/>
        <w:rPr>
          <w:rFonts w:ascii="Times New Roman;Times;serif" w:hAnsi="Times New Roman;Times;serif"/>
          <w:b/>
          <w:sz w:val="20"/>
        </w:rPr>
      </w:pPr>
      <w:bookmarkStart w:id="83" w:name="PARTIV_21737"/>
      <w:bookmarkStart w:id="84" w:name="_494ed5df_9a73_424e_9397_89276717cc03"/>
      <w:bookmarkEnd w:id="83"/>
      <w:bookmarkEnd w:id="84"/>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85" w:name="Item15ExhibitsFinancialStatement_398148"/>
      <w:bookmarkEnd w:id="85"/>
      <w:r>
        <w:rPr>
          <w:rFonts w:ascii="Times New Roman;Times;serif" w:hAnsi="Times New Roman;Times;serif"/>
          <w:b/>
          <w:sz w:val="20"/>
        </w:rPr>
        <w:t>Item 15. Exhibits, Financial Statement Schedules.</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 The following are incorporated by reference, under Item 8 of this report, from the 2023 Annual Report: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Management’s Report on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Consolidated Statements of Earnings and Comprehensive Income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Consolidated Statements of Shareholders’ Equity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Notes to Consolidated Financial Statements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2.    Financial Statement Schedules.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3.    Exhibits. Reference is made to the Exhibit Index which is included in this Form 10-K Report.</w:t>
      </w:r>
    </w:p>
    <w:tbl>
      <w:tblPr>
        <w:tblW w:w="7247" w:type="dxa"/>
        <w:jc w:val="left"/>
        <w:tblInd w:w="0" w:type="dxa"/>
        <w:tblLayout w:type="fixed"/>
        <w:tblCellMar>
          <w:top w:w="0" w:type="dxa"/>
          <w:left w:w="0" w:type="dxa"/>
          <w:bottom w:w="0" w:type="dxa"/>
          <w:right w:w="0" w:type="dxa"/>
        </w:tblCellMar>
      </w:tblPr>
      <w:tblGrid>
        <w:gridCol w:w="346"/>
        <w:gridCol w:w="69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Exhibit Index which is included in this Form 10-K Report.</w:t>
            </w:r>
          </w:p>
        </w:tc>
      </w:tr>
    </w:tbl>
    <w:tbl>
      <w:tblPr>
        <w:tblW w:w="1682" w:type="dxa"/>
        <w:jc w:val="left"/>
        <w:tblInd w:w="0" w:type="dxa"/>
        <w:tblLayout w:type="fixed"/>
        <w:tblCellMar>
          <w:top w:w="0" w:type="dxa"/>
          <w:left w:w="0" w:type="dxa"/>
          <w:bottom w:w="0" w:type="dxa"/>
          <w:right w:w="0" w:type="dxa"/>
        </w:tblCellMar>
      </w:tblPr>
      <w:tblGrid>
        <w:gridCol w:w="331"/>
        <w:gridCol w:w="135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center"/>
        <w:rPr>
          <w:rFonts w:ascii="Times New Roman;Times;serif" w:hAnsi="Times New Roman;Times;serif"/>
          <w:b/>
          <w:sz w:val="20"/>
        </w:rPr>
      </w:pPr>
      <w:bookmarkStart w:id="86" w:name="EXHIBITINDEX_794902"/>
      <w:bookmarkStart w:id="87" w:name="_abeeca0f_6aad_4e81_a342_be811ef46cec"/>
      <w:bookmarkEnd w:id="86"/>
      <w:bookmarkEnd w:id="87"/>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886"/>
        <w:gridCol w:w="326"/>
        <w:gridCol w:w="436"/>
        <w:gridCol w:w="624"/>
        <w:gridCol w:w="7933"/>
      </w:tblGrid>
      <w:tr>
        <w:trPr/>
        <w:tc>
          <w:tcPr>
            <w:tcW w:w="8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8993" w:type="dxa"/>
            <w:gridSpan w:val="3"/>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Description</w:t>
            </w:r>
          </w:p>
        </w:tc>
      </w:tr>
      <w:tr>
        <w:trPr/>
        <w:tc>
          <w:tcPr>
            <w:tcW w:w="886" w:type="dxa"/>
            <w:tcBorders>
              <w:top w:val="single" w:sz="2" w:space="0" w:color="000000"/>
            </w:tcBorders>
            <w:tcMar>
              <w:top w:w="28" w:type="dxa"/>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op w:val="single" w:sz="2" w:space="0" w:color="000000"/>
            </w:tcBorders>
            <w:tcMar>
              <w:top w:w="28" w:type="dxa"/>
              <w:bottom w:w="0" w:type="dxa"/>
            </w:tcMar>
            <w:vAlign w:val="center"/>
          </w:tcPr>
          <w:p>
            <w:pPr>
              <w:pStyle w:val="TableContents"/>
              <w:bidi w:val="0"/>
              <w:spacing w:lineRule="atLeast" w:line="220" w:before="0" w:after="0"/>
              <w:ind w:left="0" w:right="0" w:hanging="0"/>
              <w:jc w:val="left"/>
              <w:rPr/>
            </w:pPr>
            <w:r>
              <w:rPr/>
              <w:t>​</w:t>
            </w:r>
          </w:p>
        </w:tc>
        <w:tc>
          <w:tcPr>
            <w:tcW w:w="8557" w:type="dxa"/>
            <w:gridSpan w:val="2"/>
            <w:tcBorders>
              <w:top w:val="single" w:sz="2" w:space="0" w:color="000000"/>
            </w:tcBorders>
            <w:tcMar>
              <w:top w:w="28" w:type="dxa"/>
              <w:bottom w:w="0" w:type="dxa"/>
            </w:tcMar>
            <w:vAlign w:val="center"/>
          </w:tcPr>
          <w:p>
            <w:pPr>
              <w:pStyle w:val="TableContents"/>
              <w:bidi w:val="0"/>
              <w:spacing w:lineRule="atLeast" w:line="220" w:before="0" w:after="0"/>
              <w:ind w:left="0" w:right="0" w:hanging="0"/>
              <w:jc w:val="left"/>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Articles of Incorporation and Bylaws.</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r:id="rId2">
              <w:r>
                <w:rPr>
                  <w:rStyle w:val="InternetLink"/>
                  <w:rFonts w:ascii="Times New Roman;Times;serif" w:hAnsi="Times New Roman;Times;serif"/>
                  <w:b w:val="false"/>
                  <w:i w:val="false"/>
                  <w:caps w:val="false"/>
                  <w:smallCaps w:val="false"/>
                  <w:sz w:val="20"/>
                </w:rPr>
                <w:t>Restated Articles of Incorporation, as amended (incorporated by reference to Exhibit 3.1 of the Registrant's Current Report on Form 8-K filed on May 3, 2022).</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Bylaws (incorporated by reference to Exhibit 3(b) of the Registrant's Annual Report on Form 10-K for the year ended December 31, 2016).</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Instruments Defining the Rights of Security Holders.</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w:anchor="ufpi-20231230xex4db.htm">
              <w:r>
                <w:rPr>
                  <w:rStyle w:val="InternetLink"/>
                  <w:rFonts w:ascii="Times New Roman;Times;serif" w:hAnsi="Times New Roman;Times;serif"/>
                  <w:b w:val="false"/>
                  <w:i w:val="false"/>
                  <w:caps w:val="false"/>
                  <w:smallCaps w:val="false"/>
                  <w:sz w:val="20"/>
                </w:rPr>
                <w:t>Description of Registrant’s Securities (incorporated by reference to Exhibit 4(b) of the Registrant's Annual Report on Form 10-K for the year ended December 30, 2023).</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Material Contracts.</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r:id="rId4">
              <w:r>
                <w:rPr>
                  <w:rStyle w:val="InternetLink"/>
                  <w:rFonts w:ascii="Times New Roman;Times;serif" w:hAnsi="Times New Roman;Times;serif"/>
                  <w:b w:val="false"/>
                  <w:i w:val="false"/>
                  <w:caps w:val="false"/>
                  <w:smallCaps w:val="false"/>
                  <w:sz w:val="20"/>
                </w:rPr>
                <w:t>Credit Agreement dated November 1, 2018 incorporated by reference to Exhibit 10(i)(2) of the Registrant's Current Report on Form 8-K filed November 2, 2018).</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624"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7933" w:type="dxa"/>
            <w:tcBorders/>
            <w:tcMar>
              <w:bottom w:w="0" w:type="dxa"/>
            </w:tcMar>
            <w:vAlign w:val="center"/>
          </w:tcPr>
          <w:p>
            <w:pPr>
              <w:pStyle w:val="TableContents"/>
              <w:bidi w:val="0"/>
              <w:spacing w:lineRule="atLeast" w:line="220" w:before="0" w:after="0"/>
              <w:ind w:left="0" w:right="0" w:hanging="0"/>
              <w:jc w:val="both"/>
              <w:rPr/>
            </w:pPr>
            <w:hyperlink r:id="rId5">
              <w:r>
                <w:rPr>
                  <w:rStyle w:val="InternetLink"/>
                  <w:rFonts w:ascii="Times New Roman;Times;serif" w:hAnsi="Times New Roman;Times;serif"/>
                  <w:sz w:val="20"/>
                </w:rPr>
                <w:t>First Amendment to Credit Agreement dated February 19, 2021 (incorporated by reference</w:t>
              </w:r>
            </w:hyperlink>
          </w:p>
          <w:p>
            <w:pPr>
              <w:pStyle w:val="TableContents"/>
              <w:bidi w:val="0"/>
              <w:spacing w:lineRule="atLeast" w:line="220" w:before="0" w:after="0"/>
              <w:ind w:left="0" w:right="0" w:hanging="0"/>
              <w:jc w:val="both"/>
              <w:rPr/>
            </w:pPr>
            <w:hyperlink r:id="rId6">
              <w:r>
                <w:rPr>
                  <w:rStyle w:val="InternetLink"/>
                  <w:rFonts w:ascii="Times New Roman;Times;serif" w:hAnsi="Times New Roman;Times;serif"/>
                  <w:sz w:val="20"/>
                </w:rPr>
                <w:t>to Exhibit 10(a) of the Registrant's Quarterly Report on Form 10-Q filed May 5, 2021).</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624"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7933" w:type="dxa"/>
            <w:tcBorders/>
            <w:tcMar>
              <w:bottom w:w="0" w:type="dxa"/>
            </w:tcMar>
            <w:vAlign w:val="center"/>
          </w:tcPr>
          <w:p>
            <w:pPr>
              <w:pStyle w:val="TableContents"/>
              <w:bidi w:val="0"/>
              <w:spacing w:lineRule="atLeast" w:line="220" w:before="0" w:after="0"/>
              <w:ind w:left="0" w:right="0" w:hanging="0"/>
              <w:jc w:val="both"/>
              <w:rPr/>
            </w:pPr>
            <w:hyperlink r:id="rId7">
              <w:r>
                <w:rPr>
                  <w:rStyle w:val="InternetLink"/>
                  <w:rFonts w:ascii="Times New Roman;Times;serif" w:hAnsi="Times New Roman;Times;serif"/>
                  <w:sz w:val="20"/>
                </w:rPr>
                <w:t>Second Amendment to Credit Agreement dated December 6, 2022 (incorporated by reference</w:t>
              </w:r>
            </w:hyperlink>
          </w:p>
          <w:p>
            <w:pPr>
              <w:pStyle w:val="TableContents"/>
              <w:bidi w:val="0"/>
              <w:spacing w:lineRule="atLeast" w:line="220" w:before="0" w:after="0"/>
              <w:ind w:left="0" w:right="0" w:hanging="0"/>
              <w:jc w:val="both"/>
              <w:rPr/>
            </w:pPr>
            <w:hyperlink r:id="rId8">
              <w:r>
                <w:rPr>
                  <w:rStyle w:val="InternetLink"/>
                  <w:rFonts w:ascii="Times New Roman;Times;serif" w:hAnsi="Times New Roman;Times;serif"/>
                  <w:sz w:val="20"/>
                </w:rPr>
                <w:t>to Exhibit 10(l) of the Registrant's Current Report on Form 8-K filed December 12, 2022).</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624"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7933" w:type="dxa"/>
            <w:tcBorders/>
            <w:tcMar>
              <w:bottom w:w="0" w:type="dxa"/>
            </w:tcMar>
            <w:vAlign w:val="center"/>
          </w:tcPr>
          <w:p>
            <w:pPr>
              <w:pStyle w:val="TableContents"/>
              <w:bidi w:val="0"/>
              <w:spacing w:lineRule="atLeast" w:line="220" w:before="0" w:after="0"/>
              <w:ind w:left="0" w:right="0" w:hanging="0"/>
              <w:jc w:val="both"/>
              <w:rPr/>
            </w:pPr>
            <w:hyperlink w:anchor="ufpi-20231230xex10daiii.htm">
              <w:r>
                <w:rPr>
                  <w:rStyle w:val="InternetLink"/>
                  <w:rFonts w:ascii="Times New Roman;Times;serif" w:hAnsi="Times New Roman;Times;serif"/>
                  <w:b w:val="false"/>
                  <w:i w:val="false"/>
                  <w:caps w:val="false"/>
                  <w:smallCaps w:val="false"/>
                  <w:sz w:val="20"/>
                </w:rPr>
                <w:t>Third Amendment to Credit Agreement dated August 11, 2023.</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8557" w:type="dxa"/>
            <w:gridSpan w:val="2"/>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Form of Indemnity Agreement entered into between the Registrant and each of its directors (incorporated by reference to Exhibit 10(b) of a Registration Statement on Form S-1 filed by the Registrant on September 28, 1993).</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w:anchor="ufpi-20231230xex10dc.htm">
              <w:r>
                <w:rPr>
                  <w:rStyle w:val="InternetLink"/>
                  <w:rFonts w:ascii="Times New Roman;Times;serif" w:hAnsi="Times New Roman;Times;serif"/>
                  <w:b w:val="false"/>
                  <w:i w:val="false"/>
                  <w:caps w:val="false"/>
                  <w:smallCaps w:val="false"/>
                  <w:sz w:val="20"/>
                </w:rPr>
                <w:t>UFP Industries, Inc. Deferred Compensation Plan (as conformed through 2023-1 Amendment effective January 1, 2024).</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w:anchor="ufpi-20231230xex10dd.htm">
              <w:r>
                <w:rPr>
                  <w:rStyle w:val="InternetLink"/>
                  <w:rFonts w:ascii="Times New Roman;Times;serif" w:hAnsi="Times New Roman;Times;serif"/>
                  <w:b w:val="false"/>
                  <w:i w:val="false"/>
                  <w:caps w:val="false"/>
                  <w:smallCaps w:val="false"/>
                  <w:sz w:val="20"/>
                </w:rPr>
                <w:t>UFP Industries, Inc. Executive Stock Grant Program.</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*(e)</w:t>
            </w:r>
          </w:p>
        </w:tc>
        <w:tc>
          <w:tcPr>
            <w:tcW w:w="8557" w:type="dxa"/>
            <w:gridSpan w:val="2"/>
            <w:tcBorders/>
            <w:tcMar>
              <w:bottom w:w="0" w:type="dxa"/>
            </w:tcMar>
            <w:vAlign w:val="center"/>
          </w:tcPr>
          <w:p>
            <w:pPr>
              <w:pStyle w:val="TableContents"/>
              <w:bidi w:val="0"/>
              <w:spacing w:before="0" w:after="0"/>
              <w:ind w:left="0" w:right="0" w:hanging="0"/>
              <w:jc w:val="left"/>
              <w:rPr/>
            </w:pPr>
            <w:hyperlink w:anchor="ufpi-20231230xex10de.htm">
              <w:r>
                <w:rPr>
                  <w:rStyle w:val="InternetLink"/>
                  <w:rFonts w:ascii="Times New Roman;Times;serif" w:hAnsi="Times New Roman;Times;serif"/>
                  <w:b w:val="false"/>
                  <w:i w:val="false"/>
                  <w:caps w:val="false"/>
                  <w:smallCaps w:val="false"/>
                  <w:sz w:val="20"/>
                </w:rPr>
                <w:t>Second Restatement of the UFP Industries, Inc. Director Compensation Plan.</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*(f)</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w:anchor="ufpi-20231230xex10df.htm">
              <w:r>
                <w:rPr>
                  <w:rStyle w:val="InternetLink"/>
                  <w:rFonts w:ascii="Times New Roman;Times;serif" w:hAnsi="Times New Roman;Times;serif"/>
                  <w:b w:val="false"/>
                  <w:i w:val="false"/>
                  <w:caps w:val="false"/>
                  <w:smallCaps w:val="false"/>
                  <w:sz w:val="20"/>
                </w:rPr>
                <w:t>UFP Industries, Inc. Long-Term Stock Incentive Plan (as conformed through the 2023 Amendment to the UFP Industries, Inc. Long-Term Incentive Plan effective October 24, 2023).</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*(g)</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w:anchor="ufpi-20231230xex10dg.htm">
              <w:r>
                <w:rPr>
                  <w:rStyle w:val="InternetLink"/>
                  <w:rFonts w:ascii="Times New Roman;Times;serif" w:hAnsi="Times New Roman;Times;serif"/>
                  <w:b w:val="false"/>
                  <w:i w:val="false"/>
                  <w:caps w:val="false"/>
                  <w:smallCaps w:val="false"/>
                  <w:sz w:val="20"/>
                </w:rPr>
                <w:t>Form of Restricted Stock Grant Agreement issued pursuant to the Long-Term Incentive Plan.</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*(h)</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hyperlink w:anchor="ufpi-20231230xex10dh.htm">
              <w:r>
                <w:rPr>
                  <w:rStyle w:val="InternetLink"/>
                  <w:rFonts w:ascii="Times New Roman;Times;serif" w:hAnsi="Times New Roman;Times;serif"/>
                  <w:b w:val="false"/>
                  <w:i w:val="false"/>
                  <w:caps w:val="false"/>
                  <w:smallCaps w:val="false"/>
                  <w:sz w:val="20"/>
                </w:rPr>
                <w:t>Form of Performance Share Award Agreement issued pursuant to the Long-Term Incentive Plan.</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pPr>
            <w:hyperlink w:anchor="ufpi-20231230xex13.htm">
              <w:r>
                <w:rPr>
                  <w:rStyle w:val="InternetLink"/>
                  <w:rFonts w:ascii="Times New Roman;Times;serif" w:hAnsi="Times New Roman;Times;serif"/>
                  <w:b w:val="false"/>
                  <w:i w:val="false"/>
                  <w:caps w:val="false"/>
                  <w:smallCaps w:val="false"/>
                  <w:sz w:val="20"/>
                </w:rPr>
                <w:t>Selected portions of the Company’s Annual Report to Shareholders for the fiscal year ended December 30, 2023.</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pPr>
            <w:hyperlink w:anchor="ufpi-20231230xex21.htm">
              <w:r>
                <w:rPr>
                  <w:rStyle w:val="InternetLink"/>
                  <w:rFonts w:ascii="Times New Roman;Times;serif" w:hAnsi="Times New Roman;Times;serif"/>
                  <w:b w:val="false"/>
                  <w:i w:val="false"/>
                  <w:caps w:val="false"/>
                  <w:smallCaps w:val="false"/>
                  <w:sz w:val="20"/>
                </w:rPr>
                <w:t>Subsidiaries of the Registrant.</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pPr>
            <w:hyperlink w:anchor="ufpi-20231230xex23.htm">
              <w:r>
                <w:rPr>
                  <w:rStyle w:val="InternetLink"/>
                  <w:rFonts w:ascii="Times New Roman;Times;serif" w:hAnsi="Times New Roman;Times;serif"/>
                  <w:b w:val="false"/>
                  <w:i w:val="false"/>
                  <w:caps w:val="false"/>
                  <w:smallCaps w:val="false"/>
                  <w:sz w:val="20"/>
                </w:rPr>
                <w:t>Consent of Deloitte &amp; Touche LLP.</w:t>
              </w:r>
            </w:hyperlink>
          </w:p>
        </w:tc>
      </w:tr>
      <w:tr>
        <w:trPr/>
        <w:tc>
          <w:tcPr>
            <w:tcW w:w="886" w:type="dxa"/>
            <w:tcBorders/>
            <w:tcMar>
              <w:bottom w:w="0" w:type="dxa"/>
            </w:tcMar>
            <w:vAlign w:val="center"/>
          </w:tcPr>
          <w:p>
            <w:pPr>
              <w:pStyle w:val="TableContents"/>
              <w:bidi w:val="0"/>
              <w:spacing w:lineRule="atLeast" w:line="220" w:before="0" w:after="0"/>
              <w:ind w:left="0" w:right="0" w:hanging="0"/>
              <w:jc w:val="left"/>
              <w:rPr/>
            </w:pPr>
            <w:r>
              <w:rPr/>
              <w:t>​</w:t>
            </w:r>
          </w:p>
        </w:tc>
        <w:tc>
          <w:tcPr>
            <w:tcW w:w="326" w:type="dxa"/>
            <w:tcBorders/>
            <w:tcMar>
              <w:bottom w:w="0" w:type="dxa"/>
            </w:tcMar>
            <w:vAlign w:val="center"/>
          </w:tcPr>
          <w:p>
            <w:pPr>
              <w:pStyle w:val="TableContents"/>
              <w:bidi w:val="0"/>
              <w:spacing w:lineRule="atLeast" w:line="220" w:before="0" w:after="0"/>
              <w:ind w:left="0" w:right="0" w:hanging="0"/>
              <w:jc w:val="left"/>
              <w:rPr/>
            </w:pPr>
            <w:r>
              <w:rPr/>
              <w:t>​</w:t>
            </w:r>
          </w:p>
        </w:tc>
        <w:tc>
          <w:tcPr>
            <w:tcW w:w="436" w:type="dxa"/>
            <w:tcBorders/>
            <w:tcMar>
              <w:bottom w:w="0" w:type="dxa"/>
            </w:tcMar>
            <w:vAlign w:val="center"/>
          </w:tcPr>
          <w:p>
            <w:pPr>
              <w:pStyle w:val="TableContents"/>
              <w:bidi w:val="0"/>
              <w:spacing w:lineRule="atLeast" w:line="220" w:before="0" w:after="0"/>
              <w:ind w:left="0" w:right="0" w:hanging="0"/>
              <w:jc w:val="both"/>
              <w:rPr/>
            </w:pPr>
            <w:r>
              <w:rPr/>
              <w:t>​</w:t>
            </w:r>
          </w:p>
        </w:tc>
        <w:tc>
          <w:tcPr>
            <w:tcW w:w="8557" w:type="dxa"/>
            <w:gridSpan w:val="2"/>
            <w:tcBorders/>
            <w:tcMar>
              <w:bottom w:w="0" w:type="dxa"/>
            </w:tcMar>
            <w:vAlign w:val="center"/>
          </w:tcPr>
          <w:p>
            <w:pPr>
              <w:pStyle w:val="TableContents"/>
              <w:bidi w:val="0"/>
              <w:spacing w:lineRule="atLeast" w:line="220" w:before="0" w:after="0"/>
              <w:ind w:left="0" w:right="0" w:hanging="0"/>
              <w:jc w:val="both"/>
              <w:rPr/>
            </w:pPr>
            <w:r>
              <w:rPr/>
              <w:t>​</w:t>
            </w:r>
          </w:p>
        </w:tc>
      </w:tr>
      <w:tr>
        <w:trPr/>
        <w:tc>
          <w:tcPr>
            <w:tcW w:w="886" w:type="dxa"/>
            <w:tcBorders/>
            <w:tcMar>
              <w:bottom w:w="0" w:type="dxa"/>
            </w:tcMar>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26" w:type="dxa"/>
            <w:tcBorders/>
            <w:tcMar>
              <w:bottom w:w="0" w:type="dxa"/>
            </w:tcMar>
            <w:vAlign w:val="center"/>
          </w:tcPr>
          <w:p>
            <w:pPr>
              <w:pStyle w:val="TableContents"/>
              <w:bidi w:val="0"/>
              <w:spacing w:lineRule="atLeast" w:line="220" w:before="0" w:after="0"/>
              <w:ind w:left="0" w:right="0" w:hanging="0"/>
              <w:jc w:val="both"/>
              <w:rPr/>
            </w:pPr>
            <w:r>
              <w:rPr/>
              <w:t>​</w:t>
            </w:r>
          </w:p>
        </w:tc>
        <w:tc>
          <w:tcPr>
            <w:tcW w:w="8993" w:type="dxa"/>
            <w:gridSpan w:val="3"/>
            <w:tcBorders/>
            <w:tcMar>
              <w:bottom w:w="0" w:type="dxa"/>
            </w:tcMar>
            <w:vAlign w:val="center"/>
          </w:tcPr>
          <w:p>
            <w:pPr>
              <w:pStyle w:val="TableContents"/>
              <w:bidi w:val="0"/>
              <w:spacing w:lineRule="atLeast" w:line="220" w:before="0" w:after="0"/>
              <w:ind w:left="0" w:right="0" w:hanging="0"/>
              <w:jc w:val="both"/>
              <w:rPr/>
            </w:pPr>
            <w:hyperlink w:anchor="PowerAttorney">
              <w:r>
                <w:rPr>
                  <w:rStyle w:val="InternetLink"/>
                  <w:rFonts w:ascii="Times New Roman;Times;serif" w:hAnsi="Times New Roman;Times;serif"/>
                  <w:b w:val="false"/>
                  <w:i w:val="false"/>
                  <w:caps w:val="false"/>
                  <w:smallCaps w:val="false"/>
                  <w:sz w:val="20"/>
                </w:rPr>
                <w:t>Power of Attorney</w:t>
              </w:r>
            </w:hyperlink>
            <w:r>
              <w:rPr>
                <w:rFonts w:ascii="Times New Roman;Times;serif" w:hAnsi="Times New Roman;Times;serif"/>
                <w:sz w:val="20"/>
              </w:rPr>
              <w:t xml:space="preserve"> (included on page 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tbl>
      <w:tblPr>
        <w:tblW w:w="10205" w:type="dxa"/>
        <w:jc w:val="left"/>
        <w:tblInd w:w="0" w:type="dxa"/>
        <w:tblLayout w:type="fixed"/>
        <w:tblCellMar>
          <w:top w:w="0" w:type="dxa"/>
          <w:left w:w="0" w:type="dxa"/>
          <w:bottom w:w="0" w:type="dxa"/>
          <w:right w:w="0" w:type="dxa"/>
        </w:tblCellMar>
      </w:tblPr>
      <w:tblGrid>
        <w:gridCol w:w="436"/>
        <w:gridCol w:w="109"/>
        <w:gridCol w:w="1203"/>
        <w:gridCol w:w="8457"/>
      </w:tblGrid>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both"/>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lineRule="atLeast" w:line="220" w:before="0" w:after="0"/>
              <w:ind w:left="0" w:right="0" w:hanging="0"/>
              <w:jc w:val="both"/>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Certifications.</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8457" w:type="dxa"/>
            <w:tcBorders/>
            <w:vAlign w:val="center"/>
          </w:tcPr>
          <w:p>
            <w:pPr>
              <w:pStyle w:val="TableContents"/>
              <w:bidi w:val="0"/>
              <w:spacing w:lineRule="atLeast" w:line="220" w:before="0" w:after="0"/>
              <w:ind w:left="0" w:right="0" w:hanging="0"/>
              <w:jc w:val="both"/>
              <w:rPr/>
            </w:pPr>
            <w:hyperlink w:anchor="ufpi-20231230xex31da.htm">
              <w:r>
                <w:rPr>
                  <w:rStyle w:val="InternetLink"/>
                  <w:rFonts w:ascii="Times New Roman;Times;serif" w:hAnsi="Times New Roman;Times;serif"/>
                  <w:b w:val="false"/>
                  <w:i w:val="false"/>
                  <w:caps w:val="false"/>
                  <w:smallCaps w:val="false"/>
                  <w:sz w:val="20"/>
                </w:rPr>
                <w:t>Certificate of the Chief Executive Officer of UFP Industries, Inc., pursuant to Section 302 of the Sarbanes-Oxley Act of 2002 (18 U.S.C. 1350).</w:t>
              </w:r>
            </w:hyperlink>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8457" w:type="dxa"/>
            <w:tcBorders/>
            <w:vAlign w:val="center"/>
          </w:tcPr>
          <w:p>
            <w:pPr>
              <w:pStyle w:val="TableContents"/>
              <w:bidi w:val="0"/>
              <w:spacing w:lineRule="atLeast" w:line="220" w:before="0" w:after="0"/>
              <w:ind w:left="0" w:right="0" w:hanging="0"/>
              <w:jc w:val="both"/>
              <w:rPr/>
            </w:pPr>
            <w:hyperlink w:anchor="ufpi-20231230xex31db.htm">
              <w:r>
                <w:rPr>
                  <w:rStyle w:val="InternetLink"/>
                  <w:rFonts w:ascii="Times New Roman;Times;serif" w:hAnsi="Times New Roman;Times;serif"/>
                  <w:b w:val="false"/>
                  <w:i w:val="false"/>
                  <w:caps w:val="false"/>
                  <w:smallCaps w:val="false"/>
                  <w:sz w:val="20"/>
                </w:rPr>
                <w:t>Certificate of the Chief Financial Officer of UFP Industries, Inc., pursuant to Section 302 of the Sarbanes-Oxley Act of 2002 (18 U.S.C. 1350).</w:t>
              </w:r>
            </w:hyperlink>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Certifications.</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8457" w:type="dxa"/>
            <w:tcBorders/>
            <w:vAlign w:val="center"/>
          </w:tcPr>
          <w:p>
            <w:pPr>
              <w:pStyle w:val="TableContents"/>
              <w:bidi w:val="0"/>
              <w:spacing w:lineRule="atLeast" w:line="220" w:before="0" w:after="0"/>
              <w:ind w:left="0" w:right="0" w:hanging="0"/>
              <w:jc w:val="both"/>
              <w:rPr/>
            </w:pPr>
            <w:hyperlink w:anchor="ufpi-20231230xex32da.htm">
              <w:r>
                <w:rPr>
                  <w:rStyle w:val="InternetLink"/>
                  <w:rFonts w:ascii="Times New Roman;Times;serif" w:hAnsi="Times New Roman;Times;serif"/>
                  <w:b w:val="false"/>
                  <w:i w:val="false"/>
                  <w:caps w:val="false"/>
                  <w:smallCaps w:val="false"/>
                  <w:sz w:val="20"/>
                </w:rPr>
                <w:t>Certificate of the Chief Executive Officer of UFP Industries, Inc., pursuant to Section 906 of the Sarbanes-Oxley Act of 2002 (18 U.S.C. 1350).</w:t>
              </w:r>
            </w:hyperlink>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8457" w:type="dxa"/>
            <w:tcBorders/>
            <w:vAlign w:val="center"/>
          </w:tcPr>
          <w:p>
            <w:pPr>
              <w:pStyle w:val="TableContents"/>
              <w:bidi w:val="0"/>
              <w:spacing w:lineRule="atLeast" w:line="220" w:before="0" w:after="0"/>
              <w:ind w:left="0" w:right="0" w:hanging="0"/>
              <w:jc w:val="both"/>
              <w:rPr/>
            </w:pPr>
            <w:hyperlink w:anchor="ufpi-20231230xex32db.htm">
              <w:r>
                <w:rPr>
                  <w:rStyle w:val="InternetLink"/>
                  <w:rFonts w:ascii="Times New Roman;Times;serif" w:hAnsi="Times New Roman;Times;serif"/>
                  <w:b w:val="false"/>
                  <w:i w:val="false"/>
                  <w:caps w:val="false"/>
                  <w:smallCaps w:val="false"/>
                  <w:sz w:val="20"/>
                </w:rPr>
                <w:t>Certificate of the Chief Financial Officer of UFP Industries, Inc., pursuant to Section 906 of the Sarbanes-Oxley Act of 2002 (18 U.S.C. 1350).</w:t>
              </w:r>
            </w:hyperlink>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hyperlink w:anchor="ufpi-20231230xex97.htm">
              <w:r>
                <w:rPr>
                  <w:rStyle w:val="InternetLink"/>
                  <w:rFonts w:ascii="Times New Roman;Times;serif" w:hAnsi="Times New Roman;Times;serif"/>
                  <w:b w:val="false"/>
                  <w:i w:val="false"/>
                  <w:caps w:val="false"/>
                  <w:smallCaps w:val="false"/>
                  <w:sz w:val="20"/>
                </w:rPr>
                <w:t>Amended and Restated UFP Industries, Inc. Clawback Policy.</w:t>
              </w:r>
            </w:hyperlink>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tLeast" w:line="220" w:before="0" w:after="0"/>
              <w:ind w:left="0" w:right="0" w:hanging="0"/>
              <w:jc w:val="both"/>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Interactive Data File in iXBRL (Inline eXtensible Business Reporting Language).</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203" w:type="dxa"/>
            <w:tcBorders/>
            <w:vAlign w:val="center"/>
          </w:tcPr>
          <w:p>
            <w:pPr>
              <w:pStyle w:val="TableContents"/>
              <w:bidi w:val="0"/>
              <w:spacing w:lineRule="atLeast" w:line="220" w:before="0" w:after="0"/>
              <w:ind w:left="0" w:right="0" w:hanging="0"/>
              <w:jc w:val="both"/>
              <w:rPr/>
            </w:pPr>
            <w:r>
              <w:rPr/>
              <w:t>​</w:t>
            </w:r>
          </w:p>
        </w:tc>
        <w:tc>
          <w:tcPr>
            <w:tcW w:w="8457" w:type="dxa"/>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(INS) XBRL Instance Document.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(SCH) XBRL Schema Document.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(CAL) XBRL Taxonomy Extension Calculation Linkbase Document.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(LAB) XBRL Taxonomy Extension Label Linkbase Document.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(PRE) XBRL Taxonomy Extension Presentation Linkbase Document.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(DEF) XBRL Taxonomy Extension Definition Linkbase Document.</w:t>
            </w:r>
          </w:p>
        </w:tc>
      </w:tr>
      <w:tr>
        <w:trPr/>
        <w:tc>
          <w:tcPr>
            <w:tcW w:w="436"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pPr>
            <w:r>
              <w:rPr/>
              <w:t>​</w:t>
            </w:r>
          </w:p>
        </w:tc>
      </w:tr>
      <w:tr>
        <w:trPr/>
        <w:tc>
          <w:tcPr>
            <w:tcW w:w="436" w:type="dxa"/>
            <w:tcBorders/>
            <w:vAlign w:val="center"/>
          </w:tcPr>
          <w:p>
            <w:pPr>
              <w:pStyle w:val="TableContents"/>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tLeast" w:line="220" w:before="0" w:after="0"/>
              <w:ind w:left="0" w:right="0" w:hanging="0"/>
              <w:jc w:val="left"/>
              <w:rPr/>
            </w:pPr>
            <w:r>
              <w:rPr/>
              <w:t>​</w:t>
            </w:r>
          </w:p>
        </w:tc>
        <w:tc>
          <w:tcPr>
            <w:tcW w:w="9660" w:type="dxa"/>
            <w:gridSpan w:val="2"/>
            <w:tcBorders/>
            <w:vAlign w:val="center"/>
          </w:tcPr>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tbl>
      <w:tblPr>
        <w:tblW w:w="3527" w:type="dxa"/>
        <w:jc w:val="left"/>
        <w:tblInd w:w="0" w:type="dxa"/>
        <w:tblLayout w:type="fixed"/>
        <w:tblCellMar>
          <w:top w:w="0" w:type="dxa"/>
          <w:left w:w="0" w:type="dxa"/>
          <w:bottom w:w="0" w:type="dxa"/>
          <w:right w:w="0" w:type="dxa"/>
        </w:tblCellMar>
      </w:tblPr>
      <w:tblGrid>
        <w:gridCol w:w="226"/>
        <w:gridCol w:w="3301"/>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compensatory arrangement.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center"/>
        <w:rPr>
          <w:rFonts w:ascii="Times New Roman;Times;serif" w:hAnsi="Times New Roman;Times;serif"/>
          <w:b/>
          <w:sz w:val="20"/>
        </w:rPr>
      </w:pPr>
      <w:bookmarkStart w:id="88" w:name="PowerAttorney"/>
      <w:bookmarkStart w:id="89" w:name="_656605c2_a3f5_433f_8e34_40b2c6952e57"/>
      <w:bookmarkEnd w:id="88"/>
      <w:bookmarkEnd w:id="89"/>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and Exchange Act of 1934, the Registrant has duly caused this report to be signed on its behalf by the undersigned, thereunto duly authorized.</w:t>
      </w:r>
    </w:p>
    <w:tbl>
      <w:tblPr>
        <w:tblW w:w="5088" w:type="dxa"/>
        <w:jc w:val="left"/>
        <w:tblInd w:w="0" w:type="dxa"/>
        <w:tblLayout w:type="fixed"/>
        <w:tblCellMar>
          <w:top w:w="0" w:type="dxa"/>
          <w:left w:w="0" w:type="dxa"/>
          <w:bottom w:w="0" w:type="dxa"/>
          <w:right w:w="0" w:type="dxa"/>
        </w:tblCellMar>
      </w:tblPr>
      <w:tblGrid>
        <w:gridCol w:w="2191"/>
        <w:gridCol w:w="406"/>
        <w:gridCol w:w="2491"/>
      </w:tblGrid>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28, 2024</w:t>
            </w:r>
          </w:p>
        </w:tc>
        <w:tc>
          <w:tcPr>
            <w:tcW w:w="28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UFP INDUSTRIES, INC.</w:t>
            </w:r>
          </w:p>
        </w:tc>
      </w:tr>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Missad</w:t>
            </w:r>
          </w:p>
        </w:tc>
      </w:tr>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Matthew J. Missad,</w:t>
            </w:r>
          </w:p>
        </w:tc>
      </w:tr>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Chairman of the Board,</w:t>
            </w:r>
          </w:p>
        </w:tc>
      </w:tr>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 and</w:t>
            </w:r>
          </w:p>
        </w:tc>
      </w:tr>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on this 28</w:t>
      </w:r>
      <w:r>
        <w:rPr>
          <w:rFonts w:ascii="Times New Roman;Times;serif" w:hAnsi="Times New Roman;Times;serif"/>
          <w:sz w:val="15"/>
        </w:rPr>
        <w:t>th</w:t>
      </w:r>
      <w:r>
        <w:rPr>
          <w:rFonts w:ascii="Times New Roman;Times;serif" w:hAnsi="Times New Roman;Times;serif"/>
          <w:sz w:val="20"/>
        </w:rPr>
        <w:t xml:space="preserve"> day of February, 2024, by the following persons on behalf of us and in the capacities indicated.</w:t>
      </w:r>
    </w:p>
    <w:tbl>
      <w:tblPr>
        <w:tblW w:w="3336" w:type="dxa"/>
        <w:jc w:val="left"/>
        <w:tblInd w:w="0" w:type="dxa"/>
        <w:tblLayout w:type="fixed"/>
        <w:tblCellMar>
          <w:top w:w="0" w:type="dxa"/>
          <w:left w:w="0" w:type="dxa"/>
          <w:bottom w:w="0" w:type="dxa"/>
          <w:right w:w="0" w:type="dxa"/>
        </w:tblCellMar>
      </w:tblPr>
      <w:tblGrid>
        <w:gridCol w:w="124"/>
        <w:gridCol w:w="406"/>
        <w:gridCol w:w="280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Missad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Matthew J. Missad,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Chairman of the Board,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 and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Cole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Michael R. Cole,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 and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tbl>
      <w:tblPr>
        <w:tblW w:w="5631" w:type="dxa"/>
        <w:jc w:val="left"/>
        <w:tblInd w:w="0" w:type="dxa"/>
        <w:tblLayout w:type="fixed"/>
        <w:tblCellMar>
          <w:top w:w="0" w:type="dxa"/>
          <w:left w:w="0" w:type="dxa"/>
          <w:bottom w:w="0" w:type="dxa"/>
          <w:right w:w="0" w:type="dxa"/>
        </w:tblCellMar>
      </w:tblPr>
      <w:tblGrid>
        <w:gridCol w:w="2926"/>
        <w:gridCol w:w="109"/>
        <w:gridCol w:w="2596"/>
      </w:tblGrid>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Joan A. Budden</w:t>
            </w:r>
          </w:p>
        </w:tc>
        <w:tc>
          <w:tcPr>
            <w:tcW w:w="109" w:type="dxa"/>
            <w:tcBorders/>
            <w:vAlign w:val="center"/>
          </w:tcPr>
          <w:p>
            <w:pPr>
              <w:pStyle w:val="TableContents"/>
              <w:bidi w:val="0"/>
              <w:spacing w:before="0" w:after="0"/>
              <w:ind w:left="0" w:right="0" w:hanging="0"/>
              <w:jc w:val="left"/>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William G. Currie</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Joan A. Budden, Director</w:t>
            </w:r>
          </w:p>
        </w:tc>
        <w:tc>
          <w:tcPr>
            <w:tcW w:w="109" w:type="dxa"/>
            <w:tcBorders/>
            <w:vAlign w:val="center"/>
          </w:tcPr>
          <w:p>
            <w:pPr>
              <w:pStyle w:val="TableContents"/>
              <w:bidi w:val="0"/>
              <w:spacing w:before="0" w:after="0"/>
              <w:ind w:left="0" w:right="0" w:hanging="0"/>
              <w:jc w:val="left"/>
              <w:rPr/>
            </w:pPr>
            <w:r>
              <w:rPr/>
              <w:t>​</w:t>
            </w:r>
          </w:p>
        </w:tc>
        <w:tc>
          <w:tcPr>
            <w:tcW w:w="25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William G. Currie, Director</w: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Benjamin J. McLean</w:t>
            </w:r>
          </w:p>
        </w:tc>
        <w:tc>
          <w:tcPr>
            <w:tcW w:w="109" w:type="dxa"/>
            <w:tcBorders/>
            <w:vAlign w:val="center"/>
          </w:tcPr>
          <w:p>
            <w:pPr>
              <w:pStyle w:val="TableContents"/>
              <w:bidi w:val="0"/>
              <w:spacing w:before="0" w:after="0"/>
              <w:ind w:left="0" w:right="0" w:hanging="0"/>
              <w:jc w:val="left"/>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Benjamin J. McLean, Director</w:t>
            </w:r>
          </w:p>
        </w:tc>
        <w:tc>
          <w:tcPr>
            <w:tcW w:w="109" w:type="dxa"/>
            <w:tcBorders/>
            <w:vAlign w:val="center"/>
          </w:tcPr>
          <w:p>
            <w:pPr>
              <w:pStyle w:val="TableContents"/>
              <w:bidi w:val="0"/>
              <w:spacing w:before="0" w:after="0"/>
              <w:ind w:left="0" w:right="0" w:hanging="0"/>
              <w:jc w:val="left"/>
              <w:rPr/>
            </w:pPr>
            <w:r>
              <w:rPr/>
              <w:t>​</w:t>
            </w:r>
          </w:p>
        </w:tc>
        <w:tc>
          <w:tcPr>
            <w:tcW w:w="25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Bruce A. Merino, Director</w: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Matthew J. Missad</w:t>
            </w:r>
          </w:p>
        </w:tc>
        <w:tc>
          <w:tcPr>
            <w:tcW w:w="109" w:type="dxa"/>
            <w:tcBorders/>
            <w:vAlign w:val="center"/>
          </w:tcPr>
          <w:p>
            <w:pPr>
              <w:pStyle w:val="TableContents"/>
              <w:bidi w:val="0"/>
              <w:spacing w:before="0" w:after="0"/>
              <w:ind w:left="0" w:right="0" w:hanging="0"/>
              <w:jc w:val="left"/>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Thomas W. Rhodes</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Matthew J. Missad, Director</w:t>
            </w:r>
          </w:p>
        </w:tc>
        <w:tc>
          <w:tcPr>
            <w:tcW w:w="109" w:type="dxa"/>
            <w:tcBorders/>
            <w:vAlign w:val="center"/>
          </w:tcPr>
          <w:p>
            <w:pPr>
              <w:pStyle w:val="TableContents"/>
              <w:bidi w:val="0"/>
              <w:spacing w:before="0" w:after="0"/>
              <w:ind w:left="0" w:right="0" w:hanging="0"/>
              <w:jc w:val="left"/>
              <w:rPr/>
            </w:pPr>
            <w:r>
              <w:rPr/>
              <w:t>​</w:t>
            </w:r>
          </w:p>
        </w:tc>
        <w:tc>
          <w:tcPr>
            <w:tcW w:w="25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Thomas W. Rhodes, Director</w: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Mary Tuuk Kuras</w:t>
            </w:r>
          </w:p>
        </w:tc>
        <w:tc>
          <w:tcPr>
            <w:tcW w:w="109" w:type="dxa"/>
            <w:tcBorders/>
            <w:vAlign w:val="center"/>
          </w:tcPr>
          <w:p>
            <w:pPr>
              <w:pStyle w:val="TableContents"/>
              <w:bidi w:val="0"/>
              <w:spacing w:before="0" w:after="0"/>
              <w:ind w:left="0" w:right="0" w:hanging="0"/>
              <w:jc w:val="left"/>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Brian C. Walker</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Mary Tuuk Kuras, Director</w:t>
            </w:r>
          </w:p>
        </w:tc>
        <w:tc>
          <w:tcPr>
            <w:tcW w:w="109" w:type="dxa"/>
            <w:tcBorders/>
            <w:vAlign w:val="center"/>
          </w:tcPr>
          <w:p>
            <w:pPr>
              <w:pStyle w:val="TableContents"/>
              <w:bidi w:val="0"/>
              <w:spacing w:before="0" w:after="0"/>
              <w:ind w:left="0" w:right="0" w:hanging="0"/>
              <w:jc w:val="left"/>
              <w:rPr/>
            </w:pPr>
            <w:r>
              <w:rPr/>
              <w:t>​</w:t>
            </w:r>
          </w:p>
        </w:tc>
        <w:tc>
          <w:tcPr>
            <w:tcW w:w="25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Brian C. Walker, Director</w: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Michael G. Wooldridge</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Michael G. Wooldridge, Director</w:t>
            </w:r>
          </w:p>
        </w:tc>
        <w:tc>
          <w:tcPr>
            <w:tcW w:w="109" w:type="dxa"/>
            <w:tcBorders/>
            <w:vAlign w:val="center"/>
          </w:tcPr>
          <w:p>
            <w:pPr>
              <w:pStyle w:val="TableContents"/>
              <w:bidi w:val="0"/>
              <w:spacing w:before="0" w:after="0"/>
              <w:ind w:left="0" w:right="0" w:hanging="0"/>
              <w:jc w:val="left"/>
              <w:rPr/>
            </w:pPr>
            <w:r>
              <w:rPr/>
              <w:t>​</w:t>
            </w:r>
          </w:p>
        </w:tc>
        <w:tc>
          <w:tcPr>
            <w:tcW w:w="25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right"/>
        <w:rPr>
          <w:rFonts w:ascii="Times New Roman;Times;serif" w:hAnsi="Times New Roman;Times;serif"/>
          <w:b/>
          <w:sz w:val="20"/>
        </w:rPr>
      </w:pPr>
      <w:bookmarkStart w:id="90" w:name="ufpi-20231230xex4db.htm"/>
      <w:bookmarkStart w:id="91" w:name="ksufpi20231230xex4db"/>
      <w:bookmarkEnd w:id="90"/>
      <w:bookmarkEnd w:id="91"/>
      <w:r>
        <w:rPr>
          <w:rFonts w:ascii="Times New Roman;Times;serif" w:hAnsi="Times New Roman;Times;serif"/>
          <w:b/>
          <w:sz w:val="20"/>
        </w:rPr>
        <w:t>Exhibit 4(b)</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brief description of the common stock of UFP Industries, Inc. (the “</w:t>
      </w:r>
      <w:r>
        <w:rPr>
          <w:rFonts w:ascii="Times New Roman;Times;serif" w:hAnsi="Times New Roman;Times;serif"/>
          <w:sz w:val="20"/>
          <w:u w:val="single"/>
        </w:rPr>
        <w:t>Company</w:t>
      </w:r>
      <w:r>
        <w:rPr>
          <w:rFonts w:ascii="Times New Roman;Times;serif" w:hAnsi="Times New Roman;Times;serif"/>
          <w:sz w:val="20"/>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Times New Roman;Times;serif" w:hAnsi="Times New Roman;Times;serif"/>
          <w:sz w:val="20"/>
          <w:u w:val="single"/>
        </w:rPr>
        <w:t>Exhibit 4(b)</w:t>
      </w:r>
      <w:r>
        <w:rPr>
          <w:rFonts w:ascii="Times New Roman;Times;serif" w:hAnsi="Times New Roman;Times;serif"/>
          <w:sz w:val="20"/>
        </w:rPr>
        <w:t xml:space="preserve"> is a part.</w:t>
      </w:r>
    </w:p>
    <w:p>
      <w:pPr>
        <w:pStyle w:val="TextBody"/>
        <w:bidi w:val="0"/>
        <w:spacing w:before="0" w:after="0"/>
        <w:ind w:left="0" w:right="0" w:firstLine="40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authorized capital stock consists of 160,000,000 shares of common stock and 1,000,000 shares of preferred stock. As of December 30, 2023, there were no shares of preferred stock outstanding.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Dividend and Liquidation Rights</w:t>
      </w:r>
    </w:p>
    <w:p>
      <w:pPr>
        <w:pStyle w:val="TextBody"/>
        <w:bidi w:val="0"/>
        <w:spacing w:before="0" w:after="0"/>
        <w:ind w:left="0" w:right="0" w:firstLine="40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Subject to the prior rights of the holders of shares of preferred stock that may be issued and outstanding, if any, the holders of common stock are entitled to receive:</w:t>
      </w:r>
    </w:p>
    <w:p>
      <w:pPr>
        <w:pStyle w:val="TextBody"/>
        <w:bidi w:val="0"/>
        <w:spacing w:before="0" w:after="0"/>
        <w:ind w:left="0"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dividends when, as, and if declared by the Company’s Board of Directors out of funds legally available for the payment of dividends; and</w:t>
            </w:r>
          </w:p>
        </w:tc>
      </w:tr>
    </w:tbl>
    <w:p>
      <w:pPr>
        <w:pStyle w:val="TextBody"/>
        <w:bidi w:val="0"/>
        <w:spacing w:before="0" w:after="0"/>
        <w:ind w:left="11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of dissolution of the Company, to share ratably in all assets remaining after payment of liabilities and satisfaction of the liquidation preferences, if any, of then outstanding shares of preferred stock, as provided in the Articles of Incorporation.</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Voting Rights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Each holder of common stock is entitled to one vote for each share held of record on all matters presented to a vote at a shareholders meeting, including the election of directors. Holders of common stock have no cumulative voting rights.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Articles of Incorporation provide that the Company’s Board of Directors be divided into three classes of nearly equal size, with the classes to hold office for staggered terms of three years each.</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election is considered contested if there are more nominees for election than positions on the Board of Directors to be filled by election at that meeting.</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Listing</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common stock is currently traded on the Nasdaq Global Select Market under the symbol “ufpi.”</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Applicable Anti-Takeover Provisions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transfer agent for the Company’s common stock is American Stock Transfer &amp; Trust Co., 6201 15th Avenue, Brooklyn, NY 11219.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92" w:name="ufpi-20231230xex10daiii.htm"/>
      <w:bookmarkStart w:id="93" w:name="ksufpi20231230xex10daiii"/>
      <w:bookmarkEnd w:id="92"/>
      <w:bookmarkEnd w:id="93"/>
      <w:r>
        <w:rPr>
          <w:rFonts w:ascii="Times New Roman;Times;serif" w:hAnsi="Times New Roman;Times;serif"/>
          <w:b/>
          <w:sz w:val="22"/>
        </w:rPr>
        <w:t>Exhibit 10(a)(iii)</w:t>
      </w:r>
      <w:r>
        <w:br w:type="page"/>
      </w:r>
    </w:p>
    <w:p>
      <w:pPr>
        <w:pStyle w:val="TextBody"/>
        <w:bidi w:val="0"/>
        <w:spacing w:before="0" w:after="360"/>
        <w:ind w:left="0" w:right="0" w:hanging="0"/>
        <w:jc w:val="center"/>
        <w:rPr>
          <w:rFonts w:ascii="Times New Roman;Times;serif" w:hAnsi="Times New Roman;Times;serif"/>
          <w:b/>
          <w:caps/>
          <w:sz w:val="22"/>
        </w:rPr>
      </w:pPr>
      <w:r>
        <w:rPr>
          <w:rFonts w:ascii="Times New Roman;Times;serif" w:hAnsi="Times New Roman;Times;serif"/>
          <w:b/>
          <w:caps/>
          <w:sz w:val="22"/>
        </w:rPr>
        <w:t>Third AMENDMENT TO CREDIT AGREEMENT</w:t>
      </w:r>
    </w:p>
    <w:p>
      <w:pPr>
        <w:pStyle w:val="TextBody"/>
        <w:bidi w:val="0"/>
        <w:spacing w:before="0" w:after="220"/>
        <w:ind w:left="0" w:right="0" w:firstLine="720"/>
        <w:jc w:val="both"/>
        <w:rPr>
          <w:rFonts w:ascii="Times New Roman;Times;serif" w:hAnsi="Times New Roman;Times;serif"/>
          <w:sz w:val="22"/>
        </w:rPr>
      </w:pPr>
      <w:r>
        <w:rPr>
          <w:rFonts w:ascii="Times New Roman;Times;serif" w:hAnsi="Times New Roman;Times;serif"/>
          <w:sz w:val="22"/>
        </w:rPr>
        <w:t>This Third Amendment to Credit Agreement, dated as of  August 11, 2023 (this “</w:t>
      </w:r>
      <w:r>
        <w:rPr>
          <w:rFonts w:ascii="Times New Roman;Times;serif" w:hAnsi="Times New Roman;Times;serif"/>
          <w:sz w:val="22"/>
          <w:u w:val="single"/>
        </w:rPr>
        <w:t>Amendment</w:t>
      </w:r>
      <w:r>
        <w:rPr>
          <w:rFonts w:ascii="Times New Roman;Times;serif" w:hAnsi="Times New Roman;Times;serif"/>
          <w:sz w:val="22"/>
        </w:rPr>
        <w:t>”), is among UFP INDUSTRIES, INC., a Michigan corporation, the Foreign Subsidiary Borrowers, the other Loan Parties party hereto, the Lenders party hereto, and JPMORGAN CHASE BANK, N.A., as Administrative Agent.</w:t>
      </w:r>
    </w:p>
    <w:p>
      <w:pPr>
        <w:pStyle w:val="TextBody"/>
        <w:bidi w:val="0"/>
        <w:spacing w:before="0" w:after="360"/>
        <w:ind w:left="0" w:right="0" w:hanging="0"/>
        <w:jc w:val="center"/>
        <w:rPr>
          <w:rFonts w:ascii="Times New Roman;Times;serif" w:hAnsi="Times New Roman;Times;serif"/>
          <w:b/>
          <w:caps/>
          <w:sz w:val="22"/>
        </w:rPr>
      </w:pPr>
      <w:r>
        <w:rPr>
          <w:rFonts w:ascii="Times New Roman;Times;serif" w:hAnsi="Times New Roman;Times;serif"/>
          <w:b/>
          <w:caps/>
          <w:sz w:val="22"/>
        </w:rPr>
        <w:t>RECITAL</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UFP Industries, Inc. (f/k/a Universal Forest Products, Inc.), a Michigan corporation (the "Company"), the Foreign Subsidiary Borrowers party thereto from time to time (the “Foreign Subsidiary Borrowers” and collectively referred to with the Company as the "Borrowers", and each of them individually as a "Borrower"), the lenders party thereto from time to time (such lenders, together with any other lenders now or hereafter parties to the Credit Agreement, collectively referred to as the "Lenders"), and JPMorgan Chase Bank, N.A., as administrative agent for the Lenders (in such capacity, together with any successors or assigns, the "Administrative Agent") are parties to a Credit Agreement dated as of November 1, 2018 (as may be amended or modified from time to time, the "Credit Agreement"). The Borrowers desire to amend the Credit Agreement as set forth herein and the Lenders are willing to do so in accordance with the terms hereof.  Capitalized terms used herein, but not otherwise defined shall have the meanings ascribed to them in the Credit Agreement.</w:t>
      </w:r>
    </w:p>
    <w:p>
      <w:pPr>
        <w:pStyle w:val="TextBody"/>
        <w:bidi w:val="0"/>
        <w:spacing w:before="0" w:after="360"/>
        <w:ind w:left="0" w:right="0" w:hanging="0"/>
        <w:jc w:val="center"/>
        <w:rPr>
          <w:rFonts w:ascii="Times New Roman;Times;serif" w:hAnsi="Times New Roman;Times;serif"/>
          <w:b/>
          <w:caps/>
          <w:sz w:val="22"/>
        </w:rPr>
      </w:pPr>
      <w:r>
        <w:rPr>
          <w:rFonts w:ascii="Times New Roman;Times;serif" w:hAnsi="Times New Roman;Times;serif"/>
          <w:b/>
          <w:caps/>
          <w:sz w:val="22"/>
        </w:rPr>
        <w:t>TERMS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consideration of the premises and of the mutual agreements herein contained, the parties agree as follows:</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2"/>
        </w:rPr>
        <w:t>ARTICLE 1.</w:t>
      </w:r>
      <w:r>
        <w:rPr>
          <w:rFonts w:ascii="Times New Roman;Times;serif" w:hAnsi="Times New Roman;Times;serif"/>
          <w:b/>
          <w:caps/>
          <w:sz w:val="24"/>
        </w:rPr>
        <w:t>​</w:t>
      </w:r>
      <w:r>
        <w:rPr>
          <w:rFonts w:ascii="Times New Roman;Times;serif" w:hAnsi="Times New Roman;Times;serif"/>
          <w:b/>
          <w:caps/>
          <w:sz w:val="22"/>
        </w:rPr>
        <w:br/>
        <w:t>AMENDMENTS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1.1</w:t>
      </w:r>
      <w:bookmarkStart w:id="94" w:name="_Toc93068402"/>
      <w:bookmarkEnd w:id="94"/>
      <w:r>
        <w:rPr>
          <w:rFonts w:ascii="Times New Roman;Times;serif" w:hAnsi="Times New Roman;Times;serif"/>
          <w:sz w:val="22"/>
        </w:rPr>
        <w:t>The following definitions are added to Section 1.01 of the Credit Agreement:</w:t>
      </w:r>
    </w:p>
    <w:p>
      <w:pPr>
        <w:pStyle w:val="TextBody"/>
        <w:bidi w:val="0"/>
        <w:spacing w:before="0" w:after="0"/>
        <w:ind w:left="0" w:right="0" w:firstLine="720"/>
        <w:jc w:val="both"/>
        <w:rPr/>
      </w:pPr>
      <w:r>
        <w:rPr/>
        <w:t>“</w:t>
      </w:r>
      <w:r>
        <w:rPr>
          <w:rFonts w:ascii="Times New Roman;Times;serif" w:hAnsi="Times New Roman;Times;serif"/>
          <w:sz w:val="22"/>
          <w:u w:val="single"/>
        </w:rPr>
        <w:t>Ancillary Document</w:t>
      </w:r>
      <w:r>
        <w:rPr>
          <w:rFonts w:ascii="Times New Roman;Times;serif" w:hAnsi="Times New Roman;Times;serif"/>
          <w:sz w:val="22"/>
        </w:rPr>
        <w:t>” has the meaning assigned to it in Section 9.06(b).</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2"/>
          <w:u w:val="single"/>
        </w:rPr>
        <w:t>Investment</w:t>
      </w:r>
      <w:r>
        <w:rPr>
          <w:rFonts w:ascii="Times New Roman;Times;serif" w:hAnsi="Times New Roman;Times;serif"/>
          <w:sz w:val="22"/>
        </w:rPr>
        <w:t>” means, as to any Person, any direct or indirect acquisition or investment by such Person, whether by means of (a) the purchase or other acquisition of Equity Interests or debt or other securities of another Person, or (b) a loan, advance or capital contribution to, Guarantee or assumption of Indebtedness or other obligation or liabilities of, or purchase or other acquisition of any other debt or equity participation or interest in, another Person, including any partnership or joint venture interest in such other Person.  For purposes of covenant compliance, the amount of any Investment shall be the amount actually invested, without adjustment for subsequent increases or decreases in the value of such Investment or write-downs or write-offs thereof.</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2"/>
          <w:u w:val="single"/>
        </w:rPr>
        <w:t>Lender-Related Person</w:t>
      </w:r>
      <w:r>
        <w:rPr>
          <w:rFonts w:ascii="Times New Roman;Times;serif" w:hAnsi="Times New Roman;Times;serif"/>
          <w:sz w:val="22"/>
        </w:rPr>
        <w:t>” means the Administrative Agent, any Issuing Bank and any Lender, and any Related Party of any of the foregoing Persons.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1.2The following definition in Section 1.01 of the Credit Agreement is restated as follows:</w:t>
      </w:r>
    </w:p>
    <w:p>
      <w:pPr>
        <w:pStyle w:val="TextBody"/>
        <w:bidi w:val="0"/>
        <w:spacing w:before="0" w:after="0"/>
        <w:ind w:left="0" w:right="0" w:firstLine="720"/>
        <w:jc w:val="both"/>
        <w:rPr/>
      </w:pPr>
      <w:r>
        <w:rPr/>
        <w:t>“</w:t>
      </w:r>
      <w:r>
        <w:rPr>
          <w:rFonts w:ascii="Times New Roman;Times;serif" w:hAnsi="Times New Roman;Times;serif"/>
          <w:sz w:val="22"/>
          <w:u w:val="single"/>
        </w:rPr>
        <w:t>Sanctioned Country</w:t>
      </w:r>
      <w:r>
        <w:rPr>
          <w:rFonts w:ascii="Times New Roman;Times;serif" w:hAnsi="Times New Roman;Times;serif"/>
          <w:sz w:val="22"/>
        </w:rPr>
        <w:t>” means, at any time, a country, region or territory which is itself the subject or target of any Sanctions (at the time of this Agreement, the so-called Donetsk People’s Republic, the so-</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called Luhansk People’s Republic, the Crimea, Zaporizhzhia and Kherson Regions of Ukraine, Cuba, Iran, North Korea and Syria).</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1.3Section 2.21 of the Credit Agreement is amended by adding the following to the first paragraph thereof after the reference to “Section 5.01(a) or (b)”: “and as of any date an Investment is made under Section 6.04(g) or (h),”.</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1.4Section 6.04 of the Credit Agreement is restated as follows: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SECTION 6.04.  </w:t>
      </w:r>
      <w:r>
        <w:rPr>
          <w:rFonts w:ascii="Times New Roman;Times;serif" w:hAnsi="Times New Roman;Times;serif"/>
          <w:sz w:val="22"/>
          <w:u w:val="single"/>
        </w:rPr>
        <w:t>Investments, Loans, Advances, Guarantees and Acquisitions</w:t>
      </w:r>
      <w:r>
        <w:rPr>
          <w:rFonts w:ascii="Times New Roman;Times;serif" w:hAnsi="Times New Roman;Times;serif"/>
          <w:sz w:val="22"/>
        </w:rPr>
        <w:t>.  The Company will not, and will not permit any of its Restricted Subsidiaries to, purchase, hold or acquire (including pursuant to any merger with or as a Division Successor pursuant to the Division of, any Person that was not a Wholly-Owned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make any Acquisition, except: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Investments existing as of the Second Amendment Effective Date and set forth in Schedule 6.04 attached hereto and extensions, renewals and replacements thereof that do not increase the outstanding amount thereof, except to the extent such increase is a Permitted Investment or is otherwise permitted by this Section 6.04;</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pacing w:val="-3"/>
          <w:sz w:val="22"/>
        </w:rPr>
        <w:t>extensions of trade credit made in the ordinary course of business on customary credit terms and commission, travel, relocation and similar advances made to officers and employees in the ordinary course of business;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Investments made by the Company or any Restricted Subsidiary (i) to the Company or any Wholly-Owned Subsidiary that is a Guarantor or (ii) to any Wholly-Owned Subsidiary that is a Foreign Subsidiary that has at least 65% of its Equity Interests pledged pursuant hereto;</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b w:val="false"/>
          <w:i w:val="false"/>
          <w:caps w:val="false"/>
          <w:smallCaps w:val="false"/>
          <w:spacing w:val="-3"/>
          <w:sz w:val="22"/>
        </w:rPr>
        <w:t>)</w:t>
      </w:r>
      <w:r>
        <w:rPr>
          <w:rFonts w:ascii="Times New Roman;Times;serif" w:hAnsi="Times New Roman;Times;serif"/>
          <w:spacing w:val="-3"/>
          <w:sz w:val="22"/>
        </w:rPr>
        <w:t>Permitted Investments;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3"/>
          <w:sz w:val="22"/>
        </w:rPr>
        <w:t>(e)</w:t>
      </w:r>
      <w:r>
        <w:rPr>
          <w:rFonts w:ascii="Times New Roman;Times;serif" w:hAnsi="Times New Roman;Times;serif"/>
          <w:spacing w:val="-3"/>
          <w:sz w:val="22"/>
        </w:rPr>
        <w:t>Investments consisting of non-cash consideration for any disposition of assets permitted by Section 6.09;</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pacing w:val="-3"/>
          <w:sz w:val="22"/>
        </w:rPr>
        <w:t xml:space="preserve">Acquisitions, provided each of the following conditions is satisfied:  (A) there is no Default either before or after such Acquisition, (B) the representations and warranties contained in this Agreement shall be true and correct as if made on and as of the date such Acquisition is consummated, both before and after giving effect thereto, (C) such Acquisition is not a Hostile Acquisition, (D) if such Acquisition is an acquisition of Equity Interests, such Acquisition will not result in any violation of Regulation U, (E) if the total consideration, cash or non-cash, paid or payable for such Acquisition is greater than $100,000,000, prior to the consummation of such Acquisition, the </w:t>
      </w:r>
      <w:r>
        <w:rPr>
          <w:rFonts w:ascii="Times New Roman;Times;serif" w:hAnsi="Times New Roman;Times;serif"/>
          <w:sz w:val="22"/>
        </w:rPr>
        <w:t>Company</w:t>
      </w:r>
      <w:r>
        <w:rPr>
          <w:rFonts w:ascii="Times New Roman;Times;serif" w:hAnsi="Times New Roman;Times;serif"/>
          <w:spacing w:val="-3"/>
          <w:sz w:val="22"/>
        </w:rPr>
        <w:t xml:space="preserve"> shall deliver a satisfactory pro forma covenants compliance certificate to the Administrative Agent and (F) the target of such Acquisition is in the same line of business as conducted by the </w:t>
      </w:r>
      <w:r>
        <w:rPr>
          <w:rFonts w:ascii="Times New Roman;Times;serif" w:hAnsi="Times New Roman;Times;serif"/>
          <w:sz w:val="22"/>
        </w:rPr>
        <w:t xml:space="preserve">Company as of the Effective Date or a line of business similar thereto or that </w:t>
      </w:r>
      <w:r>
        <w:rPr>
          <w:rFonts w:ascii="Times New Roman;Times;serif" w:hAnsi="Times New Roman;Times;serif"/>
          <w:spacing w:val="-2"/>
          <w:sz w:val="22"/>
        </w:rPr>
        <w:t>supports such business or is related or ancillary thereto</w:t>
      </w:r>
      <w:r>
        <w:rPr>
          <w:rFonts w:ascii="Times New Roman;Times;serif" w:hAnsi="Times New Roman;Times;serif"/>
          <w:spacing w:val="-3"/>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3"/>
          <w:sz w:val="22"/>
        </w:rPr>
        <w:t xml:space="preserve">(g) </w:t>
      </w:r>
      <w:r>
        <w:rPr>
          <w:rFonts w:ascii="Times New Roman;Times;serif" w:hAnsi="Times New Roman;Times;serif"/>
          <w:spacing w:val="-3"/>
          <w:sz w:val="22"/>
        </w:rPr>
        <w:t xml:space="preserve">Investments in Unrestricted Subsidiaries, </w:t>
      </w:r>
      <w:r>
        <w:rPr>
          <w:rFonts w:ascii="Times New Roman;Times;serif" w:hAnsi="Times New Roman;Times;serif"/>
          <w:sz w:val="22"/>
        </w:rPr>
        <w:t xml:space="preserve">provided that (i) immediately after giving effect to such Investment (x) no Default then exists or would be caused thereby, on a pro forma basis acceptable to the Administrative Agent and (y) the Company is in compliance with Sections 2.21 and 2.23 and (ii) such amounts of any investments, loans or advances shall be excluded when calculating the assets of the Company and its Restricted Subsidiaries;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(h) </w:t>
      </w:r>
      <w:r>
        <w:rPr>
          <w:rFonts w:ascii="Times New Roman;Times;serif" w:hAnsi="Times New Roman;Times;serif"/>
          <w:sz w:val="22"/>
        </w:rPr>
        <w:t>Investments in Restricted Subsidiaries, provided that immediately after giving effect to such Investment (x) no Default then exists or would be caused thereby, on a pro forma basis acceptable to the Administrative Agent, (y) the Company is in compliance with Section 2.21, and (z) the aggregate amount of the Guarantees by any Loan Parties with respect to the Indebtedness and other obligations and liabilities of  Restricted Subsidiaries that are not Loan Parties shall not exceed $40,000,000; and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3"/>
          <w:sz w:val="22"/>
        </w:rPr>
        <w:t>(i)</w:t>
      </w:r>
      <w:r>
        <w:rPr>
          <w:rFonts w:ascii="Times New Roman;Times;serif" w:hAnsi="Times New Roman;Times;serif"/>
          <w:spacing w:val="-3"/>
          <w:sz w:val="22"/>
        </w:rPr>
        <w:t xml:space="preserve">If no Default exists or would be caused thereby, other Investments not otherwise permitted by this Section 6.04 (excluding Investments in Unrestricted Subsidiaries) in aggregate outstanding amount at any time not to exceed </w:t>
      </w:r>
      <w:r>
        <w:rPr>
          <w:rFonts w:ascii="Times New Roman;Times;serif" w:hAnsi="Times New Roman;Times;serif"/>
          <w:sz w:val="22"/>
        </w:rPr>
        <w:t>15% of Net Worth – Restricted Subsidiaries.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1.5Section 9.06(b) of the Credit Agreement is restated as follows: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w:t>
      </w:r>
      <w:bookmarkStart w:id="95" w:name="_DV_C7"/>
      <w:bookmarkEnd w:id="95"/>
      <w:r>
        <w:rPr>
          <w:rFonts w:ascii="Times New Roman;Times;serif" w:hAnsi="Times New Roman;Times;serif"/>
          <w:sz w:val="22"/>
        </w:rPr>
        <w:t xml:space="preserve">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pStyle w:val="TextBody"/>
        <w:bidi w:val="0"/>
        <w:spacing w:before="0" w:after="0"/>
        <w:ind w:left="0" w:right="0" w:firstLine="720"/>
        <w:jc w:val="both"/>
        <w:rPr/>
      </w:pPr>
      <w:r>
        <w:rPr/>
        <w:t>​</w:t>
      </w:r>
    </w:p>
    <w:p>
      <w:pPr>
        <w:pStyle w:val="TextBody"/>
        <w:bidi w:val="0"/>
        <w:ind w:left="0" w:right="0" w:hanging="0"/>
        <w:jc w:val="center"/>
        <w:rPr>
          <w:rFonts w:ascii="Times New Roman;Times;serif" w:hAnsi="Times New Roman;Times;serif"/>
          <w:b/>
          <w:caps/>
          <w:sz w:val="24"/>
        </w:rPr>
      </w:pPr>
      <w:r>
        <w:rPr>
          <w:rFonts w:ascii="Times New Roman;Times;serif" w:hAnsi="Times New Roman;Times;serif"/>
          <w:b/>
          <w:caps/>
          <w:sz w:val="22"/>
        </w:rPr>
        <w:t>ARTICLE 2.</w:t>
      </w:r>
      <w:r>
        <w:rPr>
          <w:rFonts w:ascii="Times New Roman;Times;serif" w:hAnsi="Times New Roman;Times;serif"/>
          <w:b/>
          <w:caps/>
          <w:sz w:val="24"/>
        </w:rPr>
        <w:t>​</w:t>
      </w:r>
      <w:r>
        <w:rPr>
          <w:rFonts w:ascii="Times New Roman;Times;serif" w:hAnsi="Times New Roman;Times;serif"/>
          <w:b/>
          <w:caps/>
          <w:sz w:val="22"/>
        </w:rPr>
        <w:br/>
        <w:t>REPRESENTATIONS.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order to induce the Lenders and the Administrative Agent to enter into this Amendment, each Loan Party represents and warrants to each Lender and the Administrative Agent that the following statements are true, correct and complete as of the Third Amendment Effective Date: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2.1The execution, delivery and performance of this Amendment are within its powers, have been duly authorized by existing board resolutions or other necessary company and corporate action, as applicable, and are not in contravention of any statute, law or regulation or of any terms of its operating agreement, articles of incorporation, certificate of incorporation, by-laws or other charter documents, or of any material agreement or undertaking to which it is a party or by which it is bound.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2.2This Amendment is the legal, valid and binding obligation of it, enforceable against it in accordance with the terms hereof, except as enforceability may be limited by bankruptcy, insolvency or similar laws affecting the enforcement of creditors' rights generally and by general principles of equity.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2.3Immediately before and after giving effect to the amendments contained herein, the representations and warranties contained in Article III of the Credit Agreement are true and correct in all material respects on and as of the date hereof with the same force and effect as if made on and as of the date hereof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2.4After giving effect to the amendments contained herein, no Default exists or has occurred and is continuing.</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2.5</w:t>
      </w:r>
      <w:r>
        <w:rPr>
          <w:rFonts w:ascii="Times New Roman;Times;serif" w:hAnsi="Times New Roman;Times;serif"/>
          <w:sz w:val="22"/>
        </w:rPr>
        <w:t>Neither the Company nor any Subsidiary has paid, or agreed to pay, any fees or other consideration for or with respect to any amendment to the Senior Note Purchase Documents other than reimbursement of out-of-pocket fees and expenses of legal counsel.</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2.6</w:t>
      </w:r>
      <w:r>
        <w:rPr>
          <w:rFonts w:ascii="Times New Roman;Times;serif" w:hAnsi="Times New Roman;Times;serif"/>
          <w:sz w:val="22"/>
        </w:rPr>
        <w:t>As of the date hereof, each Restricted Subsidiary of the Company that is required to be a Guarantor under Section 2.21 of the Credit Agreement is obligated as a Guarantor under a Guaranty and the Company is otherwise in compliance with Section 2.21 of the Credit Agreement.</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2"/>
        </w:rPr>
        <w:t>ARTICLE 3.</w:t>
      </w:r>
      <w:r>
        <w:rPr>
          <w:rFonts w:ascii="Times New Roman;Times;serif" w:hAnsi="Times New Roman;Times;serif"/>
          <w:b/>
          <w:caps/>
          <w:sz w:val="24"/>
        </w:rPr>
        <w:t>​</w:t>
      </w:r>
      <w:r>
        <w:rPr>
          <w:rFonts w:ascii="Times New Roman;Times;serif" w:hAnsi="Times New Roman;Times;serif"/>
          <w:b/>
          <w:caps/>
          <w:sz w:val="22"/>
        </w:rPr>
        <w:br/>
        <w:t>CONDITIONS PRECEDENT.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Amendments to the Credit Agreement in Article 1 hereof shall become effective as of the date hereof (the “Third Amendment Effective Date”) when each of the following conditions is satisfied: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3.1The Borrowers, the Lenders and the Administrative Agent shall have executed this Amendment and the Guarantors shall have executed the Consent and Agreement hereto.</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3.2The Administrative Agent shall have received, and be reasonably satisfied with, amendments to the Senior Note Purchase Documents and to the agreements governing any other Principal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Credit Facility requested by the Administrative Agent, in each case to close simultaneously with this Amendment and consistent with this Amendment, and otherwise in form and substance to the Administrative Agent.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2"/>
        </w:rPr>
        <w:t>3.3</w:t>
      </w:r>
      <w:r>
        <w:rPr>
          <w:rFonts w:ascii="Times New Roman;Times;serif" w:hAnsi="Times New Roman;Times;serif"/>
          <w:spacing w:val="-3"/>
          <w:sz w:val="22"/>
        </w:rPr>
        <w:t>The Administrative Agent shall have received and be reasonably satisfied with such other documents, and the Loan Parties shall have satisfied such other conditions, as disclosed on the closing list delivered to the Company prior to the date hereof, each satisfactory in form and substance to the Administrative Agent.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2"/>
        </w:rPr>
        <w:t>ARTICLE 4.</w:t>
      </w:r>
      <w:r>
        <w:rPr>
          <w:rFonts w:ascii="Times New Roman;Times;serif" w:hAnsi="Times New Roman;Times;serif"/>
          <w:b/>
          <w:caps/>
          <w:sz w:val="24"/>
        </w:rPr>
        <w:t>​</w:t>
      </w:r>
      <w:r>
        <w:rPr>
          <w:rFonts w:ascii="Times New Roman;Times;serif" w:hAnsi="Times New Roman;Times;serif"/>
          <w:b/>
          <w:caps/>
          <w:sz w:val="22"/>
        </w:rPr>
        <w:br/>
        <w:t>MISCELLANEOUS.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4.1References in the Credit Agreement or in any other Loan Document to the Credit Agreement shall be deemed to be references to the Credit Agreement as amended hereby and as further amended from time to time.  This Amendment shall constitute a Loan Document.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4.2Without limiting any amounts payable under the Loan Documents, the Loan Parties, jointly and severally, agree to pay all reasonable and documented out of pocket expenses, including the reasonable fees, charges and disbursements of counsel, of the Administrative Agent in connection with this Amendment and the transaction in connection herewith.</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4.3Except as expressly amended hereby, each of the Loan Parties agrees that the Credit Agreement and the other Loan Documents are ratified and confirmed, as amended hereby, and shall remain in full force and effect in accordance with their terms and that they are not aware of any set off, counterclaim, defense or other claim or dispute with respect to any of the foregoing. The execution, delivery and effectiveness of this Amendment shall not operate as a waiver of any right, power or remedy of any Lender or the Administrative Agent under any of the Loan Documents, nor constitute a waiver of any provision of any of the Loan Documents.  Nothing herein shall be deemed to entitle any Loan Party to any future consent to, or waiver, amendment, modification or other change of, any of the terms, conditions, obligations, covenants or agreements contained in the Credit Agreement or any other Loan Document in similar or different circumstances.  The Loan Parties acknowledge and agree that, without limiting the terms of any Loan Documents, all Secured Obligations are unconditionally owing by the Loan Parties and their applicable Subsidiaries without setoff, recoupment, defense, or counterclaim, in law or in equity, of any kind or character, and all Secured Obligations are and will continue to be secured by valid, perfected, indefeasible Liens in, among other things, the Collateral, as applicable, and each of the Loan Parties reaffirms its obligations and duties under the Loan Documents and the Liens in the Collateral that it granted to Administrative Agent under the Loan Documents, as applicable, to secure the Secured Obligations.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4.4Each Loan Party represents and warrants that it is not aware of any claims or causes of action against any Lender, the Administrative Agent or any of their respective affiliates, successors or assigns, it has not assigned any claim, set off, or defense with respect to the Secured Obligations, the Administrative Agent, any Lender, or the Loan Documents and that it has no defenses, offsets or counterclaims with respect to the Secured Obligations.  Notwithstanding this representation and as further consideration for the agreements and understandings herein, each Loan Party, on behalf of itself and its employees, agents, executors, heirs, successors and assigns (the “Releasing Parties”), hereby releases each Lender, the Administrative Agent and their respective predecessors, officers, directors, employees, agents, attorneys, affiliates, subsidiaries, successors and assigns (the “Released Parties”), from any liability, claim, right or cause of action which now exists or hereafter arises as a result of acts, omissions or events occurring on or prior to the date hereof, whether known or unknown, arising from or in any way related to the Credit Agreement, the other Loan Documents, all transactions relating to the Credit Agreement or any of the other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Loan Documents or the business relationship among, or any other transactions or dealings among, the Releasing Parties or any of them and the Released Parties or any of them relating to the Credit Agreement or any of the other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4.5</w:t>
      </w:r>
      <w:r>
        <w:rPr>
          <w:rFonts w:ascii="Times New Roman;Times;serif" w:hAnsi="Times New Roman;Times;serif"/>
          <w:spacing w:val="-3"/>
          <w:sz w:val="22"/>
        </w:rPr>
        <w:t>This Amendment may be executed in counterparts (and by different parties hereto on different counterparts), each of which shall constitute an original, but all of which when taken together shall constitute a single contract.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4.6</w:t>
      </w:r>
      <w:r>
        <w:rPr>
          <w:rFonts w:ascii="Times New Roman;Times;serif" w:hAnsi="Times New Roman;Times;serif"/>
          <w:spacing w:val="-3"/>
          <w:sz w:val="22"/>
        </w:rPr>
        <w:t>Each party hereto hereby acknowledges and agrees that, among other provisions, the terms set forth in Sections 9.06(b), 9.09 and 9.10 of the Credit Agreement, as amended hereby, apply to this Amendment as if such sections were set forth in full herein.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4.7This Amendment shall be governed by, and construed in accordance with, the laws of the State of Michigan.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4.8Any provision of this Amendment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b/>
          <w:sz w:val="22"/>
        </w:rPr>
        <w:t>Signature Pages Follow</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WITNESS WHEREOF, the parties hereto have caused this Amendment to be duly executed by their respective authorized officers as of the date first above written.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4320"/>
        <w:jc w:val="left"/>
        <w:rPr>
          <w:rFonts w:ascii="Times New Roman;Times;serif" w:hAnsi="Times New Roman;Times;serif"/>
          <w:sz w:val="22"/>
        </w:rPr>
      </w:pPr>
      <w:r>
        <w:rPr>
          <w:rFonts w:ascii="Times New Roman;Times;serif" w:hAnsi="Times New Roman;Times;serif"/>
          <w:b/>
          <w:sz w:val="22"/>
        </w:rPr>
        <w:t>UFP INDUSTRIES, INC.,</w:t>
      </w:r>
      <w:r>
        <w:rPr>
          <w:rFonts w:ascii="Times New Roman;Times;serif" w:hAnsi="Times New Roman;Times;serif"/>
          <w:sz w:val="22"/>
        </w:rPr>
        <w:t xml:space="preserve"> f/k/a Universal Forest Products, Inc., as Company and a Borrower</w:t>
      </w:r>
    </w:p>
    <w:p>
      <w:pPr>
        <w:pStyle w:val="TextBody"/>
        <w:bidi w:val="0"/>
        <w:spacing w:before="0" w:after="0"/>
        <w:ind w:left="0" w:right="0" w:firstLine="4320"/>
        <w:jc w:val="left"/>
        <w:rPr/>
      </w:pPr>
      <w:r>
        <w:rPr/>
        <w:t>​</w:t>
      </w:r>
    </w:p>
    <w:p>
      <w:pPr>
        <w:pStyle w:val="TextBody"/>
        <w:bidi w:val="0"/>
        <w:spacing w:before="0" w:after="0"/>
        <w:ind w:left="0" w:right="0" w:firstLine="4320"/>
        <w:jc w:val="left"/>
        <w:rPr/>
      </w:pPr>
      <w:r>
        <w:rPr/>
        <w:t>​</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Name: Michael R. Cole</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 xml:space="preserve">Title: Chief Financial Officer </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b/>
          <w:sz w:val="22"/>
        </w:rPr>
        <w:t>UFP CANADA, INC.,</w:t>
      </w:r>
      <w:r>
        <w:rPr>
          <w:rFonts w:ascii="Times New Roman;Times;serif" w:hAnsi="Times New Roman;Times;serif"/>
          <w:sz w:val="22"/>
        </w:rPr>
        <w:t xml:space="preserve"> as a Foreign Subsidiary Borrower</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Name: Michael R. Cole</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 xml:space="preserve">Title: Treasurer </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b/>
          <w:sz w:val="22"/>
        </w:rPr>
        <w:t>UFP AUSTRALIA PTY LTD.,</w:t>
      </w:r>
      <w:r>
        <w:rPr>
          <w:rFonts w:ascii="Times New Roman;Times;serif" w:hAnsi="Times New Roman;Times;serif"/>
          <w:sz w:val="22"/>
        </w:rPr>
        <w:t xml:space="preserve"> as a Foreign Subsidiary Borrower</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Name: Michael R. Cole</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 xml:space="preserve">Title: Treasurer </w:t>
      </w:r>
    </w:p>
    <w:p>
      <w:pPr>
        <w:pStyle w:val="TextBody"/>
        <w:bidi w:val="0"/>
        <w:spacing w:before="0" w:after="0"/>
        <w:ind w:left="0" w:right="0" w:firstLine="4320"/>
        <w:jc w:val="both"/>
        <w:rPr/>
      </w:pPr>
      <w:r>
        <w:rPr/>
        <w:t>​</w:t>
      </w:r>
    </w:p>
    <w:p>
      <w:pPr>
        <w:pStyle w:val="TextBody"/>
        <w:bidi w:val="0"/>
        <w:spacing w:before="0" w:after="0"/>
        <w:ind w:left="0" w:right="0" w:firstLine="43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tbl>
      <w:tblPr>
        <w:tblW w:w="7546" w:type="dxa"/>
        <w:jc w:val="left"/>
        <w:tblInd w:w="0" w:type="dxa"/>
        <w:tblLayout w:type="fixed"/>
        <w:tblCellMar>
          <w:top w:w="0" w:type="dxa"/>
          <w:left w:w="0" w:type="dxa"/>
          <w:bottom w:w="0" w:type="dxa"/>
          <w:right w:w="0" w:type="dxa"/>
        </w:tblCellMar>
      </w:tblPr>
      <w:tblGrid>
        <w:gridCol w:w="7546"/>
      </w:tblGrid>
      <w:tr>
        <w:trPr/>
        <w:tc>
          <w:tcPr>
            <w:tcW w:w="75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 xml:space="preserve">JPMORGAN CHASE BANK, N.A., </w:t>
            </w:r>
            <w:r>
              <w:rPr>
                <w:rFonts w:ascii="Times New Roman;Times;serif" w:hAnsi="Times New Roman;Times;serif"/>
                <w:sz w:val="22"/>
              </w:rPr>
              <w:t>as a Lender and as Administrative Agent</w:t>
            </w:r>
          </w:p>
        </w:tc>
      </w:tr>
      <w:tr>
        <w:trPr/>
        <w:tc>
          <w:tcPr>
            <w:tcW w:w="7546" w:type="dxa"/>
            <w:tcBorders/>
            <w:vAlign w:val="center"/>
          </w:tcPr>
          <w:p>
            <w:pPr>
              <w:pStyle w:val="TableContents"/>
              <w:bidi w:val="0"/>
              <w:spacing w:before="0" w:after="0"/>
              <w:ind w:left="0" w:right="0" w:hanging="0"/>
              <w:jc w:val="both"/>
              <w:rPr/>
            </w:pPr>
            <w:r>
              <w:rPr/>
              <w:t>​</w:t>
            </w:r>
          </w:p>
        </w:tc>
      </w:tr>
      <w:tr>
        <w:trPr/>
        <w:tc>
          <w:tcPr>
            <w:tcW w:w="7546" w:type="dxa"/>
            <w:tcBorders/>
            <w:vAlign w:val="center"/>
          </w:tcPr>
          <w:p>
            <w:pPr>
              <w:pStyle w:val="TableContents"/>
              <w:bidi w:val="0"/>
              <w:spacing w:before="0" w:after="0"/>
              <w:ind w:left="0" w:right="0" w:hanging="0"/>
              <w:jc w:val="both"/>
              <w:rPr/>
            </w:pPr>
            <w:r>
              <w:rPr/>
              <w:t>​</w:t>
            </w:r>
          </w:p>
        </w:tc>
      </w:tr>
      <w:tr>
        <w:trPr/>
        <w:tc>
          <w:tcPr>
            <w:tcW w:w="7546" w:type="dxa"/>
            <w:tcBorders/>
            <w:vAlign w:val="center"/>
          </w:tcPr>
          <w:p>
            <w:pPr>
              <w:pStyle w:val="TableContents"/>
              <w:bidi w:val="0"/>
              <w:spacing w:before="0" w:after="0"/>
              <w:ind w:left="0" w:right="0" w:hanging="0"/>
              <w:jc w:val="both"/>
              <w:rPr/>
            </w:pPr>
            <w:r>
              <w:rPr/>
              <w:t>​</w:t>
            </w:r>
          </w:p>
        </w:tc>
      </w:tr>
      <w:tr>
        <w:trPr/>
        <w:tc>
          <w:tcPr>
            <w:tcW w:w="75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  _________________________</w:t>
            </w:r>
          </w:p>
        </w:tc>
      </w:tr>
      <w:tr>
        <w:trPr/>
        <w:tc>
          <w:tcPr>
            <w:tcW w:w="75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Jonathan Bennett</w:t>
            </w:r>
          </w:p>
        </w:tc>
      </w:tr>
      <w:tr>
        <w:trPr/>
        <w:tc>
          <w:tcPr>
            <w:tcW w:w="75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Authorized Officer</w:t>
            </w:r>
          </w:p>
        </w:tc>
      </w:tr>
      <w:tr>
        <w:trPr/>
        <w:tc>
          <w:tcPr>
            <w:tcW w:w="754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JPMORGAN CHASE BANK, NATIONAL ASSOCIATION, TORONTO BRANCH</w:t>
      </w:r>
      <w:r>
        <w:rPr>
          <w:rFonts w:ascii="Times New Roman;Times;serif" w:hAnsi="Times New Roman;Times;serif"/>
          <w:sz w:val="22"/>
        </w:rPr>
        <w:t>, as the Applicable Lending Installation and Related Party designated by JPMorgan Chase Bank, N.A. for Loans to any Borrower in Canada or in Canadian Dollars</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  Jeffrey Coleman</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 xml:space="preserve">Title:  Authorized Officer </w:t>
      </w:r>
    </w:p>
    <w:p>
      <w:pPr>
        <w:pStyle w:val="TextBody"/>
        <w:bidi w:val="0"/>
        <w:spacing w:before="0" w:after="0"/>
        <w:ind w:left="4320" w:right="0" w:hanging="0"/>
        <w:jc w:val="both"/>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WELLS FARGO BANK, N.A</w:t>
      </w:r>
      <w:r>
        <w:rPr>
          <w:rFonts w:ascii="Times New Roman;Times;serif" w:hAnsi="Times New Roman;Times;serif"/>
          <w:sz w:val="22"/>
        </w:rPr>
        <w:t>., as a Lender and as Syndication Agent</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 xml:space="preserve">PNC BANK, NATIONAL ASSOCIATION </w:t>
      </w:r>
      <w:r>
        <w:rPr>
          <w:rFonts w:ascii="Times New Roman;Times;serif" w:hAnsi="Times New Roman;Times;serif"/>
          <w:sz w:val="22"/>
        </w:rPr>
        <w:t>as a Lender and as Documentation Agent</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b/>
          <w:sz w:val="22"/>
        </w:rPr>
      </w:pPr>
      <w:r>
        <w:rPr>
          <w:rFonts w:ascii="Times New Roman;Times;serif" w:hAnsi="Times New Roman;Times;serif"/>
          <w:b/>
          <w:sz w:val="22"/>
        </w:rPr>
        <w:t>THE HUNTINGTON NATIONAL BANK</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4320" w:right="0" w:hanging="0"/>
        <w:jc w:val="both"/>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b/>
          <w:sz w:val="22"/>
        </w:rPr>
      </w:pPr>
      <w:r>
        <w:rPr>
          <w:rFonts w:ascii="Times New Roman;Times;serif" w:hAnsi="Times New Roman;Times;serif"/>
          <w:b/>
          <w:sz w:val="22"/>
        </w:rPr>
        <w:t>BANK OF AMERICA, N.A.</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BANK OF AMERICA, N.A.</w:t>
      </w:r>
      <w:r>
        <w:rPr>
          <w:rFonts w:ascii="Times New Roman;Times;serif" w:hAnsi="Times New Roman;Times;serif"/>
          <w:sz w:val="22"/>
        </w:rPr>
        <w:t xml:space="preserve"> (Canada branch) as the Applicable Lending Installation and Related Party designated by Bank of America, N.A. for Loans to any Borrower in Canada or in Canadian Dollars</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4320" w:right="0" w:hanging="0"/>
        <w:jc w:val="both"/>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b/>
          <w:sz w:val="22"/>
        </w:rPr>
      </w:pPr>
      <w:r>
        <w:rPr>
          <w:rFonts w:ascii="Times New Roman;Times;serif" w:hAnsi="Times New Roman;Times;serif"/>
          <w:b/>
          <w:sz w:val="22"/>
        </w:rPr>
        <w:t>COBANK, FBC</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4320" w:right="0" w:hanging="0"/>
        <w:jc w:val="both"/>
        <w:rPr>
          <w:rFonts w:ascii="Times New Roman;Times;serif" w:hAnsi="Times New Roman;Times;serif"/>
          <w:b/>
          <w:sz w:val="22"/>
        </w:rPr>
      </w:pPr>
      <w:r>
        <w:rPr>
          <w:rFonts w:ascii="Times New Roman;Times;serif" w:hAnsi="Times New Roman;Times;serif"/>
          <w:b/>
          <w:sz w:val="22"/>
        </w:rPr>
        <w:t>GREENSTONE FARM CREDIT SERVICES</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_________________________</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Name:</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Title:</w:t>
      </w:r>
    </w:p>
    <w:p>
      <w:pPr>
        <w:pStyle w:val="TextBody"/>
        <w:bidi w:val="0"/>
        <w:spacing w:before="0" w:after="240"/>
        <w:ind w:left="4320" w:right="0" w:hanging="0"/>
        <w:jc w:val="left"/>
        <w:rPr/>
      </w:pPr>
      <w:r>
        <w:rPr/>
        <w:t>​</w:t>
      </w:r>
    </w:p>
    <w:p>
      <w:pPr>
        <w:pStyle w:val="TextBody"/>
        <w:bidi w:val="0"/>
        <w:spacing w:before="0" w:after="240"/>
        <w:ind w:left="4320" w:right="0" w:hanging="0"/>
        <w:jc w:val="left"/>
        <w:rPr/>
      </w:pPr>
      <w:r>
        <w:rPr/>
        <w: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 Third Amendment to Credit Agreement – UFP Industries, Inc.</w:t>
      </w:r>
    </w:p>
    <w:p>
      <w:pPr>
        <w:pStyle w:val="TextBody"/>
        <w:bidi w:val="0"/>
        <w:spacing w:before="0" w:after="0"/>
        <w:ind w:left="0" w:right="0" w:hanging="0"/>
        <w:jc w:val="center"/>
        <w:rPr>
          <w:smallCaps/>
        </w:rPr>
      </w:pPr>
      <w:r>
        <w:rPr>
          <w:smallCaps/>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CONSENT AND AGREEMENT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               </w:t>
      </w:r>
      <w:r>
        <w:rPr>
          <w:rFonts w:ascii="Times New Roman;Times;serif" w:hAnsi="Times New Roman;Times;serif"/>
          <w:sz w:val="22"/>
        </w:rPr>
        <w:t>As of the date and year first above written, each of the undersigned hereby:</w:t>
      </w:r>
    </w:p>
    <w:p>
      <w:pPr>
        <w:pStyle w:val="TextBody"/>
        <w:bidi w:val="0"/>
        <w:spacing w:before="0" w:after="0"/>
        <w:ind w:left="0" w:right="0" w:hanging="0"/>
        <w:jc w:val="both"/>
        <w:rPr/>
      </w:pPr>
      <w:r>
        <w:rPr/>
        <w:t>​</w:t>
      </w:r>
    </w:p>
    <w:p>
      <w:pPr>
        <w:pStyle w:val="TextBody"/>
        <w:bidi w:val="0"/>
        <w:spacing w:before="0" w:after="0"/>
        <w:ind w:left="0" w:right="0" w:hanging="0"/>
        <w:jc w:val="both"/>
        <w:rPr/>
      </w:pPr>
      <w:r>
        <w:rPr/>
        <w:t>               </w:t>
      </w:r>
      <w:r>
        <w:rPr>
          <w:rFonts w:ascii="Times New Roman;Times;serif" w:hAnsi="Times New Roman;Times;serif"/>
          <w:sz w:val="22"/>
        </w:rPr>
        <w:t>(a)   fully consents to the terms and provisions of the above Amendment and the consummation of the transactions contemplated thereby and agrees to be bound by the provisions applicable to it (including representations, warranties, and agreements, as applicable);</w:t>
      </w:r>
    </w:p>
    <w:p>
      <w:pPr>
        <w:pStyle w:val="TextBody"/>
        <w:bidi w:val="0"/>
        <w:spacing w:before="0" w:after="0"/>
        <w:ind w:left="0" w:right="0" w:hanging="0"/>
        <w:jc w:val="both"/>
        <w:rPr/>
      </w:pPr>
      <w:r>
        <w:rPr/>
        <w:t>​</w:t>
      </w:r>
    </w:p>
    <w:p>
      <w:pPr>
        <w:pStyle w:val="TextBody"/>
        <w:bidi w:val="0"/>
        <w:spacing w:before="0" w:after="0"/>
        <w:ind w:left="0" w:right="0" w:hanging="0"/>
        <w:jc w:val="both"/>
        <w:rPr/>
      </w:pPr>
      <w:r>
        <w:rPr/>
        <w:t>               </w:t>
      </w:r>
      <w:r>
        <w:rPr>
          <w:rFonts w:ascii="Times New Roman;Times;serif" w:hAnsi="Times New Roman;Times;serif"/>
          <w:sz w:val="22"/>
        </w:rPr>
        <w:t>(b)   agrees that each Loan Document to which it is a party is hereby ratified and confirmed and shall remain in full force and effect, and acknowledges that it has no setoff, counterclaim, defense or other claim or dispute with respect to any such Loan Document to which it is a party and each other Loan Document to which it is a party;</w:t>
      </w:r>
    </w:p>
    <w:p>
      <w:pPr>
        <w:pStyle w:val="TextBody"/>
        <w:bidi w:val="0"/>
        <w:spacing w:before="0" w:after="0"/>
        <w:ind w:left="0" w:right="0" w:hanging="0"/>
        <w:jc w:val="both"/>
        <w:rPr/>
      </w:pPr>
      <w:r>
        <w:rPr/>
        <w:t>​</w:t>
      </w:r>
    </w:p>
    <w:p>
      <w:pPr>
        <w:pStyle w:val="TextBody"/>
        <w:bidi w:val="0"/>
        <w:spacing w:before="0" w:after="0"/>
        <w:ind w:left="0" w:right="0" w:hanging="0"/>
        <w:jc w:val="both"/>
        <w:rPr/>
      </w:pPr>
      <w:r>
        <w:rPr/>
        <w:t>               </w:t>
      </w:r>
      <w:r>
        <w:rPr>
          <w:rFonts w:ascii="Times New Roman;Times;serif" w:hAnsi="Times New Roman;Times;serif"/>
          <w:sz w:val="22"/>
        </w:rPr>
        <w:t>(c)   acknowledges that its consent and agreement hereto is a condition to the Lenders  obligations under the above Amendment and it is in its interest and to its financial benefit to execute this Consent and Agreement; and</w:t>
      </w:r>
    </w:p>
    <w:p>
      <w:pPr>
        <w:pStyle w:val="TextBody"/>
        <w:bidi w:val="0"/>
        <w:spacing w:before="0" w:after="0"/>
        <w:ind w:left="0" w:right="0" w:hanging="0"/>
        <w:jc w:val="both"/>
        <w:rPr/>
      </w:pPr>
      <w:r>
        <w:rPr/>
        <w:t>​</w:t>
      </w:r>
    </w:p>
    <w:p>
      <w:pPr>
        <w:pStyle w:val="TextBody"/>
        <w:bidi w:val="0"/>
        <w:spacing w:before="0" w:after="0"/>
        <w:ind w:left="0" w:right="0" w:hanging="0"/>
        <w:jc w:val="both"/>
        <w:rPr/>
      </w:pPr>
      <w:r>
        <w:rPr/>
        <w:t>               </w:t>
      </w:r>
      <w:r>
        <w:rPr>
          <w:rFonts w:ascii="Times New Roman;Times;serif" w:hAnsi="Times New Roman;Times;serif"/>
          <w:sz w:val="22"/>
        </w:rPr>
        <w:t>(d)   represents and warrants to the Administrative Agent and the Lenders that this Consent and Agreement is the legal, valid and binding obligation of it, enforceable against it in accordance with the terms hereof, it is not aware of any claims or causes of action against the Administrative Agent, the Lenders, or any of their affiliates, successors or assigns, and that it has no defense, offsets or counterclaims with respect to any of the Secured Obligations.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Guarantors: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                                         </w:t>
      </w:r>
      <w:r>
        <w:rPr>
          <w:rFonts w:ascii="Times New Roman;Times;serif" w:hAnsi="Times New Roman;Times;serif"/>
          <w:sz w:val="22"/>
        </w:rPr>
        <w:t xml:space="preserve">By: ________________________________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Michael R. Cole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Authorized Signer of each Guarantor listed on Schedule 1, on behalf of each Guarantor listed on Schedule 1</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Schedule 1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List of Guarantors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234 Springs Rd.,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2875 Needmore Rd.,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621 Hall St.,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Advantage Label and Packaging,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Aljoma Holding Company,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Aljoma Lumber,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Caliper Building Systems,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Deckorators, Inc. </w:t>
      </w:r>
      <w:r>
        <w:rPr>
          <w:rFonts w:ascii="Times New Roman;Times;serif" w:hAnsi="Times New Roman;Times;serif"/>
          <w:i/>
          <w:sz w:val="22"/>
        </w:rPr>
        <w:t>(f/k/a Universal Consumer Products, Inc.; successor by merger with Maine Ornamental,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Eovations,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Idaho Western,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idx Corporation </w:t>
      </w:r>
      <w:r>
        <w:rPr>
          <w:rFonts w:ascii="Times New Roman;Times;serif" w:hAnsi="Times New Roman;Times;serif"/>
          <w:i/>
          <w:sz w:val="22"/>
        </w:rPr>
        <w:t>(successor by merger with Horizon Terra, Incorporated, idX Chicago, LLC, idX Dallas, LLC, idX Dayton, LLC, idX Impressions, LLC, idX Los Angeles,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idX Holdings,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Metaworld Technologies,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North Atlantic Framing,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PR Distribution,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Shawnlee Construction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Shepardville Construction,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Store Fixtures Canada Holdings,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Tresstar,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Triangle Systems,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Ashburn,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Auburndale,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Aurora,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Barnesville,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Belchertown,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Berlin,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Biscoe,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Blanchester,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Bonner,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Caldwell,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Cameron,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Chandler,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UFP Chicago, LLC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Concrete Forming Solutions,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Construction,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Craft and Hobby,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Dallas,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UFP Distribution, LLC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Eagan,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UFP Eastern Division, Inc. </w:t>
      </w:r>
      <w:r>
        <w:rPr>
          <w:rFonts w:ascii="Times New Roman;Times;serif" w:hAnsi="Times New Roman;Times;serif"/>
          <w:spacing w:val="-3"/>
          <w:sz w:val="22"/>
        </w:rPr>
        <w:t>(</w:t>
      </w:r>
      <w:r>
        <w:rPr>
          <w:rFonts w:ascii="Times New Roman;Times;serif" w:hAnsi="Times New Roman;Times;serif"/>
          <w:i/>
          <w:spacing w:val="-3"/>
          <w:sz w:val="22"/>
        </w:rPr>
        <w:t xml:space="preserve">successor by merger to UFP Atlantic, LLC, UFP East Central, LLC, UFP Great Lakes, LLC, UFP Gulf, LLC, UFP North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i/>
          <w:spacing w:val="-3"/>
          <w:sz w:val="22"/>
        </w:rPr>
        <w:t>Atlantic, LLC, UFP Northeast, LLC, and UFP Southeast, LLC</w:t>
      </w:r>
      <w:r>
        <w:rPr>
          <w:rFonts w:ascii="Times New Roman;Times;serif" w:hAnsi="Times New Roman;Times;serif"/>
          <w:spacing w:val="-3"/>
          <w:sz w:val="22"/>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Eatonton,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Elizabeth City,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Elkwood,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UFP Financial Services, Inc. </w:t>
      </w:r>
      <w:r>
        <w:rPr>
          <w:rFonts w:ascii="Times New Roman;Times;serif" w:hAnsi="Times New Roman;Times;serif"/>
          <w:i/>
          <w:sz w:val="22"/>
        </w:rPr>
        <w:t>(f/k/a UFP National Enterprises II,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Folkston,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Framing,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Franklinton,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Gainesville,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Gear,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Gordon,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Grand Rapids,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Grandview,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Granger,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Haleyville,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Hamilton,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Hampton Holding Company,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Harrisonville,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Hartford,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Hillsboro,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Industrial,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International Employment Services,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International,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Janesville,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Kyle,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Lafayette,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Lansing,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Magna,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McMinnville,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Mexico Proyectos,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Mid-Atlantic,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Milwaukee,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Minneota,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Morristown,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Moultrie,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NAC,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Nappanee,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New London,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New Waverly,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New Windsor,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New York,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Orlando,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Packaging,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Palm Beach,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Parker, LLC</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Purchasing,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Ranson,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Real Estate,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Retail,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Riverside,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UFP RMS, LLC </w:t>
      </w:r>
      <w:r>
        <w:rPr>
          <w:rFonts w:ascii="Times New Roman;Times;serif" w:hAnsi="Times New Roman;Times;serif"/>
          <w:i/>
          <w:sz w:val="22"/>
        </w:rPr>
        <w:t>(f/k/a Universal Forest Products RMS,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Rockwell,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Saginaw,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Salisbury,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San Antonio,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Sauk Rapids,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Schertz,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Shawnee,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Stafford,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Stockertown,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Tampa,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Thomaston,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Thornton,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Transportation,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Union City,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Ventures II,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Warranty Corporation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Warrens,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Washington,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UFP Western Division, Inc. </w:t>
      </w:r>
      <w:r>
        <w:rPr>
          <w:rFonts w:ascii="Times New Roman;Times;serif" w:hAnsi="Times New Roman;Times;serif"/>
          <w:spacing w:val="-3"/>
          <w:sz w:val="22"/>
        </w:rPr>
        <w:t>(</w:t>
      </w:r>
      <w:r>
        <w:rPr>
          <w:rFonts w:ascii="Times New Roman;Times;serif" w:hAnsi="Times New Roman;Times;serif"/>
          <w:i/>
          <w:spacing w:val="-3"/>
          <w:sz w:val="22"/>
        </w:rPr>
        <w:t>successor by merger to UFP Central Plains, LLC, UFP Far West,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i/>
          <w:spacing w:val="-3"/>
          <w:sz w:val="22"/>
        </w:rPr>
        <w:t>UFP Mountain West, LLC, and UFP Southwest, LLC</w:t>
      </w:r>
      <w:r>
        <w:rPr>
          <w:rFonts w:ascii="Times New Roman;Times;serif" w:hAnsi="Times New Roman;Times;serif"/>
          <w:spacing w:val="-3"/>
          <w:sz w:val="22"/>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White Bear Lake,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Windsor,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Woodburn,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Ultra Aluminum Manufacturing,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United Lumber &amp; Reman,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Universal Forest Products Texas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Upshur Forest Products,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Yard &amp; Home,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Performance Formulation Solutions, LLC </w:t>
      </w:r>
      <w:r>
        <w:rPr>
          <w:rFonts w:ascii="Times New Roman;Times;serif" w:hAnsi="Times New Roman;Times;serif"/>
          <w:i/>
          <w:sz w:val="22"/>
        </w:rPr>
        <w:t>(f/k/a Fire Retardant Chemical Technologies,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Londonderry,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Rockingham,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UFP Site Built,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Maine,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Energy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Wisconsin,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Wisconsin Manufacturing,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Indiana,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Indiana Transportation,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North Carolina,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P1 Catawba Development Company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Florida,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SunOne Logistics,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Virginia,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Alabama,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Sunbelt Acquisition Corp.</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Sunbelt Forest Products Corporation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Sunbelt Acquisition II Florida,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Sunbelt Acquisition III Alabama,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Sunbelt Forest Products Alabama,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Sunbelt Forest Georgia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Texas Holdings,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Acquisition of Texas,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Texas, L.P.</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Manufacturing of Texas,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NE Texas, LLC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PalletOne of Mobile, LLC</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Dempsey Wood Products, LLC</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bookmarkStart w:id="96" w:name="ufpi-20231230xex10dc.htm"/>
      <w:bookmarkStart w:id="97" w:name="ksufpi20231230xex10dc"/>
      <w:bookmarkEnd w:id="96"/>
      <w:bookmarkEnd w:id="97"/>
      <w:r>
        <w:rPr>
          <w:rFonts w:ascii="Times New Roman;Times;serif" w:hAnsi="Times New Roman;Times;serif"/>
          <w:b/>
          <w:sz w:val="22"/>
        </w:rPr>
        <w:t>Exhibit 10(c)</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328" w:before="100" w:after="100"/>
        <w:ind w:left="0" w:right="0" w:hanging="0"/>
        <w:jc w:val="center"/>
        <w:rPr>
          <w:spacing w:val="12"/>
        </w:rPr>
      </w:pPr>
      <w:r>
        <w:rPr>
          <w:spacing w:val="12"/>
        </w:rPr>
        <w:t>​</w:t>
      </w:r>
    </w:p>
    <w:p>
      <w:pPr>
        <w:pStyle w:val="TextBody"/>
        <w:bidi w:val="0"/>
        <w:spacing w:lineRule="auto" w:line="328" w:before="100" w:after="100"/>
        <w:ind w:left="0" w:right="0" w:hanging="0"/>
        <w:jc w:val="center"/>
        <w:rPr>
          <w:spacing w:val="12"/>
        </w:rPr>
      </w:pPr>
      <w:r>
        <w:rPr>
          <w:spacing w:val="12"/>
        </w:rPr>
        <w:t>​</w:t>
      </w:r>
    </w:p>
    <w:p>
      <w:pPr>
        <w:pStyle w:val="TextBody"/>
        <w:bidi w:val="0"/>
        <w:spacing w:lineRule="auto" w:line="328" w:before="100" w:after="100"/>
        <w:ind w:left="0" w:right="0" w:hanging="0"/>
        <w:jc w:val="center"/>
        <w:rPr>
          <w:spacing w:val="12"/>
        </w:rPr>
      </w:pPr>
      <w:r>
        <w:rPr>
          <w:spacing w:val="12"/>
        </w:rPr>
        <w:t>​</w:t>
      </w:r>
    </w:p>
    <w:p>
      <w:pPr>
        <w:pStyle w:val="TextBody"/>
        <w:bidi w:val="0"/>
        <w:spacing w:lineRule="auto" w:line="328" w:before="100" w:after="100"/>
        <w:ind w:left="0" w:right="0" w:hanging="0"/>
        <w:jc w:val="center"/>
        <w:rPr>
          <w:spacing w:val="12"/>
        </w:rPr>
      </w:pPr>
      <w:r>
        <w:rPr>
          <w:spacing w:val="12"/>
        </w:rPr>
        <w:t>​</w:t>
      </w:r>
    </w:p>
    <w:p>
      <w:pPr>
        <w:pStyle w:val="TextBody"/>
        <w:bidi w:val="0"/>
        <w:spacing w:lineRule="auto" w:line="328" w:before="100" w:after="100"/>
        <w:ind w:left="0" w:right="0" w:hanging="0"/>
        <w:jc w:val="center"/>
        <w:rPr>
          <w:spacing w:val="12"/>
        </w:rPr>
      </w:pPr>
      <w:r>
        <w:rPr>
          <w:spacing w:val="12"/>
        </w:rPr>
        <w:t>​</w:t>
      </w:r>
    </w:p>
    <w:p>
      <w:pPr>
        <w:pStyle w:val="TextBody"/>
        <w:bidi w:val="0"/>
        <w:spacing w:lineRule="auto" w:line="328" w:before="280" w:after="0"/>
        <w:ind w:left="0" w:right="0" w:hanging="0"/>
        <w:jc w:val="center"/>
        <w:rPr>
          <w:rFonts w:ascii="Times New Roman;Times;serif" w:hAnsi="Times New Roman;Times;serif"/>
          <w:b/>
          <w:spacing w:val="12"/>
          <w:sz w:val="28"/>
        </w:rPr>
      </w:pPr>
      <w:r>
        <w:rPr>
          <w:rFonts w:ascii="Times New Roman;Times;serif" w:hAnsi="Times New Roman;Times;serif"/>
          <w:b/>
          <w:spacing w:val="12"/>
          <w:sz w:val="28"/>
        </w:rPr>
        <w:t>UFP INDUSTRIES, INC.</w:t>
        <w:br/>
        <w:t>DEFERRED COMPENSATION PLAN</w:t>
      </w:r>
    </w:p>
    <w:p>
      <w:pPr>
        <w:pStyle w:val="TextBody"/>
        <w:bidi w:val="0"/>
        <w:spacing w:lineRule="auto" w:line="328" w:before="280" w:after="120"/>
        <w:ind w:left="0" w:right="0" w:hanging="0"/>
        <w:jc w:val="center"/>
        <w:rPr>
          <w:rFonts w:ascii="Times New Roman;Times;serif" w:hAnsi="Times New Roman;Times;serif"/>
          <w:sz w:val="24"/>
        </w:rPr>
      </w:pPr>
      <w:bookmarkStart w:id="98" w:name="_Toc42160809"/>
      <w:bookmarkStart w:id="99" w:name="_Toc42155432"/>
      <w:bookmarkEnd w:id="98"/>
      <w:bookmarkEnd w:id="99"/>
      <w:r>
        <w:rPr>
          <w:rFonts w:ascii="Times New Roman;Times;serif" w:hAnsi="Times New Roman;Times;serif"/>
          <w:sz w:val="24"/>
        </w:rPr>
        <w:t>Amended and Restated effective as of January 1, 2020</w:t>
      </w:r>
    </w:p>
    <w:p>
      <w:pPr>
        <w:pStyle w:val="TextBody"/>
        <w:bidi w:val="0"/>
        <w:spacing w:lineRule="auto" w:line="328" w:before="0" w:after="120"/>
        <w:ind w:left="0" w:right="0" w:hanging="0"/>
        <w:jc w:val="center"/>
        <w:rPr/>
      </w:pPr>
      <w:r>
        <w:rPr/>
        <w:t>​</w:t>
      </w:r>
    </w:p>
    <w:p>
      <w:pPr>
        <w:pStyle w:val="TextBody"/>
        <w:bidi w:val="0"/>
        <w:spacing w:lineRule="auto" w:line="328" w:before="0" w:after="120"/>
        <w:ind w:left="0" w:right="0" w:hanging="0"/>
        <w:jc w:val="center"/>
        <w:rPr>
          <w:rFonts w:ascii="Times New Roman;Times;serif" w:hAnsi="Times New Roman;Times;serif"/>
          <w:sz w:val="24"/>
        </w:rPr>
      </w:pPr>
      <w:r>
        <w:rPr>
          <w:rFonts w:ascii="Times New Roman;Times;serif" w:hAnsi="Times New Roman;Times;serif"/>
          <w:sz w:val="24"/>
        </w:rPr>
        <w:t>(Conformed to reflect 2021-1 Amendment and 2023-1 Amendment)</w:t>
      </w:r>
    </w:p>
    <w:p>
      <w:pPr>
        <w:pStyle w:val="TextBody"/>
        <w:bidi w:val="0"/>
        <w:spacing w:lineRule="auto" w:line="285" w:before="0" w:after="0"/>
        <w:ind w:left="468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center"/>
        <w:rPr>
          <w:rFonts w:ascii="Times New Roman;Times;serif" w:hAnsi="Times New Roman;Times;serif"/>
          <w:b/>
          <w:spacing w:val="12"/>
          <w:sz w:val="28"/>
        </w:rPr>
      </w:pPr>
      <w:r>
        <w:rPr>
          <w:rFonts w:ascii="Times New Roman;Times;serif" w:hAnsi="Times New Roman;Times;serif"/>
          <w:b/>
          <w:spacing w:val="12"/>
          <w:sz w:val="28"/>
        </w:rPr>
        <w:t>Table of Contents</w:t>
      </w:r>
    </w:p>
    <w:p>
      <w:pPr>
        <w:pStyle w:val="TextBody"/>
        <w:pBdr/>
        <w:bidi w:val="0"/>
        <w:spacing w:lineRule="auto" w:line="285" w:before="0" w:after="0"/>
        <w:ind w:left="0" w:right="0" w:hanging="0"/>
        <w:jc w:val="left"/>
        <w:rPr/>
      </w:pPr>
      <w:hyperlink w:anchor="_Toc158971633">
        <w:r>
          <w:rPr>
            <w:rStyle w:val="InternetLink"/>
            <w:rFonts w:ascii="Times New Roman;Times;serif" w:hAnsi="Times New Roman;Times;serif"/>
            <w:b w:val="false"/>
            <w:i w:val="false"/>
            <w:caps w:val="false"/>
            <w:smallCaps w:val="false"/>
            <w:sz w:val="22"/>
            <w:shd w:fill="FFFFFF" w:val="clear"/>
          </w:rPr>
          <w:t>Article 1</w:t>
        </w:r>
      </w:hyperlink>
      <w:hyperlink w:anchor="_Toc158971633">
        <w:r>
          <w:rPr>
            <w:webHidden/>
          </w:rPr>
          <w:fldChar w:fldCharType="begin"/>
        </w:r>
        <w:r>
          <w:rPr>
            <w:webHidden/>
          </w:rPr>
          <w:instrText xml:space="preserve">PAGEREF _Toc158971633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33">
        <w:r>
          <w:rPr>
            <w:webHidden/>
          </w:rPr>
          <w:fldChar w:fldCharType="begin"/>
        </w:r>
        <w:r>
          <w:rPr>
            <w:webHidden/>
          </w:rPr>
          <w:instrText xml:space="preserve">PAGEREF _Toc158971633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Establishment and Purpose</w:t>
        </w:r>
        <w:r>
          <w:rPr>
            <w:webHidden/>
          </w:rPr>
          <w:fldChar w:fldCharType="end"/>
        </w:r>
      </w:hyperlink>
      <w:hyperlink w:anchor="_Toc158971633">
        <w:r>
          <w:rPr>
            <w:webHidden/>
          </w:rPr>
          <w:fldChar w:fldCharType="begin"/>
        </w:r>
        <w:r>
          <w:rPr>
            <w:webHidden/>
          </w:rPr>
          <w:instrText xml:space="preserve">PAGEREF _Toc158971633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w:t>
        </w:r>
        <w:r>
          <w:rPr>
            <w:webHidden/>
          </w:rPr>
          <w:fldChar w:fldCharType="end"/>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895"/>
                <wp:effectExtent l="0" t="0" r="0" b="0"/>
                <wp:wrapNone/>
                <wp:docPr id="47" name="Frame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34">
        <w:r>
          <w:rPr>
            <w:rStyle w:val="InternetLink"/>
            <w:rFonts w:ascii="Times New Roman;Times;serif" w:hAnsi="Times New Roman;Times;serif"/>
            <w:b w:val="false"/>
            <w:i w:val="false"/>
            <w:caps w:val="false"/>
            <w:smallCaps w:val="false"/>
            <w:sz w:val="22"/>
            <w:shd w:fill="FFFFFF" w:val="clear"/>
          </w:rPr>
          <w:t>1.1</w:t>
        </w:r>
      </w:hyperlink>
      <w:r>
        <w:rPr>
          <w:rFonts w:ascii="Times New Roman;Times;serif" w:hAnsi="Times New Roman;Times;serif"/>
          <w:sz w:val="22"/>
          <w:shd w:fill="FFFFFF" w:val="clear"/>
        </w:rPr>
        <w:tab/>
      </w:r>
      <w:hyperlink w:anchor="_Toc158971634">
        <w:r>
          <w:rPr>
            <w:rStyle w:val="InternetLink"/>
            <w:rFonts w:ascii="Times New Roman;Times;serif" w:hAnsi="Times New Roman;Times;serif"/>
            <w:b w:val="false"/>
            <w:i w:val="false"/>
            <w:caps w:val="false"/>
            <w:smallCaps w:val="false"/>
            <w:sz w:val="22"/>
            <w:shd w:fill="FFFFFF" w:val="clear"/>
          </w:rPr>
          <w:t>History of the Plan</w:t>
        </w:r>
      </w:hyperlink>
      <w:hyperlink w:anchor="_Toc158971634">
        <w:r>
          <w:rPr>
            <w:webHidden/>
          </w:rPr>
          <w:fldChar w:fldCharType="begin"/>
        </w:r>
        <w:r>
          <w:rPr>
            <w:webHidden/>
          </w:rPr>
          <w:instrText xml:space="preserve">PAGEREF _Toc158971634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w:t>
        </w:r>
        <w:r>
          <w:rPr>
            <w:webHidden/>
          </w:rPr>
          <w:fldChar w:fldCharType="end"/>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895"/>
                <wp:effectExtent l="0" t="0" r="0" b="0"/>
                <wp:wrapNone/>
                <wp:docPr id="48" name="Frame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35">
        <w:r>
          <w:rPr>
            <w:rStyle w:val="InternetLink"/>
            <w:rFonts w:ascii="Times New Roman;Times;serif" w:hAnsi="Times New Roman;Times;serif"/>
            <w:b w:val="false"/>
            <w:i w:val="false"/>
            <w:caps w:val="false"/>
            <w:smallCaps w:val="false"/>
            <w:sz w:val="22"/>
            <w:shd w:fill="FFFFFF" w:val="clear"/>
          </w:rPr>
          <w:t>1.2</w:t>
        </w:r>
      </w:hyperlink>
      <w:r>
        <w:rPr>
          <w:rFonts w:ascii="Times New Roman;Times;serif" w:hAnsi="Times New Roman;Times;serif"/>
          <w:sz w:val="22"/>
          <w:shd w:fill="FFFFFF" w:val="clear"/>
        </w:rPr>
        <w:tab/>
      </w:r>
      <w:hyperlink w:anchor="_Toc158971635">
        <w:r>
          <w:rPr>
            <w:rStyle w:val="InternetLink"/>
            <w:rFonts w:ascii="Times New Roman;Times;serif" w:hAnsi="Times New Roman;Times;serif"/>
            <w:b w:val="false"/>
            <w:i w:val="false"/>
            <w:caps w:val="false"/>
            <w:smallCaps w:val="false"/>
            <w:sz w:val="22"/>
            <w:shd w:fill="FFFFFF" w:val="clear"/>
          </w:rPr>
          <w:t>This Document</w:t>
        </w:r>
      </w:hyperlink>
      <w:hyperlink w:anchor="_Toc158971635">
        <w:r>
          <w:rPr>
            <w:webHidden/>
          </w:rPr>
          <w:fldChar w:fldCharType="begin"/>
        </w:r>
        <w:r>
          <w:rPr>
            <w:webHidden/>
          </w:rPr>
          <w:instrText xml:space="preserve">PAGEREF _Toc158971635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w:t>
        </w:r>
        <w:r>
          <w:rPr>
            <w:webHidden/>
          </w:rPr>
          <w:fldChar w:fldCharType="end"/>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895"/>
                <wp:effectExtent l="0" t="0" r="0" b="0"/>
                <wp:wrapNone/>
                <wp:docPr id="49" name="Frame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36">
        <w:r>
          <w:rPr>
            <w:rStyle w:val="InternetLink"/>
            <w:rFonts w:ascii="Times New Roman;Times;serif" w:hAnsi="Times New Roman;Times;serif"/>
            <w:b w:val="false"/>
            <w:i w:val="false"/>
            <w:caps w:val="false"/>
            <w:smallCaps w:val="false"/>
            <w:sz w:val="22"/>
            <w:shd w:fill="FFFFFF" w:val="clear"/>
          </w:rPr>
          <w:t>1.3</w:t>
        </w:r>
      </w:hyperlink>
      <w:r>
        <w:rPr>
          <w:rFonts w:ascii="Times New Roman;Times;serif" w:hAnsi="Times New Roman;Times;serif"/>
          <w:sz w:val="22"/>
          <w:shd w:fill="FFFFFF" w:val="clear"/>
        </w:rPr>
        <w:tab/>
      </w:r>
      <w:hyperlink w:anchor="_Toc158971636">
        <w:r>
          <w:rPr>
            <w:rStyle w:val="InternetLink"/>
            <w:rFonts w:ascii="Times New Roman;Times;serif" w:hAnsi="Times New Roman;Times;serif"/>
            <w:b w:val="false"/>
            <w:i w:val="false"/>
            <w:caps w:val="false"/>
            <w:smallCaps w:val="false"/>
            <w:sz w:val="22"/>
            <w:shd w:fill="FFFFFF" w:val="clear"/>
          </w:rPr>
          <w:t>Purpose</w:t>
        </w:r>
      </w:hyperlink>
      <w:hyperlink w:anchor="_Toc158971636">
        <w:r>
          <w:rPr>
            <w:webHidden/>
          </w:rPr>
          <w:fldChar w:fldCharType="begin"/>
        </w:r>
        <w:r>
          <w:rPr>
            <w:webHidden/>
          </w:rPr>
          <w:instrText xml:space="preserve">PAGEREF _Toc158971636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w:t>
        </w:r>
        <w:r>
          <w:rPr>
            <w:webHidden/>
          </w:rPr>
          <w:fldChar w:fldCharType="end"/>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895"/>
                <wp:effectExtent l="0" t="0" r="0" b="0"/>
                <wp:wrapNone/>
                <wp:docPr id="50" name="Frame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37">
        <w:r>
          <w:rPr>
            <w:rStyle w:val="InternetLink"/>
            <w:rFonts w:ascii="Times New Roman;Times;serif" w:hAnsi="Times New Roman;Times;serif"/>
            <w:b w:val="false"/>
            <w:i w:val="false"/>
            <w:caps w:val="false"/>
            <w:smallCaps w:val="false"/>
            <w:sz w:val="22"/>
            <w:shd w:fill="FFFFFF" w:val="clear"/>
          </w:rPr>
          <w:t>1.4</w:t>
        </w:r>
      </w:hyperlink>
      <w:r>
        <w:rPr>
          <w:rFonts w:ascii="Times New Roman;Times;serif" w:hAnsi="Times New Roman;Times;serif"/>
          <w:sz w:val="22"/>
          <w:shd w:fill="FFFFFF" w:val="clear"/>
        </w:rPr>
        <w:tab/>
      </w:r>
      <w:hyperlink w:anchor="_Toc158971637">
        <w:r>
          <w:rPr>
            <w:rStyle w:val="InternetLink"/>
            <w:rFonts w:ascii="Times New Roman;Times;serif" w:hAnsi="Times New Roman;Times;serif"/>
            <w:b w:val="false"/>
            <w:i w:val="false"/>
            <w:caps w:val="false"/>
            <w:smallCaps w:val="false"/>
            <w:sz w:val="22"/>
            <w:shd w:fill="FFFFFF" w:val="clear"/>
          </w:rPr>
          <w:t>Status of Plan Under ERISA</w:t>
        </w:r>
      </w:hyperlink>
      <w:hyperlink w:anchor="_Toc158971637">
        <w:r>
          <w:rPr>
            <w:webHidden/>
          </w:rPr>
          <w:fldChar w:fldCharType="begin"/>
        </w:r>
        <w:r>
          <w:rPr>
            <w:webHidden/>
          </w:rPr>
          <w:instrText xml:space="preserve">PAGEREF _Toc158971637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w:t>
        </w:r>
        <w:r>
          <w:rPr>
            <w:webHidden/>
          </w:rPr>
          <w:fldChar w:fldCharType="end"/>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895"/>
                <wp:effectExtent l="0" t="0" r="0" b="0"/>
                <wp:wrapNone/>
                <wp:docPr id="51" name="Frame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38">
        <w:r>
          <w:rPr>
            <w:rStyle w:val="InternetLink"/>
            <w:rFonts w:ascii="Times New Roman;Times;serif" w:hAnsi="Times New Roman;Times;serif"/>
            <w:b w:val="false"/>
            <w:i w:val="false"/>
            <w:caps w:val="false"/>
            <w:smallCaps w:val="false"/>
            <w:sz w:val="22"/>
            <w:shd w:fill="FFFFFF" w:val="clear"/>
          </w:rPr>
          <w:t>1.5</w:t>
        </w:r>
      </w:hyperlink>
      <w:r>
        <w:rPr>
          <w:rFonts w:ascii="Times New Roman;Times;serif" w:hAnsi="Times New Roman;Times;serif"/>
          <w:sz w:val="22"/>
          <w:shd w:fill="FFFFFF" w:val="clear"/>
        </w:rPr>
        <w:tab/>
      </w:r>
      <w:hyperlink w:anchor="_Toc158971638">
        <w:r>
          <w:rPr>
            <w:rStyle w:val="InternetLink"/>
            <w:rFonts w:ascii="Times New Roman;Times;serif" w:hAnsi="Times New Roman;Times;serif"/>
            <w:b w:val="false"/>
            <w:i w:val="false"/>
            <w:caps w:val="false"/>
            <w:smallCaps w:val="false"/>
            <w:sz w:val="22"/>
            <w:shd w:fill="FFFFFF" w:val="clear"/>
          </w:rPr>
          <w:t>Compliance with Section 409A</w:t>
        </w:r>
      </w:hyperlink>
      <w:hyperlink w:anchor="_Toc158971638">
        <w:r>
          <w:rPr>
            <w:webHidden/>
          </w:rPr>
          <w:fldChar w:fldCharType="begin"/>
        </w:r>
        <w:r>
          <w:rPr>
            <w:webHidden/>
          </w:rPr>
          <w:instrText xml:space="preserve">PAGEREF _Toc158971638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w:t>
        </w:r>
        <w:r>
          <w:rPr>
            <w:webHidden/>
          </w:rPr>
          <w:fldChar w:fldCharType="end"/>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895"/>
                <wp:effectExtent l="0" t="0" r="0" b="0"/>
                <wp:wrapNone/>
                <wp:docPr id="52" name="Frame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39">
        <w:r>
          <w:rPr>
            <w:rStyle w:val="InternetLink"/>
            <w:rFonts w:ascii="Times New Roman;Times;serif" w:hAnsi="Times New Roman;Times;serif"/>
            <w:b w:val="false"/>
            <w:i w:val="false"/>
            <w:caps w:val="false"/>
            <w:smallCaps w:val="false"/>
            <w:sz w:val="22"/>
            <w:shd w:fill="FFFFFF" w:val="clear"/>
          </w:rPr>
          <w:t>Article 2</w:t>
        </w:r>
      </w:hyperlink>
      <w:hyperlink w:anchor="_Toc158971639">
        <w:r>
          <w:rPr>
            <w:webHidden/>
          </w:rPr>
          <w:fldChar w:fldCharType="begin"/>
        </w:r>
        <w:r>
          <w:rPr>
            <w:webHidden/>
          </w:rPr>
          <w:instrText xml:space="preserve">PAGEREF _Toc158971639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39">
        <w:r>
          <w:rPr>
            <w:webHidden/>
          </w:rPr>
          <w:fldChar w:fldCharType="begin"/>
        </w:r>
        <w:r>
          <w:rPr>
            <w:webHidden/>
          </w:rPr>
          <w:instrText xml:space="preserve">PAGEREF _Toc158971639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Definitions</w:t>
        </w:r>
        <w:r>
          <w:rPr>
            <w:webHidden/>
          </w:rPr>
          <w:fldChar w:fldCharType="end"/>
        </w:r>
      </w:hyperlink>
      <w:hyperlink w:anchor="_Toc158971639">
        <w:r>
          <w:rPr>
            <w:webHidden/>
          </w:rPr>
          <w:fldChar w:fldCharType="begin"/>
        </w:r>
        <w:r>
          <w:rPr>
            <w:webHidden/>
          </w:rPr>
          <w:instrText xml:space="preserve">PAGEREF _Toc158971639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w:t>
        </w:r>
        <w:r>
          <w:rPr>
            <w:webHidden/>
          </w:rPr>
          <w:fldChar w:fldCharType="end"/>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895"/>
                <wp:effectExtent l="0" t="0" r="0" b="0"/>
                <wp:wrapNone/>
                <wp:docPr id="53" name="Frame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40">
        <w:r>
          <w:rPr>
            <w:rStyle w:val="InternetLink"/>
            <w:rFonts w:ascii="Times New Roman;Times;serif" w:hAnsi="Times New Roman;Times;serif"/>
            <w:b w:val="false"/>
            <w:i w:val="false"/>
            <w:caps w:val="false"/>
            <w:smallCaps w:val="false"/>
            <w:sz w:val="22"/>
            <w:shd w:fill="FFFFFF" w:val="clear"/>
          </w:rPr>
          <w:t>Article 3</w:t>
        </w:r>
      </w:hyperlink>
      <w:hyperlink w:anchor="_Toc158971640">
        <w:r>
          <w:rPr>
            <w:webHidden/>
          </w:rPr>
          <w:fldChar w:fldCharType="begin"/>
        </w:r>
        <w:r>
          <w:rPr>
            <w:webHidden/>
          </w:rPr>
          <w:instrText xml:space="preserve">PAGEREF _Toc158971640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40">
        <w:r>
          <w:rPr>
            <w:webHidden/>
          </w:rPr>
          <w:fldChar w:fldCharType="begin"/>
        </w:r>
        <w:r>
          <w:rPr>
            <w:webHidden/>
          </w:rPr>
          <w:instrText xml:space="preserve">PAGEREF _Toc158971640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Participation</w:t>
        </w:r>
        <w:r>
          <w:rPr>
            <w:webHidden/>
          </w:rPr>
          <w:fldChar w:fldCharType="end"/>
        </w:r>
      </w:hyperlink>
      <w:hyperlink w:anchor="_Toc158971640">
        <w:r>
          <w:rPr>
            <w:webHidden/>
          </w:rPr>
          <w:fldChar w:fldCharType="begin"/>
        </w:r>
        <w:r>
          <w:rPr>
            <w:webHidden/>
          </w:rPr>
          <w:instrText xml:space="preserve">PAGEREF _Toc158971640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w:t>
        </w:r>
        <w:r>
          <w:rPr>
            <w:webHidden/>
          </w:rPr>
          <w:fldChar w:fldCharType="end"/>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895"/>
                <wp:effectExtent l="0" t="0" r="0" b="0"/>
                <wp:wrapNone/>
                <wp:docPr id="54" name="Frame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1">
        <w:r>
          <w:rPr>
            <w:rStyle w:val="InternetLink"/>
            <w:rFonts w:ascii="Times New Roman;Times;serif" w:hAnsi="Times New Roman;Times;serif"/>
            <w:b w:val="false"/>
            <w:i w:val="false"/>
            <w:caps w:val="false"/>
            <w:smallCaps w:val="false"/>
            <w:sz w:val="22"/>
            <w:shd w:fill="FFFFFF" w:val="clear"/>
          </w:rPr>
          <w:t>3.1</w:t>
        </w:r>
      </w:hyperlink>
      <w:r>
        <w:rPr>
          <w:rFonts w:ascii="Times New Roman;Times;serif" w:hAnsi="Times New Roman;Times;serif"/>
          <w:sz w:val="22"/>
          <w:shd w:fill="FFFFFF" w:val="clear"/>
        </w:rPr>
        <w:tab/>
      </w:r>
      <w:hyperlink w:anchor="_Toc158971641">
        <w:r>
          <w:rPr>
            <w:rStyle w:val="InternetLink"/>
            <w:rFonts w:ascii="Times New Roman;Times;serif" w:hAnsi="Times New Roman;Times;serif"/>
            <w:b w:val="false"/>
            <w:i w:val="false"/>
            <w:caps w:val="false"/>
            <w:smallCaps w:val="false"/>
            <w:sz w:val="22"/>
            <w:shd w:fill="FFFFFF" w:val="clear"/>
          </w:rPr>
          <w:t>Eligibility for Participation</w:t>
        </w:r>
      </w:hyperlink>
      <w:hyperlink w:anchor="_Toc158971641">
        <w:r>
          <w:rPr>
            <w:webHidden/>
          </w:rPr>
          <w:fldChar w:fldCharType="begin"/>
        </w:r>
        <w:r>
          <w:rPr>
            <w:webHidden/>
          </w:rPr>
          <w:instrText xml:space="preserve">PAGEREF _Toc158971641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w:t>
        </w:r>
        <w:r>
          <w:rPr>
            <w:webHidden/>
          </w:rPr>
          <w:fldChar w:fldCharType="end"/>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895"/>
                <wp:effectExtent l="0" t="0" r="0" b="0"/>
                <wp:wrapNone/>
                <wp:docPr id="55" name="Frame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2">
        <w:r>
          <w:rPr>
            <w:rStyle w:val="InternetLink"/>
            <w:rFonts w:ascii="Times New Roman;Times;serif" w:hAnsi="Times New Roman;Times;serif"/>
            <w:b w:val="false"/>
            <w:i w:val="false"/>
            <w:caps w:val="false"/>
            <w:smallCaps w:val="false"/>
            <w:sz w:val="22"/>
            <w:shd w:fill="FFFFFF" w:val="clear"/>
          </w:rPr>
          <w:t>3.2</w:t>
        </w:r>
      </w:hyperlink>
      <w:r>
        <w:rPr>
          <w:rFonts w:ascii="Times New Roman;Times;serif" w:hAnsi="Times New Roman;Times;serif"/>
          <w:sz w:val="22"/>
          <w:shd w:fill="FFFFFF" w:val="clear"/>
        </w:rPr>
        <w:tab/>
      </w:r>
      <w:hyperlink w:anchor="_Toc158971642">
        <w:r>
          <w:rPr>
            <w:rStyle w:val="InternetLink"/>
            <w:rFonts w:ascii="Times New Roman;Times;serif" w:hAnsi="Times New Roman;Times;serif"/>
            <w:b w:val="false"/>
            <w:i w:val="false"/>
            <w:caps w:val="false"/>
            <w:smallCaps w:val="false"/>
            <w:sz w:val="22"/>
            <w:shd w:fill="FFFFFF" w:val="clear"/>
          </w:rPr>
          <w:t>Termination of Active Participation</w:t>
        </w:r>
      </w:hyperlink>
      <w:hyperlink w:anchor="_Toc158971642">
        <w:r>
          <w:rPr>
            <w:webHidden/>
          </w:rPr>
          <w:fldChar w:fldCharType="begin"/>
        </w:r>
        <w:r>
          <w:rPr>
            <w:webHidden/>
          </w:rPr>
          <w:instrText xml:space="preserve">PAGEREF _Toc158971642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895"/>
                <wp:effectExtent l="0" t="0" r="0" b="0"/>
                <wp:wrapNone/>
                <wp:docPr id="56" name="Frame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43">
        <w:r>
          <w:rPr>
            <w:rStyle w:val="InternetLink"/>
            <w:rFonts w:ascii="Times New Roman;Times;serif" w:hAnsi="Times New Roman;Times;serif"/>
            <w:b w:val="false"/>
            <w:i w:val="false"/>
            <w:caps w:val="false"/>
            <w:smallCaps w:val="false"/>
            <w:sz w:val="22"/>
            <w:shd w:fill="FFFFFF" w:val="clear"/>
          </w:rPr>
          <w:t>Article 4</w:t>
        </w:r>
      </w:hyperlink>
      <w:hyperlink w:anchor="_Toc158971643">
        <w:r>
          <w:rPr>
            <w:webHidden/>
          </w:rPr>
          <w:fldChar w:fldCharType="begin"/>
        </w:r>
        <w:r>
          <w:rPr>
            <w:webHidden/>
          </w:rPr>
          <w:instrText xml:space="preserve">PAGEREF _Toc158971643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43">
        <w:r>
          <w:rPr>
            <w:webHidden/>
          </w:rPr>
          <w:fldChar w:fldCharType="begin"/>
        </w:r>
        <w:r>
          <w:rPr>
            <w:webHidden/>
          </w:rPr>
          <w:instrText xml:space="preserve">PAGEREF _Toc158971643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Amounts Credited to Accounts</w:t>
        </w:r>
        <w:r>
          <w:rPr>
            <w:webHidden/>
          </w:rPr>
          <w:fldChar w:fldCharType="end"/>
        </w:r>
      </w:hyperlink>
      <w:hyperlink w:anchor="_Toc158971643">
        <w:r>
          <w:rPr>
            <w:webHidden/>
          </w:rPr>
          <w:fldChar w:fldCharType="begin"/>
        </w:r>
        <w:r>
          <w:rPr>
            <w:webHidden/>
          </w:rPr>
          <w:instrText xml:space="preserve">PAGEREF _Toc158971643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895"/>
                <wp:effectExtent l="0" t="0" r="0" b="0"/>
                <wp:wrapNone/>
                <wp:docPr id="57" name="Frame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4">
        <w:r>
          <w:rPr>
            <w:rStyle w:val="InternetLink"/>
            <w:rFonts w:ascii="Times New Roman;Times;serif" w:hAnsi="Times New Roman;Times;serif"/>
            <w:b w:val="false"/>
            <w:i w:val="false"/>
            <w:caps w:val="false"/>
            <w:smallCaps w:val="false"/>
            <w:sz w:val="22"/>
            <w:shd w:fill="FFFFFF" w:val="clear"/>
          </w:rPr>
          <w:t>4.1</w:t>
        </w:r>
      </w:hyperlink>
      <w:r>
        <w:rPr>
          <w:rFonts w:ascii="Times New Roman;Times;serif" w:hAnsi="Times New Roman;Times;serif"/>
          <w:sz w:val="22"/>
          <w:shd w:fill="FFFFFF" w:val="clear"/>
        </w:rPr>
        <w:tab/>
      </w:r>
      <w:hyperlink w:anchor="_Toc158971644">
        <w:r>
          <w:rPr>
            <w:rStyle w:val="InternetLink"/>
            <w:rFonts w:ascii="Times New Roman;Times;serif" w:hAnsi="Times New Roman;Times;serif"/>
            <w:b w:val="false"/>
            <w:i w:val="false"/>
            <w:caps w:val="false"/>
            <w:smallCaps w:val="false"/>
            <w:sz w:val="22"/>
            <w:shd w:fill="FFFFFF" w:val="clear"/>
          </w:rPr>
          <w:t>Participant Accounts</w:t>
        </w:r>
      </w:hyperlink>
      <w:hyperlink w:anchor="_Toc158971644">
        <w:r>
          <w:rPr>
            <w:webHidden/>
          </w:rPr>
          <w:fldChar w:fldCharType="begin"/>
        </w:r>
        <w:r>
          <w:rPr>
            <w:webHidden/>
          </w:rPr>
          <w:instrText xml:space="preserve">PAGEREF _Toc158971644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895"/>
                <wp:effectExtent l="0" t="0" r="0" b="0"/>
                <wp:wrapNone/>
                <wp:docPr id="58" name="Frame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5">
        <w:r>
          <w:rPr>
            <w:rStyle w:val="InternetLink"/>
            <w:rFonts w:ascii="Times New Roman;Times;serif" w:hAnsi="Times New Roman;Times;serif"/>
            <w:b w:val="false"/>
            <w:i w:val="false"/>
            <w:caps w:val="false"/>
            <w:smallCaps w:val="false"/>
            <w:sz w:val="22"/>
            <w:shd w:fill="FFFFFF" w:val="clear"/>
          </w:rPr>
          <w:t>4.2</w:t>
        </w:r>
      </w:hyperlink>
      <w:r>
        <w:rPr>
          <w:rFonts w:ascii="Times New Roman;Times;serif" w:hAnsi="Times New Roman;Times;serif"/>
          <w:sz w:val="22"/>
          <w:shd w:fill="FFFFFF" w:val="clear"/>
        </w:rPr>
        <w:tab/>
      </w:r>
      <w:hyperlink w:anchor="_Toc158971645">
        <w:r>
          <w:rPr>
            <w:rStyle w:val="InternetLink"/>
            <w:rFonts w:ascii="Times New Roman;Times;serif" w:hAnsi="Times New Roman;Times;serif"/>
            <w:b w:val="false"/>
            <w:i w:val="false"/>
            <w:caps w:val="false"/>
            <w:smallCaps w:val="false"/>
            <w:sz w:val="22"/>
            <w:shd w:fill="FFFFFF" w:val="clear"/>
          </w:rPr>
          <w:t>Elective Deferrals</w:t>
        </w:r>
      </w:hyperlink>
      <w:hyperlink w:anchor="_Toc158971645">
        <w:r>
          <w:rPr>
            <w:webHidden/>
          </w:rPr>
          <w:fldChar w:fldCharType="begin"/>
        </w:r>
        <w:r>
          <w:rPr>
            <w:webHidden/>
          </w:rPr>
          <w:instrText xml:space="preserve">PAGEREF _Toc158971645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895"/>
                <wp:effectExtent l="0" t="0" r="0" b="0"/>
                <wp:wrapNone/>
                <wp:docPr id="59" name="Frame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6">
        <w:r>
          <w:rPr>
            <w:rStyle w:val="InternetLink"/>
            <w:rFonts w:ascii="Times New Roman;Times;serif" w:hAnsi="Times New Roman;Times;serif"/>
            <w:b w:val="false"/>
            <w:i w:val="false"/>
            <w:caps w:val="false"/>
            <w:smallCaps w:val="false"/>
            <w:sz w:val="22"/>
            <w:shd w:fill="FFFFFF" w:val="clear"/>
          </w:rPr>
          <w:t>4.3</w:t>
        </w:r>
      </w:hyperlink>
      <w:r>
        <w:rPr>
          <w:rFonts w:ascii="Times New Roman;Times;serif" w:hAnsi="Times New Roman;Times;serif"/>
          <w:sz w:val="22"/>
          <w:shd w:fill="FFFFFF" w:val="clear"/>
        </w:rPr>
        <w:tab/>
      </w:r>
      <w:hyperlink w:anchor="_Toc158971646">
        <w:r>
          <w:rPr>
            <w:rStyle w:val="InternetLink"/>
            <w:rFonts w:ascii="Times New Roman;Times;serif" w:hAnsi="Times New Roman;Times;serif"/>
            <w:b w:val="false"/>
            <w:i w:val="false"/>
            <w:caps w:val="false"/>
            <w:smallCaps w:val="false"/>
            <w:sz w:val="22"/>
            <w:shd w:fill="FFFFFF" w:val="clear"/>
          </w:rPr>
          <w:t>Hypothetical Investments</w:t>
        </w:r>
      </w:hyperlink>
      <w:hyperlink w:anchor="_Toc158971646">
        <w:r>
          <w:rPr>
            <w:webHidden/>
          </w:rPr>
          <w:fldChar w:fldCharType="begin"/>
        </w:r>
        <w:r>
          <w:rPr>
            <w:webHidden/>
          </w:rPr>
          <w:instrText xml:space="preserve">PAGEREF _Toc158971646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9</w:t>
        </w:r>
        <w:r>
          <w:rPr>
            <w:webHidden/>
          </w:rPr>
          <w:fldChar w:fldCharType="end"/>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895"/>
                <wp:effectExtent l="0" t="0" r="0" b="0"/>
                <wp:wrapNone/>
                <wp:docPr id="60" name="Frame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7">
        <w:r>
          <w:rPr>
            <w:rStyle w:val="InternetLink"/>
            <w:rFonts w:ascii="Times New Roman;Times;serif" w:hAnsi="Times New Roman;Times;serif"/>
            <w:b w:val="false"/>
            <w:i w:val="false"/>
            <w:caps w:val="false"/>
            <w:smallCaps w:val="false"/>
            <w:sz w:val="22"/>
            <w:shd w:fill="FFFFFF" w:val="clear"/>
          </w:rPr>
          <w:t>4.4</w:t>
        </w:r>
      </w:hyperlink>
      <w:r>
        <w:rPr>
          <w:rFonts w:ascii="Times New Roman;Times;serif" w:hAnsi="Times New Roman;Times;serif"/>
          <w:sz w:val="22"/>
          <w:shd w:fill="FFFFFF" w:val="clear"/>
        </w:rPr>
        <w:tab/>
      </w:r>
      <w:hyperlink w:anchor="_Toc158971647">
        <w:r>
          <w:rPr>
            <w:rStyle w:val="InternetLink"/>
            <w:rFonts w:ascii="Times New Roman;Times;serif" w:hAnsi="Times New Roman;Times;serif"/>
            <w:b w:val="false"/>
            <w:i w:val="false"/>
            <w:caps w:val="false"/>
            <w:smallCaps w:val="false"/>
            <w:sz w:val="22"/>
            <w:shd w:fill="FFFFFF" w:val="clear"/>
          </w:rPr>
          <w:t>Required Investments in UFP Stock</w:t>
        </w:r>
      </w:hyperlink>
      <w:hyperlink w:anchor="_Toc158971647">
        <w:r>
          <w:rPr>
            <w:webHidden/>
          </w:rPr>
          <w:fldChar w:fldCharType="begin"/>
        </w:r>
        <w:r>
          <w:rPr>
            <w:webHidden/>
          </w:rPr>
          <w:instrText xml:space="preserve">PAGEREF _Toc158971647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10</w:t>
        </w:r>
        <w:r>
          <w:rPr>
            <w:webHidden/>
          </w:rPr>
          <w:fldChar w:fldCharType="end"/>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895"/>
                <wp:effectExtent l="0" t="0" r="0" b="0"/>
                <wp:wrapNone/>
                <wp:docPr id="61" name="Frame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8">
        <w:r>
          <w:rPr>
            <w:rStyle w:val="InternetLink"/>
            <w:rFonts w:ascii="Times New Roman;Times;serif" w:hAnsi="Times New Roman;Times;serif"/>
            <w:b w:val="false"/>
            <w:i w:val="false"/>
            <w:caps w:val="false"/>
            <w:smallCaps w:val="false"/>
            <w:sz w:val="22"/>
            <w:shd w:fill="FFFFFF" w:val="clear"/>
          </w:rPr>
          <w:t>4.5</w:t>
        </w:r>
      </w:hyperlink>
      <w:r>
        <w:rPr>
          <w:rFonts w:ascii="Times New Roman;Times;serif" w:hAnsi="Times New Roman;Times;serif"/>
          <w:sz w:val="22"/>
          <w:shd w:fill="FFFFFF" w:val="clear"/>
        </w:rPr>
        <w:tab/>
      </w:r>
      <w:hyperlink w:anchor="_Toc158971648">
        <w:r>
          <w:rPr>
            <w:rStyle w:val="InternetLink"/>
            <w:rFonts w:ascii="Times New Roman;Times;serif" w:hAnsi="Times New Roman;Times;serif"/>
            <w:b w:val="false"/>
            <w:i w:val="false"/>
            <w:caps w:val="false"/>
            <w:smallCaps w:val="false"/>
            <w:sz w:val="22"/>
            <w:shd w:fill="FFFFFF" w:val="clear"/>
          </w:rPr>
          <w:t>Vesting</w:t>
        </w:r>
      </w:hyperlink>
      <w:hyperlink w:anchor="_Toc158971648">
        <w:r>
          <w:rPr>
            <w:webHidden/>
          </w:rPr>
          <w:fldChar w:fldCharType="begin"/>
        </w:r>
        <w:r>
          <w:rPr>
            <w:webHidden/>
          </w:rPr>
          <w:instrText xml:space="preserve">PAGEREF _Toc158971648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12</w:t>
        </w:r>
        <w:r>
          <w:rPr>
            <w:webHidden/>
          </w:rPr>
          <w:fldChar w:fldCharType="end"/>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895"/>
                <wp:effectExtent l="0" t="0" r="0" b="0"/>
                <wp:wrapNone/>
                <wp:docPr id="62" name="Frame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49">
        <w:r>
          <w:rPr>
            <w:rStyle w:val="InternetLink"/>
            <w:rFonts w:ascii="Times New Roman;Times;serif" w:hAnsi="Times New Roman;Times;serif"/>
            <w:b w:val="false"/>
            <w:i w:val="false"/>
            <w:caps w:val="false"/>
            <w:smallCaps w:val="false"/>
            <w:sz w:val="22"/>
            <w:shd w:fill="FFFFFF" w:val="clear"/>
          </w:rPr>
          <w:t>4.6</w:t>
        </w:r>
      </w:hyperlink>
      <w:r>
        <w:rPr>
          <w:rFonts w:ascii="Times New Roman;Times;serif" w:hAnsi="Times New Roman;Times;serif"/>
          <w:sz w:val="22"/>
          <w:shd w:fill="FFFFFF" w:val="clear"/>
        </w:rPr>
        <w:tab/>
      </w:r>
      <w:hyperlink w:anchor="_Toc158971649">
        <w:r>
          <w:rPr>
            <w:rStyle w:val="InternetLink"/>
            <w:rFonts w:ascii="Times New Roman;Times;serif" w:hAnsi="Times New Roman;Times;serif"/>
            <w:b w:val="false"/>
            <w:i w:val="false"/>
            <w:caps w:val="false"/>
            <w:smallCaps w:val="false"/>
            <w:sz w:val="22"/>
            <w:shd w:fill="FFFFFF" w:val="clear"/>
          </w:rPr>
          <w:t>Forfeiture</w:t>
        </w:r>
      </w:hyperlink>
      <w:hyperlink w:anchor="_Toc158971649">
        <w:r>
          <w:rPr>
            <w:webHidden/>
          </w:rPr>
          <w:fldChar w:fldCharType="begin"/>
        </w:r>
        <w:r>
          <w:rPr>
            <w:webHidden/>
          </w:rPr>
          <w:instrText xml:space="preserve">PAGEREF _Toc158971649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12</w:t>
        </w:r>
        <w:r>
          <w:rPr>
            <w:webHidden/>
          </w:rPr>
          <w:fldChar w:fldCharType="end"/>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895"/>
                <wp:effectExtent l="0" t="0" r="0" b="0"/>
                <wp:wrapNone/>
                <wp:docPr id="63" name="Frame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50">
        <w:r>
          <w:rPr>
            <w:rStyle w:val="InternetLink"/>
            <w:rFonts w:ascii="Times New Roman;Times;serif" w:hAnsi="Times New Roman;Times;serif"/>
            <w:b w:val="false"/>
            <w:i w:val="false"/>
            <w:caps w:val="false"/>
            <w:smallCaps w:val="false"/>
            <w:sz w:val="22"/>
            <w:shd w:fill="FFFFFF" w:val="clear"/>
          </w:rPr>
          <w:t>Article 5</w:t>
        </w:r>
      </w:hyperlink>
      <w:hyperlink w:anchor="_Toc158971650">
        <w:r>
          <w:rPr>
            <w:webHidden/>
          </w:rPr>
          <w:fldChar w:fldCharType="begin"/>
        </w:r>
        <w:r>
          <w:rPr>
            <w:webHidden/>
          </w:rPr>
          <w:instrText xml:space="preserve">PAGEREF _Toc158971650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50">
        <w:r>
          <w:rPr>
            <w:webHidden/>
          </w:rPr>
          <w:fldChar w:fldCharType="begin"/>
        </w:r>
        <w:r>
          <w:rPr>
            <w:webHidden/>
          </w:rPr>
          <w:instrText xml:space="preserve">PAGEREF _Toc158971650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Distribution of Benefits</w:t>
        </w:r>
        <w:r>
          <w:rPr>
            <w:webHidden/>
          </w:rPr>
          <w:fldChar w:fldCharType="end"/>
        </w:r>
      </w:hyperlink>
      <w:hyperlink w:anchor="_Toc158971650">
        <w:r>
          <w:rPr>
            <w:webHidden/>
          </w:rPr>
          <w:fldChar w:fldCharType="begin"/>
        </w:r>
        <w:r>
          <w:rPr>
            <w:webHidden/>
          </w:rPr>
          <w:instrText xml:space="preserve">PAGEREF _Toc158971650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13</w:t>
        </w:r>
        <w:r>
          <w:rPr>
            <w:webHidden/>
          </w:rPr>
          <w:fldChar w:fldCharType="end"/>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895"/>
                <wp:effectExtent l="0" t="0" r="0" b="0"/>
                <wp:wrapNone/>
                <wp:docPr id="64" name="Frame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1">
        <w:r>
          <w:rPr>
            <w:rStyle w:val="InternetLink"/>
            <w:rFonts w:ascii="Times New Roman;Times;serif" w:hAnsi="Times New Roman;Times;serif"/>
            <w:b w:val="false"/>
            <w:i w:val="false"/>
            <w:caps w:val="false"/>
            <w:smallCaps w:val="false"/>
            <w:sz w:val="22"/>
            <w:shd w:fill="FFFFFF" w:val="clear"/>
          </w:rPr>
          <w:t>5.1</w:t>
        </w:r>
      </w:hyperlink>
      <w:r>
        <w:rPr>
          <w:rFonts w:ascii="Times New Roman;Times;serif" w:hAnsi="Times New Roman;Times;serif"/>
          <w:sz w:val="22"/>
          <w:shd w:fill="FFFFFF" w:val="clear"/>
        </w:rPr>
        <w:tab/>
      </w:r>
      <w:hyperlink w:anchor="_Toc158971651">
        <w:r>
          <w:rPr>
            <w:rStyle w:val="InternetLink"/>
            <w:rFonts w:ascii="Times New Roman;Times;serif" w:hAnsi="Times New Roman;Times;serif"/>
            <w:b w:val="false"/>
            <w:i w:val="false"/>
            <w:caps w:val="false"/>
            <w:smallCaps w:val="false"/>
            <w:sz w:val="22"/>
            <w:shd w:fill="FFFFFF" w:val="clear"/>
          </w:rPr>
          <w:t>Distributable Events</w:t>
        </w:r>
      </w:hyperlink>
      <w:hyperlink w:anchor="_Toc158971651">
        <w:r>
          <w:rPr>
            <w:webHidden/>
          </w:rPr>
          <w:fldChar w:fldCharType="begin"/>
        </w:r>
        <w:r>
          <w:rPr>
            <w:webHidden/>
          </w:rPr>
          <w:instrText xml:space="preserve">PAGEREF _Toc158971651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13</w:t>
        </w:r>
        <w:r>
          <w:rPr>
            <w:webHidden/>
          </w:rPr>
          <w:fldChar w:fldCharType="end"/>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895"/>
                <wp:effectExtent l="0" t="0" r="0" b="0"/>
                <wp:wrapNone/>
                <wp:docPr id="65" name="Frame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2">
        <w:r>
          <w:rPr>
            <w:rStyle w:val="InternetLink"/>
            <w:rFonts w:ascii="Times New Roman;Times;serif" w:hAnsi="Times New Roman;Times;serif"/>
            <w:b w:val="false"/>
            <w:i w:val="false"/>
            <w:caps w:val="false"/>
            <w:smallCaps w:val="false"/>
            <w:sz w:val="22"/>
            <w:shd w:fill="FFFFFF" w:val="clear"/>
          </w:rPr>
          <w:t>5.2</w:t>
        </w:r>
      </w:hyperlink>
      <w:r>
        <w:rPr>
          <w:rFonts w:ascii="Times New Roman;Times;serif" w:hAnsi="Times New Roman;Times;serif"/>
          <w:sz w:val="22"/>
          <w:shd w:fill="FFFFFF" w:val="clear"/>
        </w:rPr>
        <w:tab/>
      </w:r>
      <w:hyperlink w:anchor="_Toc158971652">
        <w:r>
          <w:rPr>
            <w:rStyle w:val="InternetLink"/>
            <w:rFonts w:ascii="Times New Roman;Times;serif" w:hAnsi="Times New Roman;Times;serif"/>
            <w:b w:val="false"/>
            <w:i w:val="false"/>
            <w:caps w:val="false"/>
            <w:smallCaps w:val="false"/>
            <w:sz w:val="22"/>
            <w:shd w:fill="FFFFFF" w:val="clear"/>
          </w:rPr>
          <w:t>Amount of Benefits</w:t>
        </w:r>
      </w:hyperlink>
      <w:hyperlink w:anchor="_Toc158971652">
        <w:r>
          <w:rPr>
            <w:webHidden/>
          </w:rPr>
          <w:fldChar w:fldCharType="begin"/>
        </w:r>
        <w:r>
          <w:rPr>
            <w:webHidden/>
          </w:rPr>
          <w:instrText xml:space="preserve">PAGEREF _Toc158971652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13</w:t>
        </w:r>
        <w:r>
          <w:rPr>
            <w:webHidden/>
          </w:rPr>
          <w:fldChar w:fldCharType="end"/>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895"/>
                <wp:effectExtent l="0" t="0" r="0" b="0"/>
                <wp:wrapNone/>
                <wp:docPr id="66" name="Frame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3">
        <w:r>
          <w:rPr>
            <w:rStyle w:val="InternetLink"/>
            <w:rFonts w:ascii="Times New Roman;Times;serif" w:hAnsi="Times New Roman;Times;serif"/>
            <w:b w:val="false"/>
            <w:i w:val="false"/>
            <w:caps w:val="false"/>
            <w:smallCaps w:val="false"/>
            <w:sz w:val="22"/>
            <w:shd w:fill="FFFFFF" w:val="clear"/>
          </w:rPr>
          <w:t>5.3</w:t>
        </w:r>
      </w:hyperlink>
      <w:r>
        <w:rPr>
          <w:rFonts w:ascii="Times New Roman;Times;serif" w:hAnsi="Times New Roman;Times;serif"/>
          <w:sz w:val="22"/>
          <w:shd w:fill="FFFFFF" w:val="clear"/>
        </w:rPr>
        <w:tab/>
      </w:r>
      <w:hyperlink w:anchor="_Toc158971653">
        <w:r>
          <w:rPr>
            <w:rStyle w:val="InternetLink"/>
            <w:rFonts w:ascii="Times New Roman;Times;serif" w:hAnsi="Times New Roman;Times;serif"/>
            <w:b w:val="false"/>
            <w:i w:val="false"/>
            <w:caps w:val="false"/>
            <w:smallCaps w:val="false"/>
            <w:sz w:val="22"/>
            <w:shd w:fill="FFFFFF" w:val="clear"/>
          </w:rPr>
          <w:t>Time of Payment</w:t>
        </w:r>
      </w:hyperlink>
      <w:hyperlink w:anchor="_Toc158971653">
        <w:r>
          <w:rPr>
            <w:webHidden/>
          </w:rPr>
          <w:fldChar w:fldCharType="begin"/>
        </w:r>
        <w:r>
          <w:rPr>
            <w:webHidden/>
          </w:rPr>
          <w:instrText xml:space="preserve">PAGEREF _Toc158971653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13</w:t>
        </w:r>
        <w:r>
          <w:rPr>
            <w:webHidden/>
          </w:rPr>
          <w:fldChar w:fldCharType="end"/>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895"/>
                <wp:effectExtent l="0" t="0" r="0" b="0"/>
                <wp:wrapNone/>
                <wp:docPr id="67" name="Frame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4">
        <w:r>
          <w:rPr>
            <w:rStyle w:val="InternetLink"/>
            <w:rFonts w:ascii="Times New Roman;Times;serif" w:hAnsi="Times New Roman;Times;serif"/>
            <w:b w:val="false"/>
            <w:i w:val="false"/>
            <w:caps w:val="false"/>
            <w:smallCaps w:val="false"/>
            <w:sz w:val="22"/>
            <w:shd w:fill="FFFFFF" w:val="clear"/>
          </w:rPr>
          <w:t>5.4</w:t>
        </w:r>
      </w:hyperlink>
      <w:r>
        <w:rPr>
          <w:rFonts w:ascii="Times New Roman;Times;serif" w:hAnsi="Times New Roman;Times;serif"/>
          <w:sz w:val="22"/>
          <w:shd w:fill="FFFFFF" w:val="clear"/>
        </w:rPr>
        <w:tab/>
      </w:r>
      <w:hyperlink w:anchor="_Toc158971654">
        <w:r>
          <w:rPr>
            <w:rStyle w:val="InternetLink"/>
            <w:rFonts w:ascii="Times New Roman;Times;serif" w:hAnsi="Times New Roman;Times;serif"/>
            <w:b w:val="false"/>
            <w:i w:val="false"/>
            <w:caps w:val="false"/>
            <w:smallCaps w:val="false"/>
            <w:sz w:val="22"/>
            <w:shd w:fill="FFFFFF" w:val="clear"/>
          </w:rPr>
          <w:t>Form of Payment</w:t>
        </w:r>
      </w:hyperlink>
      <w:hyperlink w:anchor="_Toc158971654">
        <w:r>
          <w:rPr>
            <w:webHidden/>
          </w:rPr>
          <w:fldChar w:fldCharType="begin"/>
        </w:r>
        <w:r>
          <w:rPr>
            <w:webHidden/>
          </w:rPr>
          <w:instrText xml:space="preserve">PAGEREF _Toc158971654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14</w:t>
        </w:r>
        <w:r>
          <w:rPr>
            <w:webHidden/>
          </w:rPr>
          <w:fldChar w:fldCharType="end"/>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895"/>
                <wp:effectExtent l="0" t="0" r="0" b="0"/>
                <wp:wrapNone/>
                <wp:docPr id="68" name="Frame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5">
        <w:r>
          <w:rPr>
            <w:rStyle w:val="InternetLink"/>
            <w:rFonts w:ascii="Times New Roman;Times;serif" w:hAnsi="Times New Roman;Times;serif"/>
            <w:b w:val="false"/>
            <w:i w:val="false"/>
            <w:caps w:val="false"/>
            <w:smallCaps w:val="false"/>
            <w:sz w:val="22"/>
            <w:shd w:fill="FFFFFF" w:val="clear"/>
          </w:rPr>
          <w:t>5.5</w:t>
        </w:r>
      </w:hyperlink>
      <w:r>
        <w:rPr>
          <w:rFonts w:ascii="Times New Roman;Times;serif" w:hAnsi="Times New Roman;Times;serif"/>
          <w:sz w:val="22"/>
          <w:shd w:fill="FFFFFF" w:val="clear"/>
        </w:rPr>
        <w:tab/>
      </w:r>
      <w:hyperlink w:anchor="_Toc158971655">
        <w:r>
          <w:rPr>
            <w:rStyle w:val="InternetLink"/>
            <w:rFonts w:ascii="Times New Roman;Times;serif" w:hAnsi="Times New Roman;Times;serif"/>
            <w:b w:val="false"/>
            <w:i w:val="false"/>
            <w:caps w:val="false"/>
            <w:smallCaps w:val="false"/>
            <w:sz w:val="22"/>
            <w:shd w:fill="FFFFFF" w:val="clear"/>
          </w:rPr>
          <w:t>Beneficiary Designations</w:t>
        </w:r>
      </w:hyperlink>
      <w:hyperlink w:anchor="_Toc158971655">
        <w:r>
          <w:rPr>
            <w:webHidden/>
          </w:rPr>
          <w:fldChar w:fldCharType="begin"/>
        </w:r>
        <w:r>
          <w:rPr>
            <w:webHidden/>
          </w:rPr>
          <w:instrText xml:space="preserve">PAGEREF _Toc158971655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14</w:t>
        </w:r>
        <w:r>
          <w:rPr>
            <w:webHidden/>
          </w:rPr>
          <w:fldChar w:fldCharType="end"/>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895"/>
                <wp:effectExtent l="0" t="0" r="0" b="0"/>
                <wp:wrapNone/>
                <wp:docPr id="69" name="Frame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6">
        <w:r>
          <w:rPr>
            <w:rStyle w:val="InternetLink"/>
            <w:rFonts w:ascii="Times New Roman;Times;serif" w:hAnsi="Times New Roman;Times;serif"/>
            <w:b w:val="false"/>
            <w:i w:val="false"/>
            <w:caps w:val="false"/>
            <w:smallCaps w:val="false"/>
            <w:sz w:val="22"/>
            <w:shd w:fill="FFFFFF" w:val="clear"/>
          </w:rPr>
          <w:t>5.6</w:t>
        </w:r>
      </w:hyperlink>
      <w:r>
        <w:rPr>
          <w:rFonts w:ascii="Times New Roman;Times;serif" w:hAnsi="Times New Roman;Times;serif"/>
          <w:sz w:val="22"/>
          <w:shd w:fill="FFFFFF" w:val="clear"/>
        </w:rPr>
        <w:tab/>
      </w:r>
      <w:hyperlink w:anchor="_Toc158971656">
        <w:r>
          <w:rPr>
            <w:rStyle w:val="InternetLink"/>
            <w:rFonts w:ascii="Times New Roman;Times;serif" w:hAnsi="Times New Roman;Times;serif"/>
            <w:b w:val="false"/>
            <w:i w:val="false"/>
            <w:caps w:val="false"/>
            <w:smallCaps w:val="false"/>
            <w:sz w:val="22"/>
            <w:shd w:fill="FFFFFF" w:val="clear"/>
          </w:rPr>
          <w:t>Unforeseeable Emergency</w:t>
        </w:r>
      </w:hyperlink>
      <w:hyperlink w:anchor="_Toc158971656">
        <w:r>
          <w:rPr>
            <w:webHidden/>
          </w:rPr>
          <w:fldChar w:fldCharType="begin"/>
        </w:r>
        <w:r>
          <w:rPr>
            <w:webHidden/>
          </w:rPr>
          <w:instrText xml:space="preserve">PAGEREF _Toc158971656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15</w:t>
        </w:r>
        <w:r>
          <w:rPr>
            <w:webHidden/>
          </w:rPr>
          <w:fldChar w:fldCharType="end"/>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895"/>
                <wp:effectExtent l="0" t="0" r="0" b="0"/>
                <wp:wrapNone/>
                <wp:docPr id="70" name="Frame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0.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7">
        <w:r>
          <w:rPr>
            <w:rStyle w:val="InternetLink"/>
            <w:rFonts w:ascii="Times New Roman;Times;serif" w:hAnsi="Times New Roman;Times;serif"/>
            <w:b w:val="false"/>
            <w:i w:val="false"/>
            <w:caps w:val="false"/>
            <w:smallCaps w:val="false"/>
            <w:sz w:val="22"/>
            <w:shd w:fill="FFFFFF" w:val="clear"/>
          </w:rPr>
          <w:t>5.7</w:t>
        </w:r>
      </w:hyperlink>
      <w:r>
        <w:rPr>
          <w:rFonts w:ascii="Times New Roman;Times;serif" w:hAnsi="Times New Roman;Times;serif"/>
          <w:sz w:val="22"/>
          <w:shd w:fill="FFFFFF" w:val="clear"/>
        </w:rPr>
        <w:tab/>
      </w:r>
      <w:hyperlink w:anchor="_Toc158971657">
        <w:r>
          <w:rPr>
            <w:rStyle w:val="InternetLink"/>
            <w:rFonts w:ascii="Times New Roman;Times;serif" w:hAnsi="Times New Roman;Times;serif"/>
            <w:b w:val="false"/>
            <w:i w:val="false"/>
            <w:caps w:val="false"/>
            <w:smallCaps w:val="false"/>
            <w:sz w:val="22"/>
            <w:shd w:fill="FFFFFF" w:val="clear"/>
          </w:rPr>
          <w:t>Tax Withholding</w:t>
        </w:r>
      </w:hyperlink>
      <w:hyperlink w:anchor="_Toc158971657">
        <w:r>
          <w:rPr>
            <w:webHidden/>
          </w:rPr>
          <w:fldChar w:fldCharType="begin"/>
        </w:r>
        <w:r>
          <w:rPr>
            <w:webHidden/>
          </w:rPr>
          <w:instrText xml:space="preserve">PAGEREF _Toc158971657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15</w:t>
        </w:r>
        <w:r>
          <w:rPr>
            <w:webHidden/>
          </w:rPr>
          <w:fldChar w:fldCharType="end"/>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895"/>
                <wp:effectExtent l="0" t="0" r="0" b="0"/>
                <wp:wrapNone/>
                <wp:docPr id="71" name="Frame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58">
        <w:r>
          <w:rPr>
            <w:rStyle w:val="InternetLink"/>
            <w:rFonts w:ascii="Times New Roman;Times;serif" w:hAnsi="Times New Roman;Times;serif"/>
            <w:b w:val="false"/>
            <w:i w:val="false"/>
            <w:caps w:val="false"/>
            <w:smallCaps w:val="false"/>
            <w:sz w:val="22"/>
            <w:shd w:fill="FFFFFF" w:val="clear"/>
          </w:rPr>
          <w:t>5.8</w:t>
        </w:r>
      </w:hyperlink>
      <w:r>
        <w:rPr>
          <w:rFonts w:ascii="Times New Roman;Times;serif" w:hAnsi="Times New Roman;Times;serif"/>
          <w:sz w:val="22"/>
          <w:shd w:fill="FFFFFF" w:val="clear"/>
        </w:rPr>
        <w:tab/>
      </w:r>
      <w:hyperlink w:anchor="_Toc158971658">
        <w:r>
          <w:rPr>
            <w:rStyle w:val="InternetLink"/>
            <w:rFonts w:ascii="Times New Roman;Times;serif" w:hAnsi="Times New Roman;Times;serif"/>
            <w:b w:val="false"/>
            <w:i w:val="false"/>
            <w:caps w:val="false"/>
            <w:smallCaps w:val="false"/>
            <w:sz w:val="22"/>
            <w:shd w:fill="FFFFFF" w:val="clear"/>
          </w:rPr>
          <w:t>Prohibition on Assignment and Alienation</w:t>
        </w:r>
      </w:hyperlink>
      <w:hyperlink w:anchor="_Toc158971658">
        <w:r>
          <w:rPr>
            <w:webHidden/>
          </w:rPr>
          <w:fldChar w:fldCharType="begin"/>
        </w:r>
        <w:r>
          <w:rPr>
            <w:webHidden/>
          </w:rPr>
          <w:instrText xml:space="preserve">PAGEREF _Toc158971658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16</w:t>
        </w:r>
        <w:r>
          <w:rPr>
            <w:webHidden/>
          </w:rPr>
          <w:fldChar w:fldCharType="end"/>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895"/>
                <wp:effectExtent l="0" t="0" r="0" b="0"/>
                <wp:wrapNone/>
                <wp:docPr id="72" name="Frame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0.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59">
        <w:r>
          <w:rPr>
            <w:rStyle w:val="InternetLink"/>
            <w:rFonts w:ascii="Times New Roman;Times;serif" w:hAnsi="Times New Roman;Times;serif"/>
            <w:b w:val="false"/>
            <w:i w:val="false"/>
            <w:caps w:val="false"/>
            <w:smallCaps w:val="false"/>
            <w:sz w:val="22"/>
            <w:shd w:fill="FFFFFF" w:val="clear"/>
          </w:rPr>
          <w:t>Article 6</w:t>
        </w:r>
      </w:hyperlink>
      <w:hyperlink w:anchor="_Toc158971659">
        <w:r>
          <w:rPr>
            <w:webHidden/>
          </w:rPr>
          <w:fldChar w:fldCharType="begin"/>
        </w:r>
        <w:r>
          <w:rPr>
            <w:webHidden/>
          </w:rPr>
          <w:instrText xml:space="preserve">PAGEREF _Toc158971659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59">
        <w:r>
          <w:rPr>
            <w:webHidden/>
          </w:rPr>
          <w:fldChar w:fldCharType="begin"/>
        </w:r>
        <w:r>
          <w:rPr>
            <w:webHidden/>
          </w:rPr>
          <w:instrText xml:space="preserve">PAGEREF _Toc158971659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Funding</w:t>
        </w:r>
        <w:r>
          <w:rPr>
            <w:webHidden/>
          </w:rPr>
          <w:fldChar w:fldCharType="end"/>
        </w:r>
      </w:hyperlink>
      <w:hyperlink w:anchor="_Toc158971659">
        <w:r>
          <w:rPr>
            <w:webHidden/>
          </w:rPr>
          <w:fldChar w:fldCharType="begin"/>
        </w:r>
        <w:r>
          <w:rPr>
            <w:webHidden/>
          </w:rPr>
          <w:instrText xml:space="preserve">PAGEREF _Toc158971659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16</w:t>
        </w:r>
        <w:r>
          <w:rPr>
            <w:webHidden/>
          </w:rPr>
          <w:fldChar w:fldCharType="end"/>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895"/>
                <wp:effectExtent l="0" t="0" r="0" b="0"/>
                <wp:wrapNone/>
                <wp:docPr id="73" name="Frame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9.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rFonts w:ascii="Calibri;Helvetica;sans-serif" w:hAnsi="Calibri;Helvetica;sans-serif"/>
          <w:sz w:val="18"/>
        </w:rPr>
      </w:pPr>
      <w:r>
        <w:rPr>
          <w:rFonts w:ascii="Calibri;Helvetica;sans-serif" w:hAnsi="Calibri;Helvetica;sans-serif"/>
          <w:sz w:val="18"/>
        </w:rPr>
        <w:t>16483168_1</w:t>
      </w:r>
    </w:p>
    <w:p>
      <w:pPr>
        <w:pStyle w:val="HorizontalLine"/>
        <w:pBdr>
          <w:bottom w:val="double" w:sz="2" w:space="0" w:color="808080"/>
        </w:pBdr>
        <w:bidi w:val="0"/>
        <w:spacing w:before="0" w:after="283"/>
        <w:jc w:val="left"/>
        <w:rPr/>
      </w:pPr>
      <w:r>
        <w:rPr/>
      </w:r>
    </w:p>
    <w:p>
      <w:pPr>
        <w:pStyle w:val="TextBody"/>
        <w:pBdr/>
        <w:bidi w:val="0"/>
        <w:spacing w:lineRule="auto" w:line="285" w:before="0" w:after="0"/>
        <w:ind w:left="720" w:right="0" w:hanging="0"/>
        <w:jc w:val="left"/>
        <w:rPr/>
      </w:pPr>
      <w:hyperlink w:anchor="_Toc158971660">
        <w:r>
          <w:rPr>
            <w:rStyle w:val="InternetLink"/>
            <w:rFonts w:ascii="Times New Roman;Times;serif" w:hAnsi="Times New Roman;Times;serif"/>
            <w:b w:val="false"/>
            <w:i w:val="false"/>
            <w:caps w:val="false"/>
            <w:smallCaps w:val="false"/>
            <w:sz w:val="22"/>
            <w:shd w:fill="FFFFFF" w:val="clear"/>
          </w:rPr>
          <w:t>6.1</w:t>
        </w:r>
      </w:hyperlink>
      <w:r>
        <w:rPr>
          <w:rFonts w:ascii="Times New Roman;Times;serif" w:hAnsi="Times New Roman;Times;serif"/>
          <w:sz w:val="22"/>
          <w:shd w:fill="FFFFFF" w:val="clear"/>
        </w:rPr>
        <w:tab/>
      </w:r>
      <w:hyperlink w:anchor="_Toc158971660">
        <w:r>
          <w:rPr>
            <w:rStyle w:val="InternetLink"/>
            <w:rFonts w:ascii="Times New Roman;Times;serif" w:hAnsi="Times New Roman;Times;serif"/>
            <w:b w:val="false"/>
            <w:i w:val="false"/>
            <w:caps w:val="false"/>
            <w:smallCaps w:val="false"/>
            <w:sz w:val="22"/>
            <w:shd w:fill="FFFFFF" w:val="clear"/>
          </w:rPr>
          <w:t>No Trust or Other Fiduciary Relationship</w:t>
        </w:r>
      </w:hyperlink>
      <w:hyperlink w:anchor="_Toc158971660">
        <w:r>
          <w:rPr>
            <w:webHidden/>
          </w:rPr>
          <w:fldChar w:fldCharType="begin"/>
        </w:r>
        <w:r>
          <w:rPr>
            <w:webHidden/>
          </w:rPr>
          <w:instrText xml:space="preserve">PAGEREF _Toc158971660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16</w:t>
        </w:r>
        <w:r>
          <w:rPr>
            <w:webHidden/>
          </w:rPr>
          <w:fldChar w:fldCharType="end"/>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895"/>
                <wp:effectExtent l="0" t="0" r="0" b="0"/>
                <wp:wrapNone/>
                <wp:docPr id="74" name="Frame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6.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1">
        <w:r>
          <w:rPr>
            <w:rStyle w:val="InternetLink"/>
            <w:rFonts w:ascii="Times New Roman;Times;serif" w:hAnsi="Times New Roman;Times;serif"/>
            <w:b w:val="false"/>
            <w:i w:val="false"/>
            <w:caps w:val="false"/>
            <w:smallCaps w:val="false"/>
            <w:sz w:val="22"/>
            <w:shd w:fill="FFFFFF" w:val="clear"/>
          </w:rPr>
          <w:t>6.2</w:t>
        </w:r>
      </w:hyperlink>
      <w:r>
        <w:rPr>
          <w:rFonts w:ascii="Times New Roman;Times;serif" w:hAnsi="Times New Roman;Times;serif"/>
          <w:sz w:val="22"/>
          <w:shd w:fill="FFFFFF" w:val="clear"/>
        </w:rPr>
        <w:tab/>
      </w:r>
      <w:hyperlink w:anchor="_Toc158971661">
        <w:r>
          <w:rPr>
            <w:rStyle w:val="InternetLink"/>
            <w:rFonts w:ascii="Times New Roman;Times;serif" w:hAnsi="Times New Roman;Times;serif"/>
            <w:b w:val="false"/>
            <w:i w:val="false"/>
            <w:caps w:val="false"/>
            <w:smallCaps w:val="false"/>
            <w:sz w:val="22"/>
            <w:shd w:fill="FFFFFF" w:val="clear"/>
          </w:rPr>
          <w:t>Establishment of Trust Fund</w:t>
        </w:r>
      </w:hyperlink>
      <w:hyperlink w:anchor="_Toc158971661">
        <w:r>
          <w:rPr>
            <w:webHidden/>
          </w:rPr>
          <w:fldChar w:fldCharType="begin"/>
        </w:r>
        <w:r>
          <w:rPr>
            <w:webHidden/>
          </w:rPr>
          <w:instrText xml:space="preserve">PAGEREF _Toc158971661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16</w:t>
        </w:r>
        <w:r>
          <w:rPr>
            <w:webHidden/>
          </w:rPr>
          <w:fldChar w:fldCharType="end"/>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895"/>
                <wp:effectExtent l="0" t="0" r="0" b="0"/>
                <wp:wrapNone/>
                <wp:docPr id="75" name="Frame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62">
        <w:r>
          <w:rPr>
            <w:rStyle w:val="InternetLink"/>
            <w:rFonts w:ascii="Times New Roman;Times;serif" w:hAnsi="Times New Roman;Times;serif"/>
            <w:b w:val="false"/>
            <w:i w:val="false"/>
            <w:caps w:val="false"/>
            <w:smallCaps w:val="false"/>
            <w:sz w:val="22"/>
            <w:shd w:fill="FFFFFF" w:val="clear"/>
          </w:rPr>
          <w:t>Article 7</w:t>
        </w:r>
      </w:hyperlink>
      <w:hyperlink w:anchor="_Toc158971662">
        <w:r>
          <w:rPr>
            <w:webHidden/>
          </w:rPr>
          <w:fldChar w:fldCharType="begin"/>
        </w:r>
        <w:r>
          <w:rPr>
            <w:webHidden/>
          </w:rPr>
          <w:instrText xml:space="preserve">PAGEREF _Toc158971662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62">
        <w:r>
          <w:rPr>
            <w:webHidden/>
          </w:rPr>
          <w:fldChar w:fldCharType="begin"/>
        </w:r>
        <w:r>
          <w:rPr>
            <w:webHidden/>
          </w:rPr>
          <w:instrText xml:space="preserve">PAGEREF _Toc158971662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Administration</w:t>
        </w:r>
        <w:r>
          <w:rPr>
            <w:webHidden/>
          </w:rPr>
          <w:fldChar w:fldCharType="end"/>
        </w:r>
      </w:hyperlink>
      <w:hyperlink w:anchor="_Toc158971662">
        <w:r>
          <w:rPr>
            <w:webHidden/>
          </w:rPr>
          <w:fldChar w:fldCharType="begin"/>
        </w:r>
        <w:r>
          <w:rPr>
            <w:webHidden/>
          </w:rPr>
          <w:instrText xml:space="preserve">PAGEREF _Toc158971662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17</w:t>
        </w:r>
        <w:r>
          <w:rPr>
            <w:webHidden/>
          </w:rPr>
          <w:fldChar w:fldCharType="end"/>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895"/>
                <wp:effectExtent l="0" t="0" r="0" b="0"/>
                <wp:wrapNone/>
                <wp:docPr id="76" name="Frame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9.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3">
        <w:r>
          <w:rPr>
            <w:rStyle w:val="InternetLink"/>
            <w:rFonts w:ascii="Times New Roman;Times;serif" w:hAnsi="Times New Roman;Times;serif"/>
            <w:b w:val="false"/>
            <w:i w:val="false"/>
            <w:caps w:val="false"/>
            <w:smallCaps w:val="false"/>
            <w:sz w:val="22"/>
            <w:shd w:fill="FFFFFF" w:val="clear"/>
          </w:rPr>
          <w:t>7.1</w:t>
        </w:r>
      </w:hyperlink>
      <w:r>
        <w:rPr>
          <w:rFonts w:ascii="Times New Roman;Times;serif" w:hAnsi="Times New Roman;Times;serif"/>
          <w:sz w:val="22"/>
          <w:shd w:fill="FFFFFF" w:val="clear"/>
        </w:rPr>
        <w:tab/>
      </w:r>
      <w:hyperlink w:anchor="_Toc158971663">
        <w:r>
          <w:rPr>
            <w:rStyle w:val="InternetLink"/>
            <w:rFonts w:ascii="Times New Roman;Times;serif" w:hAnsi="Times New Roman;Times;serif"/>
            <w:b w:val="false"/>
            <w:i w:val="false"/>
            <w:caps w:val="false"/>
            <w:smallCaps w:val="false"/>
            <w:sz w:val="22"/>
            <w:shd w:fill="FFFFFF" w:val="clear"/>
          </w:rPr>
          <w:t>Plan Administrator</w:t>
        </w:r>
      </w:hyperlink>
      <w:hyperlink w:anchor="_Toc158971663">
        <w:r>
          <w:rPr>
            <w:webHidden/>
          </w:rPr>
          <w:fldChar w:fldCharType="begin"/>
        </w:r>
        <w:r>
          <w:rPr>
            <w:webHidden/>
          </w:rPr>
          <w:instrText xml:space="preserve">PAGEREF _Toc158971663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17</w:t>
        </w:r>
        <w:r>
          <w:rPr>
            <w:webHidden/>
          </w:rPr>
          <w:fldChar w:fldCharType="end"/>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895"/>
                <wp:effectExtent l="0" t="0" r="0" b="0"/>
                <wp:wrapNone/>
                <wp:docPr id="77" name="Frame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4">
        <w:r>
          <w:rPr>
            <w:rStyle w:val="InternetLink"/>
            <w:rFonts w:ascii="Times New Roman;Times;serif" w:hAnsi="Times New Roman;Times;serif"/>
            <w:b w:val="false"/>
            <w:i w:val="false"/>
            <w:caps w:val="false"/>
            <w:smallCaps w:val="false"/>
            <w:sz w:val="22"/>
            <w:shd w:fill="FFFFFF" w:val="clear"/>
          </w:rPr>
          <w:t>7.2</w:t>
        </w:r>
      </w:hyperlink>
      <w:r>
        <w:rPr>
          <w:rFonts w:ascii="Times New Roman;Times;serif" w:hAnsi="Times New Roman;Times;serif"/>
          <w:sz w:val="22"/>
          <w:shd w:fill="FFFFFF" w:val="clear"/>
        </w:rPr>
        <w:tab/>
      </w:r>
      <w:hyperlink w:anchor="_Toc158971664">
        <w:r>
          <w:rPr>
            <w:rStyle w:val="InternetLink"/>
            <w:rFonts w:ascii="Times New Roman;Times;serif" w:hAnsi="Times New Roman;Times;serif"/>
            <w:b w:val="false"/>
            <w:i w:val="false"/>
            <w:caps w:val="false"/>
            <w:smallCaps w:val="false"/>
            <w:sz w:val="22"/>
            <w:shd w:fill="FFFFFF" w:val="clear"/>
          </w:rPr>
          <w:t>Powers of Plan Administrator</w:t>
        </w:r>
      </w:hyperlink>
      <w:hyperlink w:anchor="_Toc158971664">
        <w:r>
          <w:rPr>
            <w:webHidden/>
          </w:rPr>
          <w:fldChar w:fldCharType="begin"/>
        </w:r>
        <w:r>
          <w:rPr>
            <w:webHidden/>
          </w:rPr>
          <w:instrText xml:space="preserve">PAGEREF _Toc158971664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17</w:t>
        </w:r>
        <w:r>
          <w:rPr>
            <w:webHidden/>
          </w:rPr>
          <w:fldChar w:fldCharType="end"/>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895"/>
                <wp:effectExtent l="0" t="0" r="0" b="0"/>
                <wp:wrapNone/>
                <wp:docPr id="78" name="Frame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5">
        <w:r>
          <w:rPr>
            <w:rStyle w:val="InternetLink"/>
            <w:rFonts w:ascii="Times New Roman;Times;serif" w:hAnsi="Times New Roman;Times;serif"/>
            <w:b w:val="false"/>
            <w:i w:val="false"/>
            <w:caps w:val="false"/>
            <w:smallCaps w:val="false"/>
            <w:sz w:val="22"/>
            <w:shd w:fill="FFFFFF" w:val="clear"/>
          </w:rPr>
          <w:t>7.3</w:t>
        </w:r>
      </w:hyperlink>
      <w:r>
        <w:rPr>
          <w:rFonts w:ascii="Times New Roman;Times;serif" w:hAnsi="Times New Roman;Times;serif"/>
          <w:sz w:val="22"/>
          <w:shd w:fill="FFFFFF" w:val="clear"/>
        </w:rPr>
        <w:tab/>
      </w:r>
      <w:hyperlink w:anchor="_Toc158971665">
        <w:r>
          <w:rPr>
            <w:rStyle w:val="InternetLink"/>
            <w:rFonts w:ascii="Times New Roman;Times;serif" w:hAnsi="Times New Roman;Times;serif"/>
            <w:b w:val="false"/>
            <w:i w:val="false"/>
            <w:caps w:val="false"/>
            <w:smallCaps w:val="false"/>
            <w:sz w:val="22"/>
            <w:shd w:fill="FFFFFF" w:val="clear"/>
          </w:rPr>
          <w:t>Maintenance of Records</w:t>
        </w:r>
      </w:hyperlink>
      <w:hyperlink w:anchor="_Toc158971665">
        <w:r>
          <w:rPr>
            <w:webHidden/>
          </w:rPr>
          <w:fldChar w:fldCharType="begin"/>
        </w:r>
        <w:r>
          <w:rPr>
            <w:webHidden/>
          </w:rPr>
          <w:instrText xml:space="preserve">PAGEREF _Toc158971665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18</w:t>
        </w:r>
        <w:r>
          <w:rPr>
            <w:webHidden/>
          </w:rPr>
          <w:fldChar w:fldCharType="end"/>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895"/>
                <wp:effectExtent l="0" t="0" r="0" b="0"/>
                <wp:wrapNone/>
                <wp:docPr id="79" name="Frame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6">
        <w:r>
          <w:rPr>
            <w:rStyle w:val="InternetLink"/>
            <w:rFonts w:ascii="Times New Roman;Times;serif" w:hAnsi="Times New Roman;Times;serif"/>
            <w:b w:val="false"/>
            <w:i w:val="false"/>
            <w:caps w:val="false"/>
            <w:smallCaps w:val="false"/>
            <w:sz w:val="22"/>
            <w:shd w:fill="FFFFFF" w:val="clear"/>
          </w:rPr>
          <w:t>7.4</w:t>
        </w:r>
      </w:hyperlink>
      <w:r>
        <w:rPr>
          <w:rFonts w:ascii="Times New Roman;Times;serif" w:hAnsi="Times New Roman;Times;serif"/>
          <w:sz w:val="22"/>
          <w:shd w:fill="FFFFFF" w:val="clear"/>
        </w:rPr>
        <w:tab/>
      </w:r>
      <w:hyperlink w:anchor="_Toc158971666">
        <w:r>
          <w:rPr>
            <w:rStyle w:val="InternetLink"/>
            <w:rFonts w:ascii="Times New Roman;Times;serif" w:hAnsi="Times New Roman;Times;serif"/>
            <w:b w:val="false"/>
            <w:i w:val="false"/>
            <w:caps w:val="false"/>
            <w:smallCaps w:val="false"/>
            <w:sz w:val="22"/>
            <w:shd w:fill="FFFFFF" w:val="clear"/>
          </w:rPr>
          <w:t>Appeal Procedure</w:t>
        </w:r>
      </w:hyperlink>
      <w:hyperlink w:anchor="_Toc158971666">
        <w:r>
          <w:rPr>
            <w:webHidden/>
          </w:rPr>
          <w:fldChar w:fldCharType="begin"/>
        </w:r>
        <w:r>
          <w:rPr>
            <w:webHidden/>
          </w:rPr>
          <w:instrText xml:space="preserve">PAGEREF _Toc158971666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18</w:t>
        </w:r>
        <w:r>
          <w:rPr>
            <w:webHidden/>
          </w:rPr>
          <w:fldChar w:fldCharType="end"/>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895"/>
                <wp:effectExtent l="0" t="0" r="0" b="0"/>
                <wp:wrapNone/>
                <wp:docPr id="80" name="Frame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7">
        <w:r>
          <w:rPr>
            <w:rStyle w:val="InternetLink"/>
            <w:rFonts w:ascii="Times New Roman;Times;serif" w:hAnsi="Times New Roman;Times;serif"/>
            <w:b w:val="false"/>
            <w:i w:val="false"/>
            <w:caps w:val="false"/>
            <w:smallCaps w:val="false"/>
            <w:sz w:val="22"/>
            <w:shd w:fill="FFFFFF" w:val="clear"/>
          </w:rPr>
          <w:t>7.5</w:t>
        </w:r>
      </w:hyperlink>
      <w:r>
        <w:rPr>
          <w:rFonts w:ascii="Times New Roman;Times;serif" w:hAnsi="Times New Roman;Times;serif"/>
          <w:sz w:val="22"/>
          <w:shd w:fill="FFFFFF" w:val="clear"/>
        </w:rPr>
        <w:tab/>
      </w:r>
      <w:hyperlink w:anchor="_Toc158971667">
        <w:r>
          <w:rPr>
            <w:rStyle w:val="InternetLink"/>
            <w:rFonts w:ascii="Times New Roman;Times;serif" w:hAnsi="Times New Roman;Times;serif"/>
            <w:b w:val="false"/>
            <w:i w:val="false"/>
            <w:caps w:val="false"/>
            <w:smallCaps w:val="false"/>
            <w:sz w:val="22"/>
            <w:shd w:fill="FFFFFF" w:val="clear"/>
          </w:rPr>
          <w:t>Indemnification of Administrative Committee</w:t>
        </w:r>
      </w:hyperlink>
      <w:hyperlink w:anchor="_Toc158971667">
        <w:r>
          <w:rPr>
            <w:webHidden/>
          </w:rPr>
          <w:fldChar w:fldCharType="begin"/>
        </w:r>
        <w:r>
          <w:rPr>
            <w:webHidden/>
          </w:rPr>
          <w:instrText xml:space="preserve">PAGEREF _Toc158971667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18</w:t>
        </w:r>
        <w:r>
          <w:rPr>
            <w:webHidden/>
          </w:rPr>
          <w:fldChar w:fldCharType="end"/>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895"/>
                <wp:effectExtent l="0" t="0" r="0" b="0"/>
                <wp:wrapNone/>
                <wp:docPr id="81" name="Frame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68">
        <w:r>
          <w:rPr>
            <w:rStyle w:val="InternetLink"/>
            <w:rFonts w:ascii="Times New Roman;Times;serif" w:hAnsi="Times New Roman;Times;serif"/>
            <w:b w:val="false"/>
            <w:i w:val="false"/>
            <w:caps w:val="false"/>
            <w:smallCaps w:val="false"/>
            <w:sz w:val="22"/>
            <w:shd w:fill="FFFFFF" w:val="clear"/>
          </w:rPr>
          <w:t>Article 8</w:t>
        </w:r>
      </w:hyperlink>
      <w:hyperlink w:anchor="_Toc158971668">
        <w:r>
          <w:rPr>
            <w:webHidden/>
          </w:rPr>
          <w:fldChar w:fldCharType="begin"/>
        </w:r>
        <w:r>
          <w:rPr>
            <w:webHidden/>
          </w:rPr>
          <w:instrText xml:space="preserve">PAGEREF _Toc158971668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158971668">
        <w:r>
          <w:rPr>
            <w:webHidden/>
          </w:rPr>
          <w:fldChar w:fldCharType="begin"/>
        </w:r>
        <w:r>
          <w:rPr>
            <w:webHidden/>
          </w:rPr>
          <w:instrText xml:space="preserve">PAGEREF _Toc158971668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Miscellaneous</w:t>
        </w:r>
        <w:r>
          <w:rPr>
            <w:webHidden/>
          </w:rPr>
          <w:fldChar w:fldCharType="end"/>
        </w:r>
      </w:hyperlink>
      <w:hyperlink w:anchor="_Toc158971668">
        <w:r>
          <w:rPr>
            <w:webHidden/>
          </w:rPr>
          <w:fldChar w:fldCharType="begin"/>
        </w:r>
        <w:r>
          <w:rPr>
            <w:webHidden/>
          </w:rPr>
          <w:instrText xml:space="preserve">PAGEREF _Toc158971668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19</w:t>
        </w:r>
        <w:r>
          <w:rPr>
            <w:webHidden/>
          </w:rPr>
          <w:fldChar w:fldCharType="end"/>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895"/>
                <wp:effectExtent l="0" t="0" r="0" b="0"/>
                <wp:wrapNone/>
                <wp:docPr id="82" name="Frame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6.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69">
        <w:r>
          <w:rPr>
            <w:rStyle w:val="InternetLink"/>
            <w:rFonts w:ascii="Times New Roman;Times;serif" w:hAnsi="Times New Roman;Times;serif"/>
            <w:b w:val="false"/>
            <w:i w:val="false"/>
            <w:caps w:val="false"/>
            <w:smallCaps w:val="false"/>
            <w:sz w:val="22"/>
            <w:shd w:fill="FFFFFF" w:val="clear"/>
          </w:rPr>
          <w:t>8.1</w:t>
        </w:r>
      </w:hyperlink>
      <w:r>
        <w:rPr>
          <w:rFonts w:ascii="Times New Roman;Times;serif" w:hAnsi="Times New Roman;Times;serif"/>
          <w:sz w:val="22"/>
          <w:shd w:fill="FFFFFF" w:val="clear"/>
        </w:rPr>
        <w:tab/>
      </w:r>
      <w:hyperlink w:anchor="_Toc158971669">
        <w:r>
          <w:rPr>
            <w:rStyle w:val="InternetLink"/>
            <w:rFonts w:ascii="Times New Roman;Times;serif" w:hAnsi="Times New Roman;Times;serif"/>
            <w:b w:val="false"/>
            <w:i w:val="false"/>
            <w:caps w:val="false"/>
            <w:smallCaps w:val="false"/>
            <w:sz w:val="22"/>
            <w:shd w:fill="FFFFFF" w:val="clear"/>
          </w:rPr>
          <w:t>No Employment Rights</w:t>
        </w:r>
      </w:hyperlink>
      <w:hyperlink w:anchor="_Toc158971669">
        <w:r>
          <w:rPr>
            <w:webHidden/>
          </w:rPr>
          <w:fldChar w:fldCharType="begin"/>
        </w:r>
        <w:r>
          <w:rPr>
            <w:webHidden/>
          </w:rPr>
          <w:instrText xml:space="preserve">PAGEREF _Toc158971669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19</w:t>
        </w:r>
        <w:r>
          <w:rPr>
            <w:webHidden/>
          </w:rPr>
          <w:fldChar w:fldCharType="end"/>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895"/>
                <wp:effectExtent l="0" t="0" r="0" b="0"/>
                <wp:wrapNone/>
                <wp:docPr id="83" name="Frame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70">
        <w:r>
          <w:rPr>
            <w:rStyle w:val="InternetLink"/>
            <w:rFonts w:ascii="Times New Roman;Times;serif" w:hAnsi="Times New Roman;Times;serif"/>
            <w:b w:val="false"/>
            <w:i w:val="false"/>
            <w:caps w:val="false"/>
            <w:smallCaps w:val="false"/>
            <w:sz w:val="22"/>
            <w:shd w:fill="FFFFFF" w:val="clear"/>
          </w:rPr>
          <w:t>8.2</w:t>
        </w:r>
      </w:hyperlink>
      <w:r>
        <w:rPr>
          <w:rFonts w:ascii="Times New Roman;Times;serif" w:hAnsi="Times New Roman;Times;serif"/>
          <w:sz w:val="22"/>
          <w:shd w:fill="FFFFFF" w:val="clear"/>
        </w:rPr>
        <w:tab/>
      </w:r>
      <w:hyperlink w:anchor="_Toc158971670">
        <w:r>
          <w:rPr>
            <w:rStyle w:val="InternetLink"/>
            <w:rFonts w:ascii="Times New Roman;Times;serif" w:hAnsi="Times New Roman;Times;serif"/>
            <w:b w:val="false"/>
            <w:i w:val="false"/>
            <w:caps w:val="false"/>
            <w:smallCaps w:val="false"/>
            <w:sz w:val="22"/>
            <w:shd w:fill="FFFFFF" w:val="clear"/>
          </w:rPr>
          <w:t>Amendment</w:t>
        </w:r>
      </w:hyperlink>
      <w:hyperlink w:anchor="_Toc158971670">
        <w:r>
          <w:rPr>
            <w:webHidden/>
          </w:rPr>
          <w:fldChar w:fldCharType="begin"/>
        </w:r>
        <w:r>
          <w:rPr>
            <w:webHidden/>
          </w:rPr>
          <w:instrText xml:space="preserve">PAGEREF _Toc158971670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19</w:t>
        </w:r>
        <w:r>
          <w:rPr>
            <w:webHidden/>
          </w:rPr>
          <w:fldChar w:fldCharType="end"/>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895"/>
                <wp:effectExtent l="0" t="0" r="0" b="0"/>
                <wp:wrapNone/>
                <wp:docPr id="84" name="Frame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71">
        <w:r>
          <w:rPr>
            <w:rStyle w:val="InternetLink"/>
            <w:rFonts w:ascii="Times New Roman;Times;serif" w:hAnsi="Times New Roman;Times;serif"/>
            <w:b w:val="false"/>
            <w:i w:val="false"/>
            <w:caps w:val="false"/>
            <w:smallCaps w:val="false"/>
            <w:sz w:val="22"/>
            <w:shd w:fill="FFFFFF" w:val="clear"/>
          </w:rPr>
          <w:t>8.3</w:t>
        </w:r>
      </w:hyperlink>
      <w:r>
        <w:rPr>
          <w:rFonts w:ascii="Times New Roman;Times;serif" w:hAnsi="Times New Roman;Times;serif"/>
          <w:sz w:val="22"/>
          <w:shd w:fill="FFFFFF" w:val="clear"/>
        </w:rPr>
        <w:tab/>
      </w:r>
      <w:hyperlink w:anchor="_Toc158971671">
        <w:r>
          <w:rPr>
            <w:rStyle w:val="InternetLink"/>
            <w:rFonts w:ascii="Times New Roman;Times;serif" w:hAnsi="Times New Roman;Times;serif"/>
            <w:b w:val="false"/>
            <w:i w:val="false"/>
            <w:caps w:val="false"/>
            <w:smallCaps w:val="false"/>
            <w:sz w:val="22"/>
            <w:shd w:fill="FFFFFF" w:val="clear"/>
          </w:rPr>
          <w:t>Termination</w:t>
        </w:r>
      </w:hyperlink>
      <w:hyperlink w:anchor="_Toc158971671">
        <w:r>
          <w:rPr>
            <w:webHidden/>
          </w:rPr>
          <w:fldChar w:fldCharType="begin"/>
        </w:r>
        <w:r>
          <w:rPr>
            <w:webHidden/>
          </w:rPr>
          <w:instrText xml:space="preserve">PAGEREF _Toc158971671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19</w:t>
        </w:r>
        <w:r>
          <w:rPr>
            <w:webHidden/>
          </w:rPr>
          <w:fldChar w:fldCharType="end"/>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895"/>
                <wp:effectExtent l="0" t="0" r="0" b="0"/>
                <wp:wrapNone/>
                <wp:docPr id="85" name="Frame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72">
        <w:r>
          <w:rPr>
            <w:rStyle w:val="InternetLink"/>
            <w:rFonts w:ascii="Times New Roman;Times;serif" w:hAnsi="Times New Roman;Times;serif"/>
            <w:b w:val="false"/>
            <w:i w:val="false"/>
            <w:caps w:val="false"/>
            <w:smallCaps w:val="false"/>
            <w:sz w:val="22"/>
            <w:shd w:fill="FFFFFF" w:val="clear"/>
          </w:rPr>
          <w:t>8.4</w:t>
        </w:r>
      </w:hyperlink>
      <w:r>
        <w:rPr>
          <w:rFonts w:ascii="Times New Roman;Times;serif" w:hAnsi="Times New Roman;Times;serif"/>
          <w:sz w:val="22"/>
          <w:shd w:fill="FFFFFF" w:val="clear"/>
        </w:rPr>
        <w:tab/>
      </w:r>
      <w:hyperlink w:anchor="_Toc158971672">
        <w:r>
          <w:rPr>
            <w:rStyle w:val="InternetLink"/>
            <w:rFonts w:ascii="Times New Roman;Times;serif" w:hAnsi="Times New Roman;Times;serif"/>
            <w:b w:val="false"/>
            <w:i w:val="false"/>
            <w:caps w:val="false"/>
            <w:smallCaps w:val="false"/>
            <w:sz w:val="22"/>
            <w:shd w:fill="FFFFFF" w:val="clear"/>
          </w:rPr>
          <w:t>Severability</w:t>
        </w:r>
      </w:hyperlink>
      <w:hyperlink w:anchor="_Toc158971672">
        <w:r>
          <w:rPr>
            <w:webHidden/>
          </w:rPr>
          <w:fldChar w:fldCharType="begin"/>
        </w:r>
        <w:r>
          <w:rPr>
            <w:webHidden/>
          </w:rPr>
          <w:instrText xml:space="preserve">PAGEREF _Toc158971672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19</w:t>
        </w:r>
        <w:r>
          <w:rPr>
            <w:webHidden/>
          </w:rPr>
          <w:fldChar w:fldCharType="end"/>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895"/>
                <wp:effectExtent l="0" t="0" r="0" b="0"/>
                <wp:wrapNone/>
                <wp:docPr id="86" name="Frame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73">
        <w:r>
          <w:rPr>
            <w:rStyle w:val="InternetLink"/>
            <w:rFonts w:ascii="Times New Roman;Times;serif" w:hAnsi="Times New Roman;Times;serif"/>
            <w:b w:val="false"/>
            <w:i w:val="false"/>
            <w:caps w:val="false"/>
            <w:smallCaps w:val="false"/>
            <w:sz w:val="22"/>
            <w:shd w:fill="FFFFFF" w:val="clear"/>
          </w:rPr>
          <w:t>8.5</w:t>
        </w:r>
      </w:hyperlink>
      <w:r>
        <w:rPr>
          <w:rFonts w:ascii="Times New Roman;Times;serif" w:hAnsi="Times New Roman;Times;serif"/>
          <w:sz w:val="22"/>
          <w:shd w:fill="FFFFFF" w:val="clear"/>
        </w:rPr>
        <w:tab/>
      </w:r>
      <w:hyperlink w:anchor="_Toc158971673">
        <w:r>
          <w:rPr>
            <w:rStyle w:val="InternetLink"/>
            <w:rFonts w:ascii="Times New Roman;Times;serif" w:hAnsi="Times New Roman;Times;serif"/>
            <w:b w:val="false"/>
            <w:i w:val="false"/>
            <w:caps w:val="false"/>
            <w:smallCaps w:val="false"/>
            <w:sz w:val="22"/>
            <w:shd w:fill="FFFFFF" w:val="clear"/>
          </w:rPr>
          <w:t>Construction</w:t>
        </w:r>
      </w:hyperlink>
      <w:hyperlink w:anchor="_Toc158971673">
        <w:r>
          <w:rPr>
            <w:webHidden/>
          </w:rPr>
          <w:fldChar w:fldCharType="begin"/>
        </w:r>
        <w:r>
          <w:rPr>
            <w:webHidden/>
          </w:rPr>
          <w:instrText xml:space="preserve">PAGEREF _Toc158971673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20</w:t>
        </w:r>
        <w:r>
          <w:rPr>
            <w:webHidden/>
          </w:rPr>
          <w:fldChar w:fldCharType="end"/>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895"/>
                <wp:effectExtent l="0" t="0" r="0" b="0"/>
                <wp:wrapNone/>
                <wp:docPr id="87" name="Frame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158971674">
        <w:r>
          <w:rPr>
            <w:rStyle w:val="InternetLink"/>
            <w:rFonts w:ascii="Times New Roman;Times;serif" w:hAnsi="Times New Roman;Times;serif"/>
            <w:b w:val="false"/>
            <w:i w:val="false"/>
            <w:caps w:val="false"/>
            <w:smallCaps w:val="false"/>
            <w:sz w:val="22"/>
            <w:shd w:fill="FFFFFF" w:val="clear"/>
          </w:rPr>
          <w:t>8.6</w:t>
        </w:r>
      </w:hyperlink>
      <w:r>
        <w:rPr>
          <w:rFonts w:ascii="Times New Roman;Times;serif" w:hAnsi="Times New Roman;Times;serif"/>
          <w:sz w:val="22"/>
          <w:shd w:fill="FFFFFF" w:val="clear"/>
        </w:rPr>
        <w:tab/>
      </w:r>
      <w:hyperlink w:anchor="_Toc158971674">
        <w:r>
          <w:rPr>
            <w:rStyle w:val="InternetLink"/>
            <w:rFonts w:ascii="Times New Roman;Times;serif" w:hAnsi="Times New Roman;Times;serif"/>
            <w:b w:val="false"/>
            <w:i w:val="false"/>
            <w:caps w:val="false"/>
            <w:smallCaps w:val="false"/>
            <w:sz w:val="22"/>
            <w:shd w:fill="FFFFFF" w:val="clear"/>
          </w:rPr>
          <w:t>Governing Law</w:t>
        </w:r>
      </w:hyperlink>
      <w:hyperlink w:anchor="_Toc158971674">
        <w:r>
          <w:rPr>
            <w:webHidden/>
          </w:rPr>
          <w:fldChar w:fldCharType="begin"/>
        </w:r>
        <w:r>
          <w:rPr>
            <w:webHidden/>
          </w:rPr>
          <w:instrText xml:space="preserve">PAGEREF _Toc158971674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20</w:t>
        </w:r>
        <w:r>
          <w:rPr>
            <w:webHidden/>
          </w:rPr>
          <w:fldChar w:fldCharType="end"/>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895"/>
                <wp:effectExtent l="0" t="0" r="0" b="0"/>
                <wp:wrapNone/>
                <wp:docPr id="88" name="Frame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58971675">
        <w:r>
          <w:rPr>
            <w:rStyle w:val="InternetLink"/>
            <w:rFonts w:ascii="Times New Roman;Times;serif" w:hAnsi="Times New Roman;Times;serif"/>
            <w:b/>
            <w:i w:val="false"/>
            <w:caps w:val="false"/>
            <w:smallCaps w:val="false"/>
            <w:sz w:val="22"/>
            <w:shd w:fill="FFFFFF" w:val="clear"/>
          </w:rPr>
          <w:t>Signature</w:t>
        </w:r>
      </w:hyperlink>
      <w:hyperlink w:anchor="_Toc158971675">
        <w:r>
          <w:rPr>
            <w:webHidden/>
          </w:rPr>
          <w:fldChar w:fldCharType="begin"/>
        </w:r>
        <w:r>
          <w:rPr>
            <w:webHidden/>
          </w:rPr>
          <w:instrText xml:space="preserve">PAGEREF _Toc158971675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21</w:t>
        </w:r>
        <w:r>
          <w:rPr>
            <w:webHidden/>
          </w:rPr>
          <w:fldChar w:fldCharType="end"/>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895"/>
                <wp:effectExtent l="0" t="0" r="0" b="0"/>
                <wp:wrapNone/>
                <wp:docPr id="89" name="Frame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28" w:before="0" w:after="120"/>
        <w:ind w:left="0" w:right="0" w:hanging="0"/>
        <w:jc w:val="left"/>
        <w:rPr/>
      </w:pPr>
      <w:r>
        <w:rPr/>
        <w:t>​</w:t>
      </w:r>
    </w:p>
    <w:p>
      <w:pPr>
        <w:pStyle w:val="TextBody"/>
        <w:bidi w:val="0"/>
        <w:spacing w:lineRule="auto" w:line="285" w:before="0" w:after="0"/>
        <w:ind w:left="0" w:right="0" w:hanging="0"/>
        <w:jc w:val="left"/>
        <w:rPr>
          <w:rFonts w:ascii="Calibri;Helvetica;sans-serif" w:hAnsi="Calibri;Helvetica;sans-serif"/>
          <w:sz w:val="18"/>
        </w:rPr>
      </w:pPr>
      <w:r>
        <w:rPr>
          <w:rFonts w:ascii="Calibri;Helvetica;sans-serif" w:hAnsi="Calibri;Helvetica;sans-serif"/>
          <w:sz w:val="18"/>
        </w:rPr>
        <w:t>16483168_1</w:t>
      </w:r>
    </w:p>
    <w:p>
      <w:pPr>
        <w:pStyle w:val="HorizontalLine"/>
        <w:pBdr>
          <w:bottom w:val="double" w:sz="2" w:space="0" w:color="808080"/>
        </w:pBdr>
        <w:bidi w:val="0"/>
        <w:spacing w:before="0" w:after="283"/>
        <w:jc w:val="left"/>
        <w:rPr/>
      </w:pPr>
      <w:r>
        <w:rPr/>
      </w:r>
    </w:p>
    <w:p>
      <w:pPr>
        <w:pStyle w:val="TextBody"/>
        <w:bidi w:val="0"/>
        <w:spacing w:lineRule="auto" w:line="328" w:before="0" w:after="120"/>
        <w:ind w:left="0" w:right="0" w:hanging="0"/>
        <w:jc w:val="left"/>
        <w:rPr/>
      </w:pPr>
      <w:r>
        <w:rPr/>
        <w:t>​</w:t>
      </w:r>
    </w:p>
    <w:p>
      <w:pPr>
        <w:pStyle w:val="TextBody"/>
        <w:bidi w:val="0"/>
        <w:spacing w:lineRule="auto" w:line="328" w:before="280" w:after="0"/>
        <w:ind w:left="0" w:right="0" w:hanging="0"/>
        <w:jc w:val="center"/>
        <w:rPr>
          <w:rFonts w:ascii="Times New Roman;Times;serif" w:hAnsi="Times New Roman;Times;serif"/>
          <w:b/>
          <w:spacing w:val="12"/>
          <w:sz w:val="28"/>
        </w:rPr>
      </w:pPr>
      <w:bookmarkStart w:id="100" w:name="TOC1"/>
      <w:bookmarkEnd w:id="100"/>
      <w:r>
        <w:rPr>
          <w:rFonts w:ascii="Times New Roman;Times;serif" w:hAnsi="Times New Roman;Times;serif"/>
          <w:b/>
          <w:spacing w:val="12"/>
          <w:sz w:val="28"/>
        </w:rPr>
        <w:t>UFP INDUSTRIES, INC.</w:t>
        <w:br/>
        <w:t>DEFERRED COMPENSATION PLAN</w:t>
      </w:r>
    </w:p>
    <w:p>
      <w:pPr>
        <w:pStyle w:val="TextBody"/>
        <w:bidi w:val="0"/>
        <w:spacing w:lineRule="auto" w:line="328" w:before="280" w:after="120"/>
        <w:ind w:left="1440" w:right="1440" w:hanging="0"/>
        <w:jc w:val="both"/>
        <w:rPr/>
      </w:pPr>
      <w:r>
        <w:rPr>
          <w:u w:val="single"/>
        </w:rPr>
        <w:t>​ ​​ ​​ ​​ ​​ ​</w:t>
      </w:r>
      <w:r>
        <w:rPr/>
        <w:t>​</w:t>
      </w:r>
    </w:p>
    <w:p>
      <w:pPr>
        <w:pStyle w:val="TextBody"/>
        <w:bidi w:val="0"/>
        <w:spacing w:lineRule="auto" w:line="328" w:before="480" w:after="120"/>
        <w:ind w:left="0" w:right="0" w:hanging="0"/>
        <w:jc w:val="center"/>
        <w:rPr>
          <w:rFonts w:ascii="Times New Roman;Times;serif" w:hAnsi="Times New Roman;Times;serif"/>
          <w:b/>
          <w:sz w:val="28"/>
        </w:rPr>
      </w:pPr>
      <w:r>
        <w:rPr>
          <w:rFonts w:ascii="Times New Roman;Times;serif" w:hAnsi="Times New Roman;Times;serif"/>
          <w:b/>
          <w:sz w:val="28"/>
        </w:rPr>
        <w:t>Article 1</w:t>
      </w:r>
      <w:bookmarkStart w:id="101" w:name="_Toc289159496"/>
      <w:bookmarkEnd w:id="101"/>
      <w:r>
        <w:rPr>
          <w:rFonts w:ascii="Times New Roman;Times;serif" w:hAnsi="Times New Roman;Times;serif"/>
          <w:b/>
          <w:sz w:val="28"/>
        </w:rPr>
        <w:t>​</w:t>
      </w:r>
      <w:r>
        <w:rPr>
          <w:rFonts w:ascii="Times New Roman;Times;serif" w:hAnsi="Times New Roman;Times;serif"/>
          <w:b/>
          <w:sz w:val="24"/>
        </w:rPr>
        <w:br/>
      </w:r>
      <w:bookmarkStart w:id="102" w:name="_Toc158971633"/>
      <w:bookmarkEnd w:id="102"/>
      <w:r>
        <w:rPr>
          <w:rFonts w:ascii="Times New Roman;Times;serif" w:hAnsi="Times New Roman;Times;serif"/>
          <w:b/>
          <w:sz w:val="24"/>
        </w:rPr>
        <w:t>Establishment and Purpose</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1.1</w:t>
      </w:r>
      <w:bookmarkStart w:id="103" w:name="_Toc158971634"/>
      <w:bookmarkStart w:id="104" w:name="_Toc289159497"/>
      <w:bookmarkEnd w:id="103"/>
      <w:bookmarkEnd w:id="104"/>
      <w:r>
        <w:rPr>
          <w:rFonts w:ascii="Times New Roman;Times;serif" w:hAnsi="Times New Roman;Times;serif"/>
          <w:b/>
          <w:sz w:val="24"/>
        </w:rPr>
        <w:t>History of the Plan</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UFP Industries, Inc. (the “</w:t>
      </w:r>
      <w:r>
        <w:rPr>
          <w:rFonts w:ascii="Times New Roman;Times;serif" w:hAnsi="Times New Roman;Times;serif"/>
          <w:i/>
          <w:sz w:val="24"/>
        </w:rPr>
        <w:t>Company</w:t>
      </w:r>
      <w:r>
        <w:rPr>
          <w:rFonts w:ascii="Times New Roman;Times;serif" w:hAnsi="Times New Roman;Times;serif"/>
          <w:sz w:val="24"/>
        </w:rPr>
        <w:t>”) established the UFP Industries, Inc. Deferred Compensation Plan (the “</w:t>
      </w:r>
      <w:r>
        <w:rPr>
          <w:rFonts w:ascii="Times New Roman;Times;serif" w:hAnsi="Times New Roman;Times;serif"/>
          <w:i/>
          <w:sz w:val="24"/>
        </w:rPr>
        <w:t>Plan</w:t>
      </w:r>
      <w:r>
        <w:rPr>
          <w:rFonts w:ascii="Times New Roman;Times;serif" w:hAnsi="Times New Roman;Times;serif"/>
          <w:sz w:val="24"/>
        </w:rPr>
        <w:t>”) as of December 27, 1995. Prior to April 22, 2020, the Company was known as Universal Forest Products, Inc., and prior to this restatement, the Plan was named the Universal Forest Products, Inc. Deferred Compensation Plan. The Plan has periodically been amended, and was most recently amended and restated effective June 1, 2011.</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1.2</w:t>
      </w:r>
      <w:bookmarkStart w:id="105" w:name="_Toc158971635"/>
      <w:bookmarkStart w:id="106" w:name="_Toc289159498"/>
      <w:bookmarkEnd w:id="105"/>
      <w:bookmarkEnd w:id="106"/>
      <w:r>
        <w:rPr>
          <w:rFonts w:ascii="Times New Roman;Times;serif" w:hAnsi="Times New Roman;Times;serif"/>
          <w:b/>
          <w:sz w:val="24"/>
        </w:rPr>
        <w:t>This Document</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 xml:space="preserve">By this document, the Company is amending and restating the Plan effective as of January 1, 2020. </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1.3</w:t>
      </w:r>
      <w:bookmarkStart w:id="107" w:name="_Toc158971636"/>
      <w:bookmarkStart w:id="108" w:name="_Toc289159499"/>
      <w:bookmarkEnd w:id="107"/>
      <w:bookmarkEnd w:id="108"/>
      <w:r>
        <w:rPr>
          <w:rFonts w:ascii="Times New Roman;Times;serif" w:hAnsi="Times New Roman;Times;serif"/>
          <w:b/>
          <w:sz w:val="24"/>
        </w:rPr>
        <w:t>Purpose</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Company desires to retain the services of a select group of executives who contribute to the profitability and success of the Company. The Company maintains the Plan to provide the executives who participate in the Plan with the opportunity to defer a portion of their Compensation and have additional retirement income.</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1.4</w:t>
      </w:r>
      <w:bookmarkStart w:id="109" w:name="_Toc158971637"/>
      <w:bookmarkStart w:id="110" w:name="_Toc289159500"/>
      <w:bookmarkEnd w:id="109"/>
      <w:bookmarkEnd w:id="110"/>
      <w:r>
        <w:rPr>
          <w:rFonts w:ascii="Times New Roman;Times;serif" w:hAnsi="Times New Roman;Times;serif"/>
          <w:b/>
          <w:sz w:val="24"/>
        </w:rPr>
        <w:t>Status of Plan Under ERISA</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Plan is intended to be unfunded and maintained primarily for the purpose of providing deferred compensation for a select group of management or highly compensated employees for purposes of ERISA. Accordingly, the Plan is not intended to be covered by Parts 2 through 4 of Subtitle B of Title I of ERISA. The existence of any Trust Fund is not intended to change this characterization of the Plan.</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1.5</w:t>
      </w:r>
      <w:bookmarkStart w:id="111" w:name="_Toc158971638"/>
      <w:bookmarkStart w:id="112" w:name="_Toc289159501"/>
      <w:bookmarkEnd w:id="111"/>
      <w:bookmarkEnd w:id="112"/>
      <w:r>
        <w:rPr>
          <w:rFonts w:ascii="Times New Roman;Times;serif" w:hAnsi="Times New Roman;Times;serif"/>
          <w:b/>
          <w:sz w:val="24"/>
        </w:rPr>
        <w:t>Compliance with Section 409A</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To the extent the Plan provides deferred compensation under Section 409A of the Code, the Plan is intended to comply with Section 409A. The Plan is intended to be interpreted consistent with the requirements of Section 409A of the Code.</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sz w:val="22"/>
        </w:rPr>
        <w:t>Page 1 of 21</w:t>
      </w:r>
    </w:p>
    <w:p>
      <w:pPr>
        <w:pStyle w:val="TextBody"/>
        <w:bidi w:val="0"/>
        <w:spacing w:lineRule="auto" w:line="285" w:before="0" w:after="0"/>
        <w:ind w:left="0" w:right="0" w:hanging="0"/>
        <w:jc w:val="left"/>
        <w:rPr>
          <w:rFonts w:ascii="Calibri;Helvetica;sans-serif" w:hAnsi="Calibri;Helvetica;sans-serif"/>
          <w:sz w:val="18"/>
        </w:rPr>
      </w:pPr>
      <w:r>
        <w:rPr>
          <w:rFonts w:ascii="Calibri;Helvetica;sans-serif" w:hAnsi="Calibri;Helvetica;sans-serif"/>
          <w:sz w:val="18"/>
        </w:rPr>
        <w:t>16483168_1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0" w:right="0" w:hanging="0"/>
        <w:jc w:val="center"/>
        <w:rPr>
          <w:rFonts w:ascii="Times New Roman;Times;serif" w:hAnsi="Times New Roman;Times;serif"/>
          <w:b/>
          <w:sz w:val="28"/>
        </w:rPr>
      </w:pPr>
      <w:r>
        <w:rPr>
          <w:rFonts w:ascii="Times New Roman;Times;serif" w:hAnsi="Times New Roman;Times;serif"/>
          <w:b/>
          <w:sz w:val="28"/>
        </w:rPr>
        <w:t>Article 2</w:t>
      </w:r>
      <w:bookmarkStart w:id="113" w:name="_Toc289159502"/>
      <w:bookmarkEnd w:id="113"/>
      <w:r>
        <w:rPr>
          <w:rFonts w:ascii="Times New Roman;Times;serif" w:hAnsi="Times New Roman;Times;serif"/>
          <w:b/>
          <w:sz w:val="28"/>
        </w:rPr>
        <w:t>​</w:t>
      </w:r>
      <w:r>
        <w:rPr>
          <w:rFonts w:ascii="Times New Roman;Times;serif" w:hAnsi="Times New Roman;Times;serif"/>
          <w:b/>
          <w:sz w:val="24"/>
        </w:rPr>
        <w:br/>
      </w:r>
      <w:bookmarkStart w:id="114" w:name="_Toc158971639"/>
      <w:bookmarkEnd w:id="114"/>
      <w:r>
        <w:rPr>
          <w:rFonts w:ascii="Times New Roman;Times;serif" w:hAnsi="Times New Roman;Times;serif"/>
          <w:b/>
          <w:sz w:val="24"/>
        </w:rPr>
        <w:t>Definitions</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following terms shall have the meanings described in this Article unless the context clearly indicates another meaning is intended. All references in the Plan to specific articles or sections shall refer to Articles or Sections of the Plan unless otherwise stated.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Account</w:t>
      </w:r>
      <w:r>
        <w:rPr>
          <w:rFonts w:ascii="Times New Roman;Times;serif" w:hAnsi="Times New Roman;Times;serif"/>
          <w:sz w:val="24"/>
        </w:rPr>
        <w:t xml:space="preserve">” means the bookkeeping record of the Participant’s benefits under the terms of the Plan.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Administrative Committee</w:t>
      </w:r>
      <w:r>
        <w:rPr>
          <w:rFonts w:ascii="Times New Roman;Times;serif" w:hAnsi="Times New Roman;Times;serif"/>
          <w:sz w:val="24"/>
        </w:rPr>
        <w:t>” means the administrative committee periodically appointed by the Board of Directors to assist the Plan Administrator with the day-to-day operation of the Plan as provided in Article 7.</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i/>
          <w:sz w:val="24"/>
        </w:rPr>
        <w:t>Base Salary</w:t>
      </w:r>
      <w:r>
        <w:rPr>
          <w:rFonts w:ascii="Times New Roman;Times;serif" w:hAnsi="Times New Roman;Times;serif"/>
          <w:sz w:val="24"/>
        </w:rPr>
        <w:t>” means a Participant’s regular wage or salary and commissions from the Company, not including Bonuses or other types of irregular compensation. Base Salary excludes any amounts earned before a Participant’s election to make Elective Deferrals from such wage or salary.</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i/>
          <w:sz w:val="24"/>
        </w:rPr>
        <w:t>Beneficiary</w:t>
      </w:r>
      <w:r>
        <w:rPr>
          <w:rFonts w:ascii="Times New Roman;Times;serif" w:hAnsi="Times New Roman;Times;serif"/>
          <w:sz w:val="24"/>
        </w:rPr>
        <w:t>” means a person designated under Section 5.5 to receive any amount payable under the Plan after the Participant’s death.</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i/>
          <w:sz w:val="24"/>
        </w:rPr>
        <w:t>Board</w:t>
      </w:r>
      <w:r>
        <w:rPr>
          <w:rFonts w:ascii="Times New Roman;Times;serif" w:hAnsi="Times New Roman;Times;serif"/>
          <w:sz w:val="24"/>
        </w:rPr>
        <w:t>” means the governing body of UFP Industries, Inc.</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i/>
          <w:sz w:val="24"/>
        </w:rPr>
        <w:t>Bonus</w:t>
      </w:r>
      <w:r>
        <w:rPr>
          <w:rFonts w:ascii="Times New Roman;Times;serif" w:hAnsi="Times New Roman;Times;serif"/>
          <w:sz w:val="24"/>
        </w:rPr>
        <w:t xml:space="preserve">” means a payment of cash compensation other than Base Salary to a Participant as a reward for exceptional performance during the prior calendar year that qualifies as performance-based compensation within the meaning of Treas. Reg. §1.409A-1(e).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i/>
          <w:sz w:val="24"/>
        </w:rPr>
        <w:t>Change in Control</w:t>
      </w:r>
      <w:r>
        <w:rPr>
          <w:rFonts w:ascii="Times New Roman;Times;serif" w:hAnsi="Times New Roman;Times;serif"/>
          <w:sz w:val="24"/>
        </w:rPr>
        <w:t>” means that one of the following events has occurred with regard to the Company, but only if such event meets the requirements of Treas. Reg. §1.409A-3(i)(5), or any successor provision:</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(1)Sale of 40% or more of the material operating assets of the Company to a person or entity not affiliated with the Company prior to such sale;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(2)The acquisition of more than 30% of the common stock of the Company by a person, entity or group of people or entities acting as a group for voting or control purposes, who are not affiliated with the Company prior to such sale; 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(3)Replacement of a majority of the members of the Board during a 12-month period by directors whose appointment or election is not endorsed by a majority of the Board before the appointments or elections.</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2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720" w:right="0" w:hanging="0"/>
        <w:jc w:val="left"/>
        <w:rPr>
          <w:rFonts w:ascii="Times New Roman;Times;serif" w:hAnsi="Times New Roman;Times;serif"/>
          <w:sz w:val="24"/>
        </w:rPr>
      </w:pPr>
      <w:r>
        <w:rPr>
          <w:rFonts w:ascii="Times New Roman;Times;serif" w:hAnsi="Times New Roman;Times;serif"/>
          <w:sz w:val="24"/>
        </w:rPr>
        <w:t xml:space="preserve">For purposes of the Plan, the Company is “affiliated with” another person or entity if that person or entity has an ownership interest in the Company.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i/>
          <w:sz w:val="24"/>
        </w:rPr>
        <w:t>Code</w:t>
      </w:r>
      <w:r>
        <w:rPr>
          <w:rFonts w:ascii="Times New Roman;Times;serif" w:hAnsi="Times New Roman;Times;serif"/>
          <w:sz w:val="24"/>
        </w:rPr>
        <w:t>” means the Internal Revenue Code of 1986, as amended.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i/>
          <w:sz w:val="24"/>
        </w:rPr>
        <w:t>Company</w:t>
      </w:r>
      <w:r>
        <w:rPr>
          <w:rFonts w:ascii="Times New Roman;Times;serif" w:hAnsi="Times New Roman;Times;serif"/>
          <w:sz w:val="24"/>
        </w:rPr>
        <w:t>” means UFP Industries, Inc. and its wholly owned subsidiaries and affiliates, except to the extent that any such subsidiary or affiliate maintains its own plan providing similar benefits or is expressly excluded from participation under the Plan. If a Change in Control occurs, “</w:t>
      </w:r>
      <w:r>
        <w:rPr>
          <w:rFonts w:ascii="Times New Roman;Times;serif" w:hAnsi="Times New Roman;Times;serif"/>
          <w:i/>
          <w:sz w:val="24"/>
        </w:rPr>
        <w:t>Company</w:t>
      </w:r>
      <w:r>
        <w:rPr>
          <w:rFonts w:ascii="Times New Roman;Times;serif" w:hAnsi="Times New Roman;Times;serif"/>
          <w:sz w:val="24"/>
        </w:rPr>
        <w:t>” also includes any successor employer.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(j)“</w:t>
      </w:r>
      <w:r>
        <w:rPr>
          <w:rFonts w:ascii="Times New Roman;Times;serif" w:hAnsi="Times New Roman;Times;serif"/>
          <w:i/>
          <w:sz w:val="24"/>
        </w:rPr>
        <w:t>Compensation</w:t>
      </w:r>
      <w:r>
        <w:rPr>
          <w:rFonts w:ascii="Times New Roman;Times;serif" w:hAnsi="Times New Roman;Times;serif"/>
          <w:sz w:val="24"/>
        </w:rPr>
        <w:t xml:space="preserve">” means the sum of the following: </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(1)A Participant’s wages and other payments which are reported on IRS Form W-2. However, this amount shall be determined without regard to any rules that limit the remuneration included in wages based on the nature or location of the employment or the services performed (such as the exception for agricultural labor in Section 3401(a)(2) of the Code).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(2)An Employee’s salary deferral contributions to a Code Section 401(k) plan.</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(3)A Participant’s pay reduction contributions to a cafeteria plan under Section 125 of the Code.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(4)A Participant’s pay reduction contributions to a qualified transportation fringe benefit plan under Section 132(f) of the Code.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(5)A Participant’s pay reduction contributions to a simplified employee pension plan under Section 402(h)(1)(B) of the Code.</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(k)“</w:t>
      </w:r>
      <w:r>
        <w:rPr>
          <w:rFonts w:ascii="Times New Roman;Times;serif" w:hAnsi="Times New Roman;Times;serif"/>
          <w:i/>
          <w:sz w:val="24"/>
        </w:rPr>
        <w:t>Determination Period</w:t>
      </w:r>
      <w:r>
        <w:rPr>
          <w:rFonts w:ascii="Times New Roman;Times;serif" w:hAnsi="Times New Roman;Times;serif"/>
          <w:sz w:val="24"/>
        </w:rPr>
        <w:t>” means—</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(1)with respect to an Employee who has a Separation from Service from the Company between January 1 and March 31, the second calendar year preceding the calendar year during which the Separation from Service occurred; and</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(2)with respect to an Employee who has a Separation from Service from the Company between April 1 and December 31, the calendar year preceding the calendar year during which the Separation from Service occurred.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(l)“</w:t>
      </w:r>
      <w:r>
        <w:rPr>
          <w:rFonts w:ascii="Times New Roman;Times;serif" w:hAnsi="Times New Roman;Times;serif"/>
          <w:i/>
          <w:sz w:val="24"/>
        </w:rPr>
        <w:t>Distributable Event</w:t>
      </w:r>
      <w:r>
        <w:rPr>
          <w:rFonts w:ascii="Times New Roman;Times;serif" w:hAnsi="Times New Roman;Times;serif"/>
          <w:sz w:val="24"/>
        </w:rPr>
        <w:t>” means a “triggering” event for a distribution to a Participant. A Participant’s Distributable Events are described in Section 5.1.</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3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(m)“</w:t>
      </w:r>
      <w:r>
        <w:rPr>
          <w:rFonts w:ascii="Times New Roman;Times;serif" w:hAnsi="Times New Roman;Times;serif"/>
          <w:i/>
          <w:sz w:val="24"/>
        </w:rPr>
        <w:t>Elective Deferrals</w:t>
      </w:r>
      <w:r>
        <w:rPr>
          <w:rFonts w:ascii="Times New Roman;Times;serif" w:hAnsi="Times New Roman;Times;serif"/>
          <w:sz w:val="24"/>
        </w:rPr>
        <w:t>” are the amounts that a Participant elects to defer from his or her Base Salary or Bonus to his or her Account pursuant to Section 4.2.</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(n)“</w:t>
      </w:r>
      <w:r>
        <w:rPr>
          <w:rFonts w:ascii="Times New Roman;Times;serif" w:hAnsi="Times New Roman;Times;serif"/>
          <w:i/>
          <w:sz w:val="24"/>
        </w:rPr>
        <w:t>Employee</w:t>
      </w:r>
      <w:r>
        <w:rPr>
          <w:rFonts w:ascii="Times New Roman;Times;serif" w:hAnsi="Times New Roman;Times;serif"/>
          <w:sz w:val="24"/>
        </w:rPr>
        <w:t>” means a common-law employee of the Company. An individual who is treated by the Company as an independent contractor for tax purposes is not an Employee.</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(o)“</w:t>
      </w:r>
      <w:r>
        <w:rPr>
          <w:rFonts w:ascii="Times New Roman;Times;serif" w:hAnsi="Times New Roman;Times;serif"/>
          <w:i/>
          <w:sz w:val="24"/>
        </w:rPr>
        <w:t>ERISA</w:t>
      </w:r>
      <w:r>
        <w:rPr>
          <w:rFonts w:ascii="Times New Roman;Times;serif" w:hAnsi="Times New Roman;Times;serif"/>
          <w:sz w:val="24"/>
        </w:rPr>
        <w:t>” means the Employee Retirement Income Security Act of 1974, as amended.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(p)“</w:t>
      </w:r>
      <w:r>
        <w:rPr>
          <w:rFonts w:ascii="Times New Roman;Times;serif" w:hAnsi="Times New Roman;Times;serif"/>
          <w:i/>
          <w:sz w:val="24"/>
        </w:rPr>
        <w:t>Key Employee</w:t>
      </w:r>
      <w:r>
        <w:rPr>
          <w:rFonts w:ascii="Times New Roman;Times;serif" w:hAnsi="Times New Roman;Times;serif"/>
          <w:sz w:val="24"/>
        </w:rPr>
        <w:t>” means any Employee who at any time during the Determination Period was a “specified employee” within the meaning of Treas. Reg. §1.409A-1(i), or any successor provision, and may include: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(1)An officer of the Company or a Related Employer whose annual Compensation from the Company and all Related Employers is more than $145,000 (as adjusted under Section 416(i)(1) of the Code for Plan Years beginning after December 31, 2007);</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(2)A person having more than a 5% ownership interest in the Company or a Related Employer; 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(3)A person having more than a 1% ownership interest in the Company or a Related Employer and whose annual Compensation from the Company and all Related Employers is more than $150,000.</w:t>
      </w:r>
    </w:p>
    <w:p>
      <w:pPr>
        <w:pStyle w:val="TextBody"/>
        <w:bidi w:val="0"/>
        <w:spacing w:lineRule="auto" w:line="328" w:before="0" w:after="120"/>
        <w:ind w:left="720" w:right="0" w:hanging="0"/>
        <w:jc w:val="both"/>
        <w:rPr>
          <w:rFonts w:ascii="Times New Roman;Times;serif" w:hAnsi="Times New Roman;Times;serif"/>
          <w:sz w:val="24"/>
        </w:rPr>
      </w:pPr>
      <w:r>
        <w:rPr>
          <w:rFonts w:ascii="Times New Roman;Times;serif" w:hAnsi="Times New Roman;Times;serif"/>
          <w:sz w:val="24"/>
        </w:rPr>
        <w:t>The Plan Administrator shall determine the Key Employee status of each Participant in accordance with Sections 409A and 416(i)(1) of the Code and the applicable regulations and guidance.</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(q)“</w:t>
      </w:r>
      <w:r>
        <w:rPr>
          <w:rFonts w:ascii="Times New Roman;Times;serif" w:hAnsi="Times New Roman;Times;serif"/>
          <w:i/>
          <w:sz w:val="24"/>
        </w:rPr>
        <w:t>Participant</w:t>
      </w:r>
      <w:r>
        <w:rPr>
          <w:rFonts w:ascii="Times New Roman;Times;serif" w:hAnsi="Times New Roman;Times;serif"/>
          <w:sz w:val="24"/>
        </w:rPr>
        <w:t>” means an Employee or former Employee of the Company who has met the requirements for participation under Article 3, and who is or may become eligible to receive benefits from the Plan.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(r)“</w:t>
      </w:r>
      <w:r>
        <w:rPr>
          <w:rFonts w:ascii="Times New Roman;Times;serif" w:hAnsi="Times New Roman;Times;serif"/>
          <w:i/>
          <w:sz w:val="24"/>
        </w:rPr>
        <w:t>Plan</w:t>
      </w:r>
      <w:r>
        <w:rPr>
          <w:rFonts w:ascii="Times New Roman;Times;serif" w:hAnsi="Times New Roman;Times;serif"/>
          <w:sz w:val="24"/>
        </w:rPr>
        <w:t xml:space="preserve">” means the UFP Industries, Inc. Deferred Compensation Plan.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(s)“</w:t>
      </w:r>
      <w:r>
        <w:rPr>
          <w:rFonts w:ascii="Times New Roman;Times;serif" w:hAnsi="Times New Roman;Times;serif"/>
          <w:i/>
          <w:sz w:val="24"/>
        </w:rPr>
        <w:t>Plan Administrator</w:t>
      </w:r>
      <w:r>
        <w:rPr>
          <w:rFonts w:ascii="Times New Roman;Times;serif" w:hAnsi="Times New Roman;Times;serif"/>
          <w:sz w:val="24"/>
        </w:rPr>
        <w:t>” means the fiduciary responsible for the operation and administration of the Plan as provided in Article 7. UFP Industries, Inc. shall be the Plan Administrator.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(t)“</w:t>
      </w:r>
      <w:r>
        <w:rPr>
          <w:rFonts w:ascii="Times New Roman;Times;serif" w:hAnsi="Times New Roman;Times;serif"/>
          <w:i/>
          <w:sz w:val="24"/>
        </w:rPr>
        <w:t>Plan Year</w:t>
      </w:r>
      <w:r>
        <w:rPr>
          <w:rFonts w:ascii="Times New Roman;Times;serif" w:hAnsi="Times New Roman;Times;serif"/>
          <w:sz w:val="24"/>
        </w:rPr>
        <w:t>” means the 12-consecutive-month period beginning on January 1 and ending on the following December 31.</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(u)“</w:t>
      </w:r>
      <w:r>
        <w:rPr>
          <w:rFonts w:ascii="Times New Roman;Times;serif" w:hAnsi="Times New Roman;Times;serif"/>
          <w:i/>
          <w:sz w:val="24"/>
        </w:rPr>
        <w:t>Related Employer</w:t>
      </w:r>
      <w:r>
        <w:rPr>
          <w:rFonts w:ascii="Times New Roman;Times;serif" w:hAnsi="Times New Roman;Times;serif"/>
          <w:sz w:val="24"/>
        </w:rPr>
        <w:t xml:space="preserve">” means: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4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(1)Any member of a controlled group of corporations in which the Company is a member, as defined in Section 414(b) of the Code, but substituting “at least 20%” for “at least 80%” each place it appears in Section 414(b) of the Code and the Treasury regulations issued thereunder; 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(2)Any other trade or business under common control of or with the Company, as defined in Section 414(c) of the Code, but substituting “at least 20%” for “at least 80%” each place it appears in Section 414(b) of the Code and the Treasury regulations issued thereunder.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i/>
          <w:sz w:val="24"/>
        </w:rPr>
        <w:t>Separation from Service</w:t>
      </w:r>
      <w:r>
        <w:rPr>
          <w:rFonts w:ascii="Times New Roman;Times;serif" w:hAnsi="Times New Roman;Times;serif"/>
          <w:sz w:val="24"/>
        </w:rPr>
        <w:t>” means a means a termination of employment that qualifies as a separation from service under Reg §1.409A-1(h). Generally, this occurs if the Employee is reasonably anticipated to have a substantial permanent reduction in the bona fide level of services provided to the Company and all Related Employers (whether provided as an employee or an independent contractor). The reduction shall be “substantial” only if the reduced bona fide level of services is less than 50% of the average bona fide level of services provided by the Employee to the Company and all Related Employers during the immediately preceding 36 months (or the Participant’s entire period of service, if less than 36 months).</w:t>
      </w:r>
    </w:p>
    <w:p>
      <w:pPr>
        <w:pStyle w:val="TextBody"/>
        <w:bidi w:val="0"/>
        <w:spacing w:lineRule="auto" w:line="328" w:before="0" w:after="120"/>
        <w:ind w:left="720" w:right="0" w:hanging="0"/>
        <w:jc w:val="both"/>
        <w:rPr>
          <w:rFonts w:ascii="Times New Roman;Times;serif" w:hAnsi="Times New Roman;Times;serif"/>
          <w:sz w:val="24"/>
        </w:rPr>
      </w:pPr>
      <w:r>
        <w:rPr>
          <w:rFonts w:ascii="Times New Roman;Times;serif" w:hAnsi="Times New Roman;Times;serif"/>
          <w:sz w:val="24"/>
        </w:rPr>
        <w:t>(w)“</w:t>
      </w:r>
      <w:r>
        <w:rPr>
          <w:rFonts w:ascii="Times New Roman;Times;serif" w:hAnsi="Times New Roman;Times;serif"/>
          <w:i/>
          <w:sz w:val="24"/>
        </w:rPr>
        <w:t>Substantial Cause,</w:t>
      </w:r>
      <w:r>
        <w:rPr>
          <w:rFonts w:ascii="Times New Roman;Times;serif" w:hAnsi="Times New Roman;Times;serif"/>
          <w:sz w:val="24"/>
        </w:rPr>
        <w:t>” with respect to a Participant, means the Participant’s commission of any one or more of the following:</w:t>
      </w:r>
    </w:p>
    <w:p>
      <w:pPr>
        <w:pStyle w:val="TextBody"/>
        <w:bidi w:val="0"/>
        <w:spacing w:lineRule="auto" w:line="328" w:before="0" w:after="120"/>
        <w:ind w:left="1440" w:right="0" w:firstLine="720"/>
        <w:jc w:val="both"/>
        <w:rPr>
          <w:rFonts w:ascii="Times New Roman;Times;serif" w:hAnsi="Times New Roman;Times;serif"/>
          <w:sz w:val="24"/>
        </w:rPr>
      </w:pPr>
      <w:r>
        <w:rPr>
          <w:rFonts w:ascii="Times New Roman;Times;serif" w:hAnsi="Times New Roman;Times;serif"/>
          <w:sz w:val="24"/>
        </w:rPr>
        <w:t>(1)willful misconduct, usurpation of business opportunity or gross negligence related to the Company;</w:t>
      </w:r>
    </w:p>
    <w:p>
      <w:pPr>
        <w:pStyle w:val="TextBody"/>
        <w:bidi w:val="0"/>
        <w:spacing w:lineRule="auto" w:line="328" w:before="0" w:after="120"/>
        <w:ind w:left="1440" w:right="0" w:firstLine="720"/>
        <w:jc w:val="both"/>
        <w:rPr>
          <w:rFonts w:ascii="Times New Roman;Times;serif" w:hAnsi="Times New Roman;Times;serif"/>
          <w:sz w:val="24"/>
        </w:rPr>
      </w:pPr>
      <w:r>
        <w:rPr>
          <w:rFonts w:ascii="Times New Roman;Times;serif" w:hAnsi="Times New Roman;Times;serif"/>
          <w:sz w:val="24"/>
        </w:rPr>
        <w:t>(2)engagement in dishonesty, illegal conduct, or gross misconduct, which is, in each case, materially injurious to the Company;</w:t>
      </w:r>
    </w:p>
    <w:p>
      <w:pPr>
        <w:pStyle w:val="TextBody"/>
        <w:bidi w:val="0"/>
        <w:spacing w:lineRule="auto" w:line="328" w:before="0" w:after="120"/>
        <w:ind w:left="1440" w:right="0" w:firstLine="720"/>
        <w:jc w:val="both"/>
        <w:rPr>
          <w:rFonts w:ascii="Times New Roman;Times;serif" w:hAnsi="Times New Roman;Times;serif"/>
          <w:sz w:val="24"/>
        </w:rPr>
      </w:pPr>
      <w:r>
        <w:rPr>
          <w:rFonts w:ascii="Times New Roman;Times;serif" w:hAnsi="Times New Roman;Times;serif"/>
          <w:sz w:val="24"/>
        </w:rPr>
        <w:t>(3)embezzlement, misappropriation, or fraud, whether or not related to the Participant’s employment with the Company; or</w:t>
      </w:r>
    </w:p>
    <w:p>
      <w:pPr>
        <w:pStyle w:val="TextBody"/>
        <w:bidi w:val="0"/>
        <w:spacing w:lineRule="auto" w:line="328" w:before="0" w:after="120"/>
        <w:ind w:left="1440" w:right="0" w:firstLine="720"/>
        <w:jc w:val="both"/>
        <w:rPr>
          <w:rFonts w:ascii="Times New Roman;Times;serif" w:hAnsi="Times New Roman;Times;serif"/>
          <w:sz w:val="24"/>
        </w:rPr>
      </w:pPr>
      <w:r>
        <w:rPr>
          <w:rFonts w:ascii="Times New Roman;Times;serif" w:hAnsi="Times New Roman;Times;serif"/>
          <w:sz w:val="24"/>
        </w:rPr>
        <w:t>(4)conviction of or plea of guilty or nolo contendere to a crime that constitutes a felony (or state law equivalent), if such felony is work-related or results in material reputational or financial harm to the Company.</w:t>
      </w:r>
    </w:p>
    <w:p>
      <w:pPr>
        <w:pStyle w:val="TextBody"/>
        <w:bidi w:val="0"/>
        <w:spacing w:lineRule="auto" w:line="328" w:before="0" w:after="0"/>
        <w:ind w:left="720" w:right="0" w:hanging="0"/>
        <w:jc w:val="both"/>
        <w:rPr>
          <w:rFonts w:ascii="Times New Roman;Times;serif" w:hAnsi="Times New Roman;Times;serif"/>
          <w:sz w:val="24"/>
        </w:rPr>
      </w:pPr>
      <w:r>
        <w:rPr>
          <w:rFonts w:ascii="Times New Roman;Times;serif" w:hAnsi="Times New Roman;Times;serif"/>
          <w:sz w:val="24"/>
        </w:rPr>
        <w:t xml:space="preserve">For purposes of determining whether an action constitutes Substantial Cause, no act or failure to act on the part of a Participant shall be considered “willful” unless it is done, or omitted to be done, by the Participant in bad faith or without reasonable belief that the Participant’s action or omission was in the best interests of the Company. Any act, or failure to act, based on authority given pursuant to a resolution duly adopted by the Board or on the advice of counsel for the Company shall be conclusively presumed to be done, or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5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720" w:right="0" w:hanging="0"/>
        <w:jc w:val="both"/>
        <w:rPr/>
      </w:pPr>
      <w:r>
        <w:rPr>
          <w:rFonts w:ascii="Times New Roman;Times;serif" w:hAnsi="Times New Roman;Times;serif"/>
          <w:sz w:val="24"/>
        </w:rPr>
        <w:t>omitted to be done, by the Participant in good faith and in the best interests of the Company.</w:t>
      </w:r>
      <w:hyperlink w:anchor="footnote-3">
        <w:r>
          <w:rPr>
            <w:rStyle w:val="InternetLink"/>
            <w:rFonts w:ascii="Times New Roman;Times;serif" w:hAnsi="Times New Roman;Times;serif"/>
            <w:sz w:val="18"/>
          </w:rPr>
          <w:t>1</w:t>
        </w:r>
      </w:hyperlink>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(x)“</w:t>
      </w:r>
      <w:r>
        <w:rPr>
          <w:rFonts w:ascii="Times New Roman;Times;serif" w:hAnsi="Times New Roman;Times;serif"/>
          <w:i/>
          <w:sz w:val="24"/>
        </w:rPr>
        <w:t>Total Disability</w:t>
      </w:r>
      <w:r>
        <w:rPr>
          <w:rFonts w:ascii="Times New Roman;Times;serif" w:hAnsi="Times New Roman;Times;serif"/>
          <w:sz w:val="24"/>
        </w:rPr>
        <w:t>” of a Participant means the Participant meets any one of the following requirements, to the extent it qualifies as a disability within the meaning of Treas. Reg. §1.409A-3(i)(4), or any successor: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(1)unable to engage in any substantial gainful activity by reason of any medically determinable mental or physical impairment which can be expected to result in death or can be expected to last for a continuous period of at least 12 months;</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(2)by reason of any medically determinable physical or mental impairment that can be expected to result in death or can be expected to last for a continuous period of not less than 12 months, receiving income replacement benefits for a period of not less than three months under a Company-sponsored disability plan;</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(3)determined to be totally disabled by the certification of a physician or physicians selected by the Plan Administrator, unless the Plan Administrator determines that an examination is unnecessary; 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(4)determined to be totally disabled by the Social Security Administration.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(y)“</w:t>
      </w:r>
      <w:r>
        <w:rPr>
          <w:rFonts w:ascii="Times New Roman;Times;serif" w:hAnsi="Times New Roman;Times;serif"/>
          <w:i/>
          <w:sz w:val="24"/>
        </w:rPr>
        <w:t>Trust Fund</w:t>
      </w:r>
      <w:r>
        <w:rPr>
          <w:rFonts w:ascii="Times New Roman;Times;serif" w:hAnsi="Times New Roman;Times;serif"/>
          <w:sz w:val="24"/>
        </w:rPr>
        <w:t>” means any assets held in trust pursuant to Article 6.</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(z)“</w:t>
      </w:r>
      <w:r>
        <w:rPr>
          <w:rFonts w:ascii="Times New Roman;Times;serif" w:hAnsi="Times New Roman;Times;serif"/>
          <w:i/>
          <w:sz w:val="24"/>
        </w:rPr>
        <w:t>Trustee</w:t>
      </w:r>
      <w:r>
        <w:rPr>
          <w:rFonts w:ascii="Times New Roman;Times;serif" w:hAnsi="Times New Roman;Times;serif"/>
          <w:sz w:val="24"/>
        </w:rPr>
        <w:t>” means the financial institution designated as trustee by the Company pursuant to Article 6.</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(aa)“</w:t>
      </w:r>
      <w:r>
        <w:rPr>
          <w:rFonts w:ascii="Times New Roman;Times;serif" w:hAnsi="Times New Roman;Times;serif"/>
          <w:i/>
          <w:sz w:val="24"/>
        </w:rPr>
        <w:t>UFP Stock</w:t>
      </w:r>
      <w:r>
        <w:rPr>
          <w:rFonts w:ascii="Times New Roman;Times;serif" w:hAnsi="Times New Roman;Times;serif"/>
          <w:sz w:val="24"/>
        </w:rPr>
        <w:t>” means shares of UFP Industries, Inc. Common Stock.</w:t>
      </w:r>
    </w:p>
    <w:p>
      <w:pPr>
        <w:pStyle w:val="TextBody"/>
        <w:bidi w:val="0"/>
        <w:spacing w:lineRule="auto" w:line="328" w:before="480" w:after="120"/>
        <w:ind w:left="0" w:right="0" w:hanging="0"/>
        <w:jc w:val="center"/>
        <w:rPr>
          <w:rFonts w:ascii="Times New Roman;Times;serif" w:hAnsi="Times New Roman;Times;serif"/>
          <w:b/>
          <w:sz w:val="28"/>
        </w:rPr>
      </w:pPr>
      <w:r>
        <w:rPr>
          <w:rFonts w:ascii="Times New Roman;Times;serif" w:hAnsi="Times New Roman;Times;serif"/>
          <w:b/>
          <w:sz w:val="28"/>
        </w:rPr>
        <w:t>Article 3</w:t>
      </w:r>
      <w:bookmarkStart w:id="115" w:name="_Ref124145167"/>
      <w:bookmarkEnd w:id="115"/>
      <w:r>
        <w:rPr>
          <w:rFonts w:ascii="Times New Roman;Times;serif" w:hAnsi="Times New Roman;Times;serif"/>
          <w:b/>
          <w:sz w:val="28"/>
        </w:rPr>
        <w:t>​</w:t>
      </w:r>
      <w:r>
        <w:rPr>
          <w:rFonts w:ascii="Times New Roman;Times;serif" w:hAnsi="Times New Roman;Times;serif"/>
          <w:b/>
          <w:sz w:val="24"/>
        </w:rPr>
        <w:br/>
      </w:r>
      <w:bookmarkStart w:id="116" w:name="_Toc158971640"/>
      <w:bookmarkStart w:id="117" w:name="_Ref145227910"/>
      <w:bookmarkStart w:id="118" w:name="_Toc289159503"/>
      <w:bookmarkEnd w:id="116"/>
      <w:bookmarkEnd w:id="117"/>
      <w:bookmarkEnd w:id="118"/>
      <w:r>
        <w:rPr>
          <w:rFonts w:ascii="Times New Roman;Times;serif" w:hAnsi="Times New Roman;Times;serif"/>
          <w:b/>
          <w:sz w:val="24"/>
        </w:rPr>
        <w:t>Participation</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3.1</w:t>
      </w:r>
      <w:bookmarkStart w:id="119" w:name="_Toc158971641"/>
      <w:bookmarkStart w:id="120" w:name="_Toc289159504"/>
      <w:bookmarkEnd w:id="119"/>
      <w:bookmarkEnd w:id="120"/>
      <w:r>
        <w:rPr>
          <w:rFonts w:ascii="Times New Roman;Times;serif" w:hAnsi="Times New Roman;Times;serif"/>
          <w:b/>
          <w:sz w:val="24"/>
        </w:rPr>
        <w:t>Eligibility for Participation</w:t>
      </w:r>
    </w:p>
    <w:p>
      <w:pPr>
        <w:pStyle w:val="TextBody"/>
        <w:bidi w:val="0"/>
        <w:spacing w:lineRule="auto" w:line="328"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Administrative Committee, with the approval of the Board, shall determine the Employees who are eligible to participate in the Plan. If the Administrative Committee selects an Employee to participate, the Employee will become a Participant on the effective date of </w:t>
      </w:r>
    </w:p>
    <w:p>
      <w:pPr>
        <w:pStyle w:val="TextBody"/>
        <w:bidi w:val="0"/>
        <w:spacing w:lineRule="auto" w:line="328" w:before="0" w:after="120"/>
        <w:ind w:left="0" w:right="0" w:hanging="0"/>
        <w:jc w:val="left"/>
        <w:rPr>
          <w:rFonts w:ascii="Times New Roman;Times;serif" w:hAnsi="Times New Roman;Times;serif"/>
          <w:sz w:val="20"/>
        </w:rPr>
      </w:pPr>
      <w:bookmarkStart w:id="121" w:name="footnote-3"/>
      <w:bookmarkEnd w:id="121"/>
      <w:r>
        <w:rPr>
          <w:rFonts w:ascii="Times New Roman;Times;serif" w:hAnsi="Times New Roman;Times;serif"/>
          <w:sz w:val="15"/>
        </w:rPr>
        <w:t>1</w:t>
      </w:r>
      <w:r>
        <w:rPr>
          <w:rFonts w:ascii="Times New Roman;Times;serif" w:hAnsi="Times New Roman;Times;serif"/>
          <w:sz w:val="20"/>
        </w:rPr>
        <w:t xml:space="preserve"> Subsection (w) added by 2021-1 Amendment, effective June 1, 2021.</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6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0" w:right="0" w:hanging="0"/>
        <w:jc w:val="both"/>
        <w:rPr>
          <w:rFonts w:ascii="Times New Roman;Times;serif" w:hAnsi="Times New Roman;Times;serif"/>
          <w:sz w:val="24"/>
        </w:rPr>
      </w:pPr>
      <w:r>
        <w:rPr>
          <w:rFonts w:ascii="Times New Roman;Times;serif" w:hAnsi="Times New Roman;Times;serif"/>
          <w:sz w:val="24"/>
        </w:rPr>
        <w:t>participation designated by the Administrative Committee, but only if the Employee signs a participation agreement agreeing to the terms of the Plan.</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It is intended that participation be limited to Employees who will qualify as members of a “select group of management or other highly compensated employees” under Title I of ERISA. In general, the Employees who are eligible to participate are the officers, general managers of operations, operations managers, managing directors, regional sales managers, plant managers, Executive Account Managers, and past and present members of the President’s Club (as such group is now or hereafter named and constituted) of the Company as well as select corporate directors, purchasing managers and senior managers of the Company.</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 xml:space="preserve">The Employee shall acknowledge in the participation agreement that he is an unsecured creditor of the Company with regard to any benefits under the Plan and waive any right to a priority claim with regard to the benefits. The Employee may also be required to complete other forms as a condition for participation. </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3.2</w:t>
      </w:r>
      <w:bookmarkStart w:id="122" w:name="_Toc158971642"/>
      <w:bookmarkStart w:id="123" w:name="_Toc289159505"/>
      <w:bookmarkEnd w:id="122"/>
      <w:bookmarkEnd w:id="123"/>
      <w:r>
        <w:rPr>
          <w:rFonts w:ascii="Times New Roman;Times;serif" w:hAnsi="Times New Roman;Times;serif"/>
          <w:b/>
          <w:sz w:val="24"/>
        </w:rPr>
        <w:t>Termination of Active Participation</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Administrative Committee may remove an Employee from further active participation in the Plan at any time. If this occurs, the Employee shall not have any additional amounts credited to his Account under Section 4.2, but amounts shall continue to be credited to a Participant’s Account under Section 4.3 until Participant’s Account is distributed pursuant to Article 5.</w:t>
      </w:r>
    </w:p>
    <w:p>
      <w:pPr>
        <w:pStyle w:val="TextBody"/>
        <w:bidi w:val="0"/>
        <w:spacing w:lineRule="auto" w:line="328" w:before="480" w:after="120"/>
        <w:ind w:left="0" w:right="0" w:hanging="0"/>
        <w:jc w:val="center"/>
        <w:rPr>
          <w:rFonts w:ascii="Times New Roman;Times;serif" w:hAnsi="Times New Roman;Times;serif"/>
          <w:b/>
          <w:sz w:val="28"/>
        </w:rPr>
      </w:pPr>
      <w:r>
        <w:rPr>
          <w:rFonts w:ascii="Times New Roman;Times;serif" w:hAnsi="Times New Roman;Times;serif"/>
          <w:b/>
          <w:sz w:val="28"/>
        </w:rPr>
        <w:t>Article 4​</w:t>
      </w:r>
      <w:r>
        <w:rPr>
          <w:rFonts w:ascii="Times New Roman;Times;serif" w:hAnsi="Times New Roman;Times;serif"/>
          <w:b/>
          <w:sz w:val="24"/>
        </w:rPr>
        <w:br/>
      </w:r>
      <w:bookmarkStart w:id="124" w:name="_Toc158971643"/>
      <w:bookmarkStart w:id="125" w:name="_Toc289159506"/>
      <w:bookmarkEnd w:id="124"/>
      <w:bookmarkEnd w:id="125"/>
      <w:r>
        <w:rPr>
          <w:rFonts w:ascii="Times New Roman;Times;serif" w:hAnsi="Times New Roman;Times;serif"/>
          <w:b/>
          <w:sz w:val="24"/>
        </w:rPr>
        <w:t>Amounts Credited to Accounts</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4.1</w:t>
      </w:r>
      <w:bookmarkStart w:id="126" w:name="_Toc158971644"/>
      <w:bookmarkStart w:id="127" w:name="_Toc289159507"/>
      <w:bookmarkEnd w:id="126"/>
      <w:bookmarkEnd w:id="127"/>
      <w:r>
        <w:rPr>
          <w:rFonts w:ascii="Times New Roman;Times;serif" w:hAnsi="Times New Roman;Times;serif"/>
          <w:b/>
          <w:sz w:val="24"/>
        </w:rPr>
        <w:t>Participant Accounts</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Plan Administrator shall maintain an Account for each Participant to record the Participant’s benefits under the terms of the Plan. A Participant’s Account is for bookkeeping purposes only. The Company is not required to make contributions to the Trust Fund to fund the amounts credited to a Participant’s Account. A Participant’s Elective Deferrals shall be credited to his Account as soon as administratively feasible after the amounts otherwise would have been paid to the Participant.</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4.2</w:t>
      </w:r>
      <w:bookmarkStart w:id="128" w:name="_Toc158971645"/>
      <w:bookmarkStart w:id="129" w:name="_Toc289159508"/>
      <w:bookmarkStart w:id="130" w:name="_Ref124145478"/>
      <w:bookmarkStart w:id="131" w:name="_Ref124145310"/>
      <w:bookmarkEnd w:id="128"/>
      <w:bookmarkEnd w:id="129"/>
      <w:bookmarkEnd w:id="130"/>
      <w:bookmarkEnd w:id="131"/>
      <w:r>
        <w:rPr>
          <w:rFonts w:ascii="Times New Roman;Times;serif" w:hAnsi="Times New Roman;Times;serif"/>
          <w:b/>
          <w:sz w:val="24"/>
        </w:rPr>
        <w:t>Elective Deferrals</w:t>
      </w:r>
    </w:p>
    <w:p>
      <w:pPr>
        <w:pStyle w:val="TextBody"/>
        <w:bidi w:val="0"/>
        <w:spacing w:lineRule="auto" w:line="328" w:before="0" w:after="240"/>
        <w:ind w:left="72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sz w:val="24"/>
          <w:u w:val="single"/>
        </w:rPr>
        <w:t>Form of Election</w:t>
      </w:r>
      <w:r>
        <w:rPr>
          <w:rFonts w:ascii="Times New Roman;Times;serif" w:hAnsi="Times New Roman;Times;serif"/>
          <w:sz w:val="24"/>
        </w:rPr>
        <w:t>. An active participant may elect to defer compensation as provided in this Section. Deferral elections may be made only in writing, on a form provided or approved by the Administrative Committee. No deferral election will be effective unless received by the Administrative Committee before the end of the applicable election period.</w:t>
      </w:r>
      <w:bookmarkStart w:id="132" w:name="_Ref209602761"/>
      <w:bookmarkEnd w:id="132"/>
      <w:r>
        <w:rPr>
          <w:rFonts w:ascii="Times New Roman;Times;serif" w:hAnsi="Times New Roman;Times;serif"/>
          <w:sz w:val="22"/>
        </w:rPr>
        <w:t xml:space="preserve">  </w:t>
      </w:r>
      <w:r>
        <w:rPr>
          <w:rFonts w:ascii="Times New Roman;Times;serif" w:hAnsi="Times New Roman;Times;serif"/>
          <w:sz w:val="24"/>
        </w:rPr>
        <w:t>For the avoidance of doubt, any allowable election made “in writing” referenced in this Article 4, includes elections made electronically.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7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Base Salary</w:t>
      </w:r>
      <w:r>
        <w:rPr>
          <w:rFonts w:ascii="Times New Roman;Times;serif" w:hAnsi="Times New Roman;Times;serif"/>
          <w:sz w:val="24"/>
        </w:rPr>
        <w:t>. Before the beginning of each calendar year, a Participant may make a written election to make Elective Deferrals equal to a specified dollar amount of the Participant’s Base Salary earned during that calendar year. If an Employee initially becomes a Participant during a calendar year, the Employee may make an election within 30 days after the Employee becomes a Participant to make Elective Deferrals from any Base Salary earned after the election is made. If a Participant does not make a new election for a calendar year, no amount shall be deferred from the Participant’s Base Salary for that calendar year. All Elective Deferrals of Base Salary shall be deducted in equal amounts from the Participant’s last paycheck of each month until the Participant has deferred the maximum annual amount described in subsection (d) below or the maximum annual amount elected by the Participant. Except as provided in subsection (e) or (f), a Participant’s election to make Elective Deferrals from Base Salary earned during a calendar year is irrevocable effective on the first date of the  calendar year.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w:t>
      </w:r>
      <w:bookmarkStart w:id="133" w:name="_Ref210443325"/>
      <w:bookmarkEnd w:id="133"/>
      <w:r>
        <w:rPr>
          <w:rFonts w:ascii="Times New Roman;Times;serif" w:hAnsi="Times New Roman;Times;serif"/>
          <w:sz w:val="24"/>
          <w:u w:val="single"/>
        </w:rPr>
        <w:t>Bonus</w:t>
      </w:r>
      <w:r>
        <w:rPr>
          <w:rFonts w:ascii="Times New Roman;Times;serif" w:hAnsi="Times New Roman;Times;serif"/>
          <w:sz w:val="24"/>
        </w:rPr>
        <w:t>. No later than June 30 of each calendar year, a Participant may make a written election to make Elective Deferrals equal to a specified percentage or dollar amount of the Participant’s Bonus earned during that calendar year. If a Participant does not make a new election for a calendar year, no amount shall be deferred out of the Participant’s Bonus for that calendar year. Except as provided in subsection (e) or (f), a Participant’s election to make Elective Deferrals from Bonuses earned during a calendar year is irrevocable after June 30 of the calendar year.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(d)</w:t>
      </w:r>
      <w:bookmarkStart w:id="134" w:name="_Ref288655025"/>
      <w:bookmarkEnd w:id="134"/>
      <w:r>
        <w:rPr>
          <w:rFonts w:ascii="Times New Roman;Times;serif" w:hAnsi="Times New Roman;Times;serif"/>
          <w:sz w:val="24"/>
          <w:u w:val="single"/>
        </w:rPr>
        <w:t>Limits on Elective Deferrals</w:t>
      </w:r>
      <w:r>
        <w:rPr>
          <w:rFonts w:ascii="Times New Roman;Times;serif" w:hAnsi="Times New Roman;Times;serif"/>
          <w:sz w:val="24"/>
        </w:rPr>
        <w:t>. A Participant may defer up to the following amounts otherwise payable to the Participant each calendar year: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(1)$15,000 of Base Salary; and</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(2)50% of Bonuses not to exceed $100,000 for executive officers, $50,000 for other officers, $25,000 for general managers of operations, operations managers, managing directors, regional sales managers and corporate directors, and $10,000 for all other Participants.</w:t>
      </w:r>
    </w:p>
    <w:p>
      <w:pPr>
        <w:pStyle w:val="TextBody"/>
        <w:bidi w:val="0"/>
        <w:spacing w:lineRule="auto" w:line="328" w:before="0" w:after="120"/>
        <w:ind w:left="720" w:right="0" w:hanging="0"/>
        <w:jc w:val="both"/>
        <w:rPr>
          <w:rFonts w:ascii="Times New Roman;Times;serif" w:hAnsi="Times New Roman;Times;serif"/>
          <w:sz w:val="24"/>
        </w:rPr>
      </w:pPr>
      <w:r>
        <w:rPr>
          <w:rFonts w:ascii="Times New Roman;Times;serif" w:hAnsi="Times New Roman;Times;serif"/>
          <w:sz w:val="24"/>
        </w:rPr>
        <w:t>The Plan Administrator may also periodically establish additional rules relating to a Participant’s Elective Deferrals (for example, a minimum amount permitted).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(e)</w:t>
      </w:r>
      <w:bookmarkStart w:id="135" w:name="_Ref289160254"/>
      <w:bookmarkEnd w:id="135"/>
      <w:r>
        <w:rPr>
          <w:rFonts w:ascii="Times New Roman;Times;serif" w:hAnsi="Times New Roman;Times;serif"/>
          <w:sz w:val="24"/>
          <w:u w:val="single"/>
        </w:rPr>
        <w:t>Suspension After Hardship Withdrawal from Plan.</w:t>
      </w:r>
      <w:r>
        <w:rPr>
          <w:rFonts w:ascii="Times New Roman;Times;serif" w:hAnsi="Times New Roman;Times;serif"/>
          <w:sz w:val="24"/>
        </w:rPr>
        <w:t xml:space="preserve"> Despite any other provision, if a Participant receives a hardship withdrawal as a result of an unforeseeable emergency pursuant to Section 5.6, any Base Salary or Bonus deferral election previously made by the Participant shall be cancelled, until the Participant makes a new deferral election pursuant to this Section 4.2.</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In-Service Distributions</w:t>
      </w:r>
      <w:r>
        <w:rPr>
          <w:rFonts w:ascii="Times New Roman;Times;serif" w:hAnsi="Times New Roman;Times;serif"/>
          <w:sz w:val="24"/>
        </w:rPr>
        <w:t xml:space="preserve">. A Participant may irrevocably elect to receive an in-service distribution of the portion of any Bonus the Participant deferred during a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8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calendar year (but not Base Salary deferrals or investment earnings) if—</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(1)The election is made by the deadline for making a Bonus deferral election for a calendar year;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 xml:space="preserve">(2)The election specifies a fixed payment date that is at least 12 months after the end of the calendar year during which the Bonus was deferred; and </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(3)The Participant remains employed by the Company or a Related Employer until the elected payment date.</w:t>
      </w:r>
    </w:p>
    <w:p>
      <w:pPr>
        <w:pStyle w:val="TextBody"/>
        <w:bidi w:val="0"/>
        <w:spacing w:lineRule="auto" w:line="328" w:before="0" w:after="120"/>
        <w:ind w:left="720" w:right="0" w:hanging="0"/>
        <w:jc w:val="both"/>
        <w:rPr>
          <w:rFonts w:ascii="Times New Roman;Times;serif" w:hAnsi="Times New Roman;Times;serif"/>
          <w:sz w:val="24"/>
        </w:rPr>
      </w:pPr>
      <w:r>
        <w:rPr>
          <w:rFonts w:ascii="Times New Roman;Times;serif" w:hAnsi="Times New Roman;Times;serif"/>
          <w:sz w:val="24"/>
        </w:rPr>
        <w:t>If the Participant does not remain employed by the Company or a Related Employer under the elected payment date, the Participant's right to the portion of the Bonus for which the Participant elected to receive an in-service distribution shall be forfeited and cancelled.  In the event the Participant is eligible to receive an in-service distribution pursuant to the terms of this subsection (f), the amount distributed will be the lesser of the amount of the Bonus the Participant elected to be paid as of the date it was deferred and the value of the Bonus on the date of distribution. To the extent a Participant’s Bonus deferral for a year is treated as invested in UFP Stock, the Participant’s Elective Deferrals from his or her Bonus will only be distributed in whole shares of UFP Stock, and any fractional shares shall not be distributed, but shall be retained in the Plan until the Participant’s Separation from Service. Except as provided in subsection (e), a Participant’s election to receive an in-service distribution pursuant to this subsection (f) is irrevocable effective after June 30 of the calendar year.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Withholding of Payroll Taxes.</w:t>
      </w:r>
      <w:r>
        <w:rPr>
          <w:rFonts w:ascii="Times New Roman;Times;serif" w:hAnsi="Times New Roman;Times;serif"/>
          <w:sz w:val="24"/>
        </w:rPr>
        <w:t xml:space="preserve"> Any payroll taxes the Company must withhold on a Participant’s Base Salary or Bonus deferrals (including any amount that must be withheld because of the discount on UFP Stock provided to Participants whose deferrals are treated as invested in UFP Stock for the year) will be withheld from the portion of the Participant’s Base Salary or Bonus that the Participant does not elect to defer before any amount is credited to the Participant’s Account.</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4.3</w:t>
      </w:r>
      <w:bookmarkStart w:id="136" w:name="_Toc158971646"/>
      <w:bookmarkEnd w:id="136"/>
      <w:r>
        <w:rPr>
          <w:rFonts w:ascii="Times New Roman;Times;serif" w:hAnsi="Times New Roman;Times;serif"/>
          <w:b/>
          <w:sz w:val="24"/>
        </w:rPr>
        <w:t>Hypothetical Investments</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(a)A Participant may choose among different hypothetical investment funds made available by the Plan Administrator for purposes of determining hypothetical earnings, gains and losses credited to the Participant’s Account. The earnings, gains and losses for a Participant shall be determined as if the portion of the Participant’s Account which was deemed to be invested in the investment fund had actually been invested in the investment fund during the relevant time period. The Plan Administrator may add or remove hypothetical investment funds at any time. The Plan Administrator shall periodically establish administrative rules for a Participant to make and change his investment elections and rules regarding the crediting of Investment Results. Amounts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9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shall be credited to a Participant’s Account under this Section until the Participant’s Account is completely distributed.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(b)The Company shall be under no obligation to make investments that correspond to the Participant’s investment elections, even though the Participant’s elections are used to determine the Participant’s Investment Results.</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(c)If all or a portion of a Participant’s Elective Deferrals for a calendar year are deemed to be invested in UFP Stock, the number of shares of UFP Stock credited to the Participant’s Account shall be increased to reflect a fifteen percent (15%) discount to market, determined based on the closing market price of UFP Stock on the day the amount would have been paid to the Participant if he or she had not elected to defer it. The number of shares credited to the Participant’s Account as a result of any deferral of Base Salary or Bonus shall equal:</w:t>
      </w:r>
    </w:p>
    <w:p>
      <w:pPr>
        <w:pStyle w:val="TextBody"/>
        <w:bidi w:val="0"/>
        <w:spacing w:lineRule="auto" w:line="328" w:before="0" w:after="0"/>
        <w:ind w:left="0" w:right="0" w:hanging="0"/>
        <w:jc w:val="center"/>
        <w:rPr>
          <w:rFonts w:ascii="Times New Roman;Times;serif" w:hAnsi="Times New Roman;Times;serif"/>
          <w:sz w:val="22"/>
        </w:rPr>
      </w:pPr>
      <w:r>
        <w:rPr>
          <w:rFonts w:ascii="Times New Roman;Times;serif" w:hAnsi="Times New Roman;Times;serif"/>
          <w:sz w:val="22"/>
          <w:u w:val="single"/>
        </w:rPr>
        <w:t xml:space="preserve">(x </w:t>
      </w:r>
      <w:r>
        <w:rPr>
          <w:rFonts w:ascii="Times New Roman" w:hAnsi="Times New Roman"/>
          <w:sz w:val="22"/>
          <w:u w:val="single"/>
        </w:rPr>
        <w:t>÷</w:t>
      </w:r>
      <w:r>
        <w:rPr>
          <w:rFonts w:ascii="Times New Roman;Times;serif" w:hAnsi="Times New Roman;Times;serif"/>
          <w:sz w:val="22"/>
          <w:u w:val="single"/>
        </w:rPr>
        <w:t xml:space="preserve"> .85)</w:t>
      </w:r>
    </w:p>
    <w:p>
      <w:pPr>
        <w:pStyle w:val="TextBody"/>
        <w:bidi w:val="0"/>
        <w:spacing w:lineRule="auto" w:line="328" w:before="0" w:after="240"/>
        <w:ind w:left="0" w:right="0" w:hanging="0"/>
        <w:jc w:val="center"/>
        <w:rPr>
          <w:rFonts w:ascii="Times New Roman;Times;serif" w:hAnsi="Times New Roman;Times;serif"/>
          <w:sz w:val="22"/>
        </w:rPr>
      </w:pPr>
      <w:r>
        <w:rPr>
          <w:rFonts w:ascii="Times New Roman;Times;serif" w:hAnsi="Times New Roman;Times;serif"/>
          <w:sz w:val="22"/>
        </w:rPr>
        <w:t>z</w:t>
      </w:r>
    </w:p>
    <w:p>
      <w:pPr>
        <w:pStyle w:val="TextBody"/>
        <w:bidi w:val="0"/>
        <w:spacing w:lineRule="auto" w:line="328" w:before="0" w:after="120"/>
        <w:ind w:left="720" w:right="0" w:hanging="0"/>
        <w:jc w:val="left"/>
        <w:rPr>
          <w:rFonts w:ascii="Times New Roman;Times;serif" w:hAnsi="Times New Roman;Times;serif"/>
          <w:sz w:val="24"/>
        </w:rPr>
      </w:pPr>
      <w:r>
        <w:rPr>
          <w:rFonts w:ascii="Times New Roman;Times;serif" w:hAnsi="Times New Roman;Times;serif"/>
          <w:sz w:val="24"/>
        </w:rPr>
        <w:t>where x equals the amount the Participant defers and z equals the closing market price of UFP Stock on the day the amount would have been paid to the Participant if he had not elected to defer it. Elective Deferrals that are treated as being invested in UFP Stock shall continue to be treated as invested in UFP Stock until the Elective Deferrals are distributed to the Participant.</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4.4</w:t>
      </w:r>
      <w:bookmarkStart w:id="137" w:name="_Toc158971647"/>
      <w:bookmarkStart w:id="138" w:name="_Toc289159510"/>
      <w:bookmarkEnd w:id="137"/>
      <w:bookmarkEnd w:id="138"/>
      <w:r>
        <w:rPr>
          <w:rFonts w:ascii="Times New Roman;Times;serif" w:hAnsi="Times New Roman;Times;serif"/>
          <w:b/>
          <w:sz w:val="24"/>
        </w:rPr>
        <w:t>Required Investments in UFP Stock</w:t>
      </w:r>
    </w:p>
    <w:p>
      <w:pPr>
        <w:pStyle w:val="TextBody"/>
        <w:bidi w:val="0"/>
        <w:spacing w:lineRule="auto" w:line="328" w:before="0" w:after="240"/>
        <w:ind w:left="720" w:right="0" w:hanging="0"/>
        <w:jc w:val="both"/>
        <w:rPr>
          <w:rFonts w:ascii="Times New Roman;Times;serif" w:hAnsi="Times New Roman;Times;serif"/>
          <w:sz w:val="22"/>
        </w:rPr>
      </w:pPr>
      <w:r>
        <w:rPr>
          <w:rFonts w:ascii="Times New Roman;Times;serif" w:hAnsi="Times New Roman;Times;serif"/>
          <w:sz w:val="24"/>
        </w:rPr>
        <w:t>(a)</w:t>
      </w:r>
      <w:bookmarkStart w:id="139" w:name="_Ref203183302"/>
      <w:bookmarkEnd w:id="139"/>
      <w:r>
        <w:rPr>
          <w:rFonts w:ascii="Times New Roman;Times;serif" w:hAnsi="Times New Roman;Times;serif"/>
          <w:sz w:val="24"/>
        </w:rPr>
        <w:t>A Participant’s Elective Deferrals from Base Salary for any calendar year will be deemed to be invested in UFP Stock unless:</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(1)If the Participant has less than five Years of Service with the Company as of the December 31 immediately preceding the first day of the calendar year, the Participant owns UFP Stock with a market value as of the preceding September 30 of at least one times the Participant’s annualized box 1 W-2 compensation for the second calendar year preceding the calendar year for which the Elective Deferrals are being made;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(2)If the Participant has at least five but less ten Years of Service with the Company as of the December 31 immediately preceding the first day of the calendar year, the Participant owns UFP Stock with a market value as of the preceding September 30 of at least two times the Participant’s annualized box 1 W-2 compensation for the second calendar year preceding the calendar year for which the Elective Deferrals are being made; or</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10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(3)If the Participant has ten or more Years of Service with the Company as of the December 31 immediately preceding the first day of the calendar year, the Participant owns UFP Stock with a market value as of the preceding September 30 of at least three times the Participant’s annualized box 1 W-2 compensation for the second calendar year preceding the calendar year for which the Elective Deferrals are being made.</w:t>
      </w:r>
    </w:p>
    <w:p>
      <w:pPr>
        <w:pStyle w:val="TextBody"/>
        <w:bidi w:val="0"/>
        <w:spacing w:lineRule="auto" w:line="328" w:before="0" w:after="120"/>
        <w:ind w:left="720" w:right="0" w:hanging="0"/>
        <w:jc w:val="both"/>
        <w:rPr>
          <w:rFonts w:ascii="Times New Roman;Times;serif" w:hAnsi="Times New Roman;Times;serif"/>
          <w:sz w:val="24"/>
        </w:rPr>
      </w:pPr>
      <w:r>
        <w:rPr>
          <w:rFonts w:ascii="Times New Roman;Times;serif" w:hAnsi="Times New Roman;Times;serif"/>
          <w:sz w:val="24"/>
        </w:rPr>
        <w:t>For purposes of this subsection, if a Participant’s box 1 W-2 compensation for any calendar year is for work performed for less than a 12-month period, the Participant’s box 1 W-2 compensation for the calendar year shall be annualized by multiplying his box 1 W-2 compensation by 12 and dividing it by the number of full and partial months he worked during the year.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(b)If the applicable requirement detailed in subsection (a) above is met as of the December 31 of the preceding calendar year, the Participant may direct that his Elective Deferrals from Base Salary for the calendar year be credited with earnings or losses based on any investment option available under the Plan.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w:t>
      </w:r>
      <w:bookmarkStart w:id="140" w:name="_Ref203184820"/>
      <w:bookmarkEnd w:id="140"/>
      <w:r>
        <w:rPr>
          <w:rFonts w:ascii="Times New Roman;Times;serif" w:hAnsi="Times New Roman;Times;serif"/>
          <w:sz w:val="24"/>
        </w:rPr>
        <w:t>A Participant’s Elective Deferrals from Bonuses for a calendar year will be deemed to be invested in UFP Stock unless:</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(1)If the Participant has less than five Years of Service with the Company as of the December 31 preceding the June 30 by which the election must be made, the Participant owns UFP Stock with a market value as of the preceding April 30 of at least one (1) times the Participant’s annualized box 1 W-2 compensation for the calendar year preceding the calendar year for which the Elective Deferral from his Bonus is made.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(2)If the Participant has at least five but less than ten Years of Service with the Company as of the December 31 preceding the June 30 by which the election must be made, the Participant owns UFP Stock with a market value as of the preceding April 30 of at least two (2) times the Participant’s annualized box 1 W-2 compensation for the calendar year preceding the calendar year for which the Elective Deferral from his Bonus is made; 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(3)If the Participant has ten or more Years of Service with the Company as of the December 31 preceding the date by which the election must be made, the Participant owns UFP Stock with a market value as of preceding April 30 of at least three (3) times the Participant’s annualized box 1 W-2 compensation for the calendar year preceding the calendar year for which the Elective Deferral from his Bonus is made.</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11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720" w:right="0" w:hanging="0"/>
        <w:jc w:val="both"/>
        <w:rPr>
          <w:rFonts w:ascii="Times New Roman;Times;serif" w:hAnsi="Times New Roman;Times;serif"/>
          <w:sz w:val="24"/>
        </w:rPr>
      </w:pPr>
      <w:r>
        <w:rPr>
          <w:rFonts w:ascii="Times New Roman;Times;serif" w:hAnsi="Times New Roman;Times;serif"/>
          <w:sz w:val="24"/>
        </w:rPr>
        <w:t>For purposes of this subsection, if a Participant’s box 1 W-2 compensation for any calendar year is for work performed for less than a 12-month period, the Participant’s box 1 W-2 compensation for the calendar year shall be annualized by multiplying his box 1 W-2 compensation by 12 and dividing it by the number of full and partial months he worked during the year.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(d)If the applicable requirement detailed in subsection (c) above is met as of the June 30 by which the Participant’s Bonus deferral election must be made, the Participant may direct that his Elective Deferrals from his Bonus for the calendar year be credited with earnings or losses based on any investment option available under the Plan.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(e)For example, if a Participant who has completed three Years of Service with the Company as of December 31, 2019 defers $10,000 of his Base Salary for 2020, his Elective Deferrals from his Base Salary will be invested in UFP Stock unless he owns UFP Stock with a market value as of September 30, 2019 equal to his 2018 compensation as reported in box 1 of his 2018 W-2 (assuming he worked for the Company for all of 2018). If the Participant elects to defer all or any portion of his 2020 Bonus that is payable in 2021, his Elective Deferrals from his Bonus will be invested in UFP Stock unless he owns UFP Stock with a market value as of April 30, 2020 equal to his 2019 compensation as reported in box 1 of his 2019 W-2 (assuming he worked for the Company for all of 2019).</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4.5</w:t>
      </w:r>
      <w:bookmarkStart w:id="141" w:name="_Toc158971648"/>
      <w:bookmarkStart w:id="142" w:name="_Toc289159511"/>
      <w:bookmarkEnd w:id="141"/>
      <w:bookmarkEnd w:id="142"/>
      <w:r>
        <w:rPr>
          <w:rFonts w:ascii="Times New Roman;Times;serif" w:hAnsi="Times New Roman;Times;serif"/>
          <w:b/>
          <w:sz w:val="24"/>
        </w:rPr>
        <w:t>Vesting</w:t>
      </w:r>
    </w:p>
    <w:p>
      <w:pPr>
        <w:pStyle w:val="TextBody"/>
        <w:bidi w:val="0"/>
        <w:spacing w:lineRule="auto" w:line="328" w:before="0" w:after="120"/>
        <w:ind w:left="0" w:right="0" w:firstLine="720"/>
        <w:jc w:val="both"/>
        <w:rPr/>
      </w:pPr>
      <w:r>
        <w:rPr>
          <w:rFonts w:ascii="Times New Roman;Times;serif" w:hAnsi="Times New Roman;Times;serif"/>
          <w:sz w:val="24"/>
        </w:rPr>
        <w:t>Except as provided in Sections 4.6 and 5.3, all amounts credited to a Participant’s Account are always 100% vested.</w:t>
      </w:r>
      <w:hyperlink w:anchor="footnote-4">
        <w:r>
          <w:rPr>
            <w:rStyle w:val="InternetLink"/>
            <w:rFonts w:ascii="Times New Roman;Times;serif" w:hAnsi="Times New Roman;Times;serif"/>
            <w:sz w:val="18"/>
          </w:rPr>
          <w:t>2</w:t>
        </w:r>
      </w:hyperlink>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4.6</w:t>
      </w:r>
      <w:bookmarkStart w:id="143" w:name="_Toc158971649"/>
      <w:bookmarkEnd w:id="143"/>
      <w:r>
        <w:rPr>
          <w:rFonts w:ascii="Times New Roman;Times;serif" w:hAnsi="Times New Roman;Times;serif"/>
          <w:b/>
          <w:sz w:val="24"/>
        </w:rPr>
        <w:t>Forfeiture</w:t>
      </w:r>
    </w:p>
    <w:p>
      <w:pPr>
        <w:pStyle w:val="TextBody"/>
        <w:bidi w:val="0"/>
        <w:spacing w:lineRule="auto" w:line="328" w:before="0" w:after="120"/>
        <w:ind w:left="0" w:right="0" w:firstLine="720"/>
        <w:jc w:val="both"/>
        <w:rPr/>
      </w:pPr>
      <w:r>
        <w:rPr>
          <w:rFonts w:ascii="Times New Roman;Times;serif" w:hAnsi="Times New Roman;Times;serif"/>
          <w:sz w:val="24"/>
        </w:rPr>
        <w:t>If a Participant’s employment is terminated by the Company in connection with Substantial Cause, or if the Company determines that Substantial Cause exists with respect to a Participant at any time prior to payment of the Participant’s benefits from the Plan pursuant to Section 5.3, then the Participant’s Account balance under the Plan shall be reduced by the lesser of (i) the amount of material harm or damages incurred by the Company as a result of the Substantial Cause, including but not limited to any costs related to investigation or prosecution of the Substantial Cause, all as determined in the sole discretion of the Administrative Committee, or (ii) the full balance of the Participant’s Account at the time of the Substantial Cause.</w:t>
      </w:r>
      <w:hyperlink w:anchor="footnote-5">
        <w:r>
          <w:rPr>
            <w:rStyle w:val="InternetLink"/>
            <w:rFonts w:ascii="Times New Roman;Times;serif" w:hAnsi="Times New Roman;Times;serif"/>
            <w:sz w:val="18"/>
          </w:rPr>
          <w:t>3</w:t>
        </w:r>
      </w:hyperlink>
    </w:p>
    <w:p>
      <w:pPr>
        <w:pStyle w:val="TextBody"/>
        <w:bidi w:val="0"/>
        <w:spacing w:lineRule="auto" w:line="328" w:before="0" w:after="120"/>
        <w:ind w:left="0" w:right="0" w:firstLine="720"/>
        <w:jc w:val="both"/>
        <w:rPr/>
      </w:pPr>
      <w:r>
        <w:rPr/>
        <w:t>​</w:t>
      </w:r>
    </w:p>
    <w:p>
      <w:pPr>
        <w:pStyle w:val="TextBody"/>
        <w:bidi w:val="0"/>
        <w:spacing w:lineRule="auto" w:line="328" w:before="0" w:after="120"/>
        <w:ind w:left="0" w:right="0" w:hanging="0"/>
        <w:jc w:val="left"/>
        <w:rPr>
          <w:rFonts w:ascii="Times New Roman;Times;serif" w:hAnsi="Times New Roman;Times;serif"/>
          <w:sz w:val="20"/>
        </w:rPr>
      </w:pPr>
      <w:bookmarkStart w:id="144" w:name="footnote-4"/>
      <w:bookmarkEnd w:id="144"/>
      <w:r>
        <w:rPr>
          <w:rFonts w:ascii="Times New Roman;Times;serif" w:hAnsi="Times New Roman;Times;serif"/>
          <w:sz w:val="15"/>
        </w:rPr>
        <w:t>2</w:t>
      </w:r>
      <w:r>
        <w:rPr>
          <w:rFonts w:ascii="Times New Roman;Times;serif" w:hAnsi="Times New Roman;Times;serif"/>
          <w:sz w:val="20"/>
        </w:rPr>
        <w:t xml:space="preserve"> Section 4.5 restated by 2021-1 Amendment, effective June 1, 2021.</w:t>
      </w:r>
    </w:p>
    <w:p>
      <w:pPr>
        <w:pStyle w:val="TextBody"/>
        <w:bidi w:val="0"/>
        <w:spacing w:lineRule="auto" w:line="328" w:before="0" w:after="120"/>
        <w:ind w:left="0" w:right="0" w:hanging="0"/>
        <w:jc w:val="left"/>
        <w:rPr>
          <w:rFonts w:ascii="Times New Roman;Times;serif" w:hAnsi="Times New Roman;Times;serif"/>
          <w:sz w:val="20"/>
        </w:rPr>
      </w:pPr>
      <w:bookmarkStart w:id="145" w:name="footnote-5"/>
      <w:bookmarkEnd w:id="145"/>
      <w:r>
        <w:rPr>
          <w:rFonts w:ascii="Times New Roman;Times;serif" w:hAnsi="Times New Roman;Times;serif"/>
          <w:sz w:val="15"/>
        </w:rPr>
        <w:t>3</w:t>
      </w:r>
      <w:r>
        <w:rPr>
          <w:rFonts w:ascii="Times New Roman;Times;serif" w:hAnsi="Times New Roman;Times;serif"/>
          <w:sz w:val="20"/>
        </w:rPr>
        <w:t xml:space="preserve"> Section 4.6 added by 2021-1 Amendment, effective June 1, 2021.</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12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0" w:right="0" w:hanging="0"/>
        <w:jc w:val="center"/>
        <w:rPr>
          <w:rFonts w:ascii="Times New Roman;Times;serif" w:hAnsi="Times New Roman;Times;serif"/>
          <w:b/>
          <w:sz w:val="28"/>
        </w:rPr>
      </w:pPr>
      <w:r>
        <w:rPr>
          <w:rFonts w:ascii="Times New Roman;Times;serif" w:hAnsi="Times New Roman;Times;serif"/>
          <w:b/>
          <w:sz w:val="28"/>
        </w:rPr>
        <w:t>Article 5</w:t>
      </w:r>
      <w:bookmarkStart w:id="146" w:name="_Toc289159512"/>
      <w:bookmarkEnd w:id="146"/>
      <w:r>
        <w:rPr>
          <w:rFonts w:ascii="Times New Roman;Times;serif" w:hAnsi="Times New Roman;Times;serif"/>
          <w:b/>
          <w:sz w:val="28"/>
        </w:rPr>
        <w:t>​</w:t>
      </w:r>
      <w:r>
        <w:rPr>
          <w:rFonts w:ascii="Times New Roman;Times;serif" w:hAnsi="Times New Roman;Times;serif"/>
          <w:b/>
          <w:sz w:val="24"/>
        </w:rPr>
        <w:br/>
      </w:r>
      <w:bookmarkStart w:id="147" w:name="_Toc158971650"/>
      <w:bookmarkStart w:id="148" w:name="_Ref42158146"/>
      <w:bookmarkEnd w:id="147"/>
      <w:bookmarkEnd w:id="148"/>
      <w:r>
        <w:rPr>
          <w:rFonts w:ascii="Times New Roman;Times;serif" w:hAnsi="Times New Roman;Times;serif"/>
          <w:b/>
          <w:sz w:val="24"/>
        </w:rPr>
        <w:t>Distribution of Benefits</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5.1</w:t>
      </w:r>
      <w:bookmarkStart w:id="149" w:name="_Toc158971651"/>
      <w:bookmarkStart w:id="150" w:name="_Toc289159513"/>
      <w:bookmarkStart w:id="151" w:name="_Ref145904851"/>
      <w:bookmarkEnd w:id="149"/>
      <w:bookmarkEnd w:id="150"/>
      <w:bookmarkEnd w:id="151"/>
      <w:r>
        <w:rPr>
          <w:rFonts w:ascii="Times New Roman;Times;serif" w:hAnsi="Times New Roman;Times;serif"/>
          <w:b/>
          <w:sz w:val="24"/>
        </w:rPr>
        <w:t>Distributable Events</w:t>
      </w:r>
    </w:p>
    <w:p>
      <w:pPr>
        <w:pStyle w:val="TextBody"/>
        <w:bidi w:val="0"/>
        <w:spacing w:lineRule="auto" w:line="328" w:before="0" w:after="120"/>
        <w:ind w:left="0" w:right="0" w:firstLine="720"/>
        <w:jc w:val="left"/>
        <w:rPr>
          <w:rFonts w:ascii="Times New Roman;Times;serif" w:hAnsi="Times New Roman;Times;serif"/>
          <w:sz w:val="24"/>
        </w:rPr>
      </w:pPr>
      <w:bookmarkStart w:id="152" w:name="_Ref179601953"/>
      <w:bookmarkEnd w:id="152"/>
      <w:r>
        <w:rPr>
          <w:rFonts w:ascii="Times New Roman;Times;serif" w:hAnsi="Times New Roman;Times;serif"/>
          <w:sz w:val="24"/>
        </w:rPr>
        <w:t>A Participant shall have a Distributable Event for purposes of the Plan on the date the first of the following events occurs:</w:t>
      </w:r>
    </w:p>
    <w:p>
      <w:pPr>
        <w:pStyle w:val="TextBody"/>
        <w:bidi w:val="0"/>
        <w:spacing w:lineRule="auto" w:line="328" w:before="0" w:after="240"/>
        <w:ind w:left="720" w:right="0" w:hanging="0"/>
        <w:jc w:val="both"/>
        <w:rPr>
          <w:rFonts w:ascii="Times New Roman;Times;serif" w:hAnsi="Times New Roman;Times;serif"/>
          <w:sz w:val="22"/>
        </w:rPr>
      </w:pPr>
      <w:r>
        <w:rPr>
          <w:rFonts w:ascii="Times New Roman;Times;serif" w:hAnsi="Times New Roman;Times;serif"/>
          <w:sz w:val="24"/>
        </w:rPr>
        <w:t>(a)</w:t>
      </w:r>
      <w:bookmarkStart w:id="153" w:name="_Ref183233893"/>
      <w:bookmarkEnd w:id="153"/>
      <w:r>
        <w:rPr>
          <w:rFonts w:ascii="Times New Roman;Times;serif" w:hAnsi="Times New Roman;Times;serif"/>
          <w:sz w:val="24"/>
        </w:rPr>
        <w:t>The Participant has a Separation from Service;</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(b)The Participant dies while employed by the Company;</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(c)The Participant incurs a Total Disability while employed by the Company; or</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(d)A Change in Control occurs.</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5.2</w:t>
      </w:r>
      <w:bookmarkStart w:id="154" w:name="_Toc158971652"/>
      <w:bookmarkStart w:id="155" w:name="_Toc289159514"/>
      <w:bookmarkEnd w:id="154"/>
      <w:bookmarkEnd w:id="155"/>
      <w:r>
        <w:rPr>
          <w:rFonts w:ascii="Times New Roman;Times;serif" w:hAnsi="Times New Roman;Times;serif"/>
          <w:b/>
          <w:sz w:val="24"/>
        </w:rPr>
        <w:t>Amount of Benefits</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Participant’s benefits under the Plan shall be equal to the amount credited to the Participant’s Account on a date determined by the Company that is no more than one month prior to the date the amount is distributed to the Participant.</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5.3</w:t>
      </w:r>
      <w:bookmarkStart w:id="156" w:name="_Toc158971653"/>
      <w:bookmarkStart w:id="157" w:name="_Toc289159515"/>
      <w:bookmarkStart w:id="158" w:name="_Ref203816057"/>
      <w:bookmarkStart w:id="159" w:name="_Ref203816040"/>
      <w:bookmarkEnd w:id="156"/>
      <w:bookmarkEnd w:id="157"/>
      <w:bookmarkEnd w:id="158"/>
      <w:bookmarkEnd w:id="159"/>
      <w:r>
        <w:rPr>
          <w:rFonts w:ascii="Times New Roman;Times;serif" w:hAnsi="Times New Roman;Times;serif"/>
          <w:b/>
          <w:sz w:val="24"/>
        </w:rPr>
        <w:t>Time of Payment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(a)A Participant’s benefits from the Plan triggered by the occurrence of a Distributable Event shall be paid in a single lump sum payment due at the following time: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(1)If the Distributable Event is the Participant’s Separation from Service before age 55, benefits shall be paid on the first anniversary of the Separation from Service; and</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(2)If the Distributable Event is the Participant’s death, Total Disability, Separation from Service after age 55, or Change in Control, benefits shall be paid 60 days after the Participant’s Distributable Event occurs.</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(b)Notwithstanding subsection (a) above, if the Participant is a Key Employee and the Distributable Event is the Participant’s Separation from Service, distribution shall be delayed until the six-month anniversary of the date of the Participant’s Separation from Service, unless the Participant dies prior to the end of the six-month period.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(c)If, during the Participant’s employment with the Company or the twelve-month period following his Separation from Service, the Participant violates any confidentiality agreement, intellectual property agreement or non-competition agreement with the Company or any Related Employer in effect while the Participant is employed by the Company or a Related Employer or at the time of the Separation from Service, the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13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Participant’s Account shall be reduced to reflect the value that is the lesser of:</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(1)The actual Account value on the date of Separation from Service; or</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(2)The value the Account would have been on the date of Separation from Service if it had been credited with an earnings rate of 0% from the time the Elective Deferrals were initially credited to the Account and no discount had been available for deemed investments in UFP Stock.</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5.4</w:t>
      </w:r>
      <w:bookmarkStart w:id="160" w:name="_Toc158971654"/>
      <w:bookmarkStart w:id="161" w:name="_Toc289159516"/>
      <w:bookmarkEnd w:id="160"/>
      <w:bookmarkEnd w:id="161"/>
      <w:r>
        <w:rPr>
          <w:rFonts w:ascii="Times New Roman;Times;serif" w:hAnsi="Times New Roman;Times;serif"/>
          <w:b/>
          <w:sz w:val="24"/>
        </w:rPr>
        <w:t>Form of Payment</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Participant’s benefits from the Plan shall be distributed in cash, except all amounts treated as invested in UFP Stock shall be distributed in the form of certificates for whole shares of UFP Stock and any fractional shares shall be withheld to cover taxes. In addition, no fractional shares shall be paid pursuant to any in-service distribution election made under Section 4.2(f).</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5.5</w:t>
      </w:r>
      <w:bookmarkStart w:id="162" w:name="_Toc289159517"/>
      <w:bookmarkStart w:id="163" w:name="_Ref288655105"/>
      <w:bookmarkStart w:id="164" w:name="_Toc158971655"/>
      <w:bookmarkStart w:id="165" w:name="_Ref42156528"/>
      <w:bookmarkEnd w:id="162"/>
      <w:bookmarkEnd w:id="163"/>
      <w:bookmarkEnd w:id="164"/>
      <w:bookmarkEnd w:id="165"/>
      <w:r>
        <w:rPr>
          <w:rFonts w:ascii="Times New Roman;Times;serif" w:hAnsi="Times New Roman;Times;serif"/>
          <w:b/>
          <w:sz w:val="24"/>
        </w:rPr>
        <w:t>Beneficiary Designations</w:t>
      </w:r>
    </w:p>
    <w:p>
      <w:pPr>
        <w:pStyle w:val="TextBody"/>
        <w:bidi w:val="0"/>
        <w:spacing w:lineRule="auto" w:line="328" w:before="0" w:after="120"/>
        <w:ind w:left="0" w:right="0" w:firstLine="720"/>
        <w:jc w:val="both"/>
        <w:rPr/>
      </w:pPr>
      <w:r>
        <w:rPr/>
        <w:t>“</w:t>
      </w:r>
      <w:r>
        <w:rPr>
          <w:rFonts w:ascii="Times New Roman;Times;serif" w:hAnsi="Times New Roman;Times;serif"/>
          <w:sz w:val="24"/>
        </w:rPr>
        <w:t xml:space="preserve">Beneficiary” means the beneficiary designated in writing by the Participant to receive benefits from the Plan in the event of the Participant’s death. The Beneficiary shall be designated on a form provided by the Plan Administrator, and the Participant may change the Beneficiary designation at any time by signing and delivering a new form to the Plan Administrator.  A beneficiary designation will become effective upon receipt by the Plan Administrator, but only if received before the Participant’s death.     </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trust may be designated as a Beneficiary.  If this occurs, the Plan Administrator will determine the rights of any trustee designated as a Beneficiary without responsibility for determining the validity, existence or provisions of that trust, and will have no responsibility for the use of amounts paid to that trustee or for the discharge of the trust.</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If a Participant designates the Participant’s Spouse as Beneficiary and the Participant and Spouse are subsequently divorced, the judgment of divorce will be considered to revoke the prior Beneficiary designation of the Spouse.</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rules of this paragraph apply unless provided otherwise in a Participant’s Beneficiary designation form.  If a Participant designates one primary Beneficiary and the Beneficiary dies after the Participant but before benefit payments are completed, any remaining benefits will be payable to the secondary Beneficiary.  If a Participant fails to designate a secondary Beneficiary, or if no secondary Beneficiary survives the primary Beneficiary, any remaining benefits will be payable to the deceased primary Beneficiary’s heirs in the manner described in the next paragraph.  If a Participant designates more than one primary Beneficiary or more than one secondary Beneficiary and a Beneficiary dies before benefit payments are made, the share payable to the deceased Beneficiary will be paid to the deceased Beneficiary’s heirs in the manner described in the next paragraph as if the Beneficiary was the Participant.</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14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If a Participant fails to designate a Beneficiary, or if no designated Beneficiary survives a Participant, distribution will be made in equal shares to the members of the first of the classes listed below having a living member on the date the distribution is payable.  The classes, in order of priority, are as follows:</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(1)The Participant’s Spouse;</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(2)The Participant’s children (natural, legally adopted or children placed for adoption) or their then-living issue, by right of representation; and</w:t>
      </w:r>
    </w:p>
    <w:p>
      <w:pPr>
        <w:pStyle w:val="TextBody"/>
        <w:bidi w:val="0"/>
        <w:spacing w:lineRule="auto" w:line="328" w:before="0" w:after="240"/>
        <w:ind w:left="1440" w:right="0" w:hanging="0"/>
        <w:jc w:val="both"/>
        <w:rPr>
          <w:rFonts w:ascii="Times New Roman;Times;serif" w:hAnsi="Times New Roman;Times;serif"/>
          <w:sz w:val="24"/>
        </w:rPr>
      </w:pPr>
      <w:r>
        <w:rPr>
          <w:rFonts w:ascii="Times New Roman;Times;serif" w:hAnsi="Times New Roman;Times;serif"/>
          <w:sz w:val="24"/>
        </w:rPr>
        <w:t>(3)The Participant’s estate, if the estate is under active administration.  If the Participant’s estate is not under active administration, the legal heirs of the Participant under the intestacy laws of the Participant’s state of residence on the date of the Participant’s death.</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Beneficiary is permitted to disclaim the Beneficiary’s rights to a death benefit under the Plan to the extent permitted by applicable law.  If this occurs, the Beneficiary will be treated as predeceasing the Participant for purposes of this Section.</w:t>
      </w:r>
    </w:p>
    <w:p>
      <w:pPr>
        <w:pStyle w:val="TextBody"/>
        <w:bidi w:val="0"/>
        <w:spacing w:lineRule="auto" w:line="285" w:before="0" w:after="0"/>
        <w:ind w:left="0" w:right="0" w:firstLine="720"/>
        <w:jc w:val="left"/>
        <w:rPr/>
      </w:pPr>
      <w:r>
        <w:rPr>
          <w:rFonts w:ascii="Times New Roman;Times;serif" w:hAnsi="Times New Roman;Times;serif"/>
          <w:sz w:val="24"/>
        </w:rPr>
        <w:t>The records of the Plan Administrator will be conclusive as to the proper payee and the amount payable. A distribution made based upon these facts will be treated as a complete discharge of all obligations under the Plan.</w:t>
      </w:r>
      <w:hyperlink w:anchor="footnote-6">
        <w:r>
          <w:rPr>
            <w:rStyle w:val="InternetLink"/>
            <w:rFonts w:ascii="Times New Roman;Times;serif" w:hAnsi="Times New Roman;Times;serif"/>
            <w:sz w:val="18"/>
          </w:rPr>
          <w:t>4</w:t>
        </w:r>
      </w:hyperlink>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5.6</w:t>
      </w:r>
      <w:bookmarkStart w:id="166" w:name="_Toc158971656"/>
      <w:bookmarkEnd w:id="166"/>
      <w:r>
        <w:rPr>
          <w:rFonts w:ascii="Times New Roman;Times;serif" w:hAnsi="Times New Roman;Times;serif"/>
          <w:b/>
          <w:sz w:val="24"/>
        </w:rPr>
        <w:t>Unforeseeable Emergency</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If a Participant incurs an unforeseeable emergency within the meaning of Treasury Regulation §1.409A-3(i)(3)(i), the Committee may pay the Participant some or all of the remaining balance of the Award in a lump sum in lieu of following the payment timing set forth in Section 5.3. The Committee will evaluate requests for payment due to unforeseeable emergency under the facts and circumstances of the situation. The amount of any payment made on account of an unforeseeable emergency shall not exceed the amount reasonably necessary to satisfy the financial hardship, including amounts necessary to pay any federal, state or local income taxes or penalties reasonably anticipated to result from the payment, as determined by the Committee. No early payment will be made to extent that the financial hardship can be relieved (i) through reimbursement or compensation by insurance or otherwise or (ii) by liquidation of the Participant’s assets without such liquidation itself causing a severe financial hardship.</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5.7</w:t>
      </w:r>
      <w:bookmarkStart w:id="167" w:name="_Toc158971657"/>
      <w:bookmarkStart w:id="168" w:name="_Toc289159518"/>
      <w:bookmarkStart w:id="169" w:name="_Ref209605657"/>
      <w:bookmarkStart w:id="170" w:name="_Ref209603205"/>
      <w:bookmarkEnd w:id="167"/>
      <w:bookmarkEnd w:id="168"/>
      <w:bookmarkEnd w:id="169"/>
      <w:bookmarkEnd w:id="170"/>
      <w:r>
        <w:rPr>
          <w:rFonts w:ascii="Times New Roman;Times;serif" w:hAnsi="Times New Roman;Times;serif"/>
          <w:b/>
          <w:sz w:val="24"/>
        </w:rPr>
        <w:t>Tax Withholding</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Any applicable federal, state, or local taxes shall be withheld from the benefits paid to a Participant or the Participant’s Beneficiary to the extent required by law or elected by the Participant or Beneficiary.</w:t>
      </w:r>
    </w:p>
    <w:p>
      <w:pPr>
        <w:pStyle w:val="TextBody"/>
        <w:bidi w:val="0"/>
        <w:spacing w:lineRule="auto" w:line="328" w:before="0" w:after="120"/>
        <w:ind w:left="0" w:right="0" w:hanging="0"/>
        <w:jc w:val="left"/>
        <w:rPr>
          <w:rFonts w:ascii="Times New Roman;Times;serif" w:hAnsi="Times New Roman;Times;serif"/>
          <w:sz w:val="20"/>
        </w:rPr>
      </w:pPr>
      <w:bookmarkStart w:id="171" w:name="footnote-6"/>
      <w:bookmarkEnd w:id="171"/>
      <w:r>
        <w:rPr>
          <w:rFonts w:ascii="Times New Roman;Times;serif" w:hAnsi="Times New Roman;Times;serif"/>
          <w:sz w:val="15"/>
        </w:rPr>
        <w:t>4</w:t>
      </w:r>
      <w:r>
        <w:rPr>
          <w:rFonts w:ascii="Times New Roman;Times;serif" w:hAnsi="Times New Roman;Times;serif"/>
          <w:sz w:val="20"/>
        </w:rPr>
        <w:t xml:space="preserve"> Section 5.5 restated by 2023-1 Amendment, effective January 1, 2024.</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15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720" w:right="0" w:hanging="0"/>
        <w:jc w:val="both"/>
        <w:rPr>
          <w:rFonts w:ascii="Times New Roman;Times;serif" w:hAnsi="Times New Roman;Times;serif"/>
          <w:b/>
          <w:sz w:val="24"/>
        </w:rPr>
      </w:pPr>
      <w:r>
        <w:rPr>
          <w:rFonts w:ascii="Times New Roman;Times;serif" w:hAnsi="Times New Roman;Times;serif"/>
          <w:b/>
          <w:sz w:val="24"/>
        </w:rPr>
        <w:t>5.8</w:t>
      </w:r>
      <w:bookmarkStart w:id="172" w:name="_Toc158971658"/>
      <w:bookmarkEnd w:id="172"/>
      <w:r>
        <w:rPr>
          <w:rFonts w:ascii="Times New Roman;Times;serif" w:hAnsi="Times New Roman;Times;serif"/>
          <w:b/>
          <w:sz w:val="24"/>
        </w:rPr>
        <w:t>Prohibition on Assignment and Alienation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(a)The deferred compensation payments under the Plan are not subject to assignment or alienation in any manner, and are to be exempt, to the maximum extent permitted by law, from the claims of creditors. As used in this section, the words “assignment” and “alienation” include any sale, transfer, or other disposition; any anticipation, pledge, security agreement, or other method of securing payment or performance of an obligation; any garnishment, execution, attachment, levy, or other method of satisfying a creditor’s claims.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(b)The prohibition on assignment and alienation does not apply to qualified medical child support orders within the meaning of ERISA §609(a)(2)(A).</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(c)The prohibition on assignment and alienation does not apply to claims of the Company or any Affiliate. When any amount becomes payable under the Plan, the Company may offset the amount otherwise payable by the amount of any outstanding debt, liability, or other obligation of the payee to the Company or any affiliate.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(d)The prohibition on assignment and alienation does not apply to tax withholding. No benefit or interest under the Plan is subject in any manner to anticipation, alienation, sale, transfer, assignment, pledge, encumbrance, attachment, or garnishment by creditors of a Participant or the Participant’s Beneficiary.</w:t>
      </w:r>
    </w:p>
    <w:p>
      <w:pPr>
        <w:pStyle w:val="TextBody"/>
        <w:bidi w:val="0"/>
        <w:spacing w:lineRule="auto" w:line="328" w:before="480" w:after="120"/>
        <w:ind w:left="0" w:right="0" w:hanging="0"/>
        <w:jc w:val="center"/>
        <w:rPr>
          <w:rFonts w:ascii="Times New Roman;Times;serif" w:hAnsi="Times New Roman;Times;serif"/>
          <w:b/>
          <w:sz w:val="28"/>
        </w:rPr>
      </w:pPr>
      <w:r>
        <w:rPr>
          <w:rFonts w:ascii="Times New Roman;Times;serif" w:hAnsi="Times New Roman;Times;serif"/>
          <w:b/>
          <w:sz w:val="28"/>
        </w:rPr>
        <w:t>Article 6</w:t>
      </w:r>
      <w:bookmarkStart w:id="173" w:name="_Toc289159520"/>
      <w:bookmarkStart w:id="174" w:name="_Ref124145181"/>
      <w:bookmarkEnd w:id="173"/>
      <w:bookmarkEnd w:id="174"/>
      <w:r>
        <w:rPr>
          <w:rFonts w:ascii="Times New Roman;Times;serif" w:hAnsi="Times New Roman;Times;serif"/>
          <w:b/>
          <w:sz w:val="28"/>
        </w:rPr>
        <w:t>​</w:t>
      </w:r>
      <w:r>
        <w:rPr>
          <w:rFonts w:ascii="Times New Roman;Times;serif" w:hAnsi="Times New Roman;Times;serif"/>
          <w:b/>
          <w:sz w:val="24"/>
        </w:rPr>
        <w:br/>
      </w:r>
      <w:bookmarkStart w:id="175" w:name="_Toc158971659"/>
      <w:bookmarkStart w:id="176" w:name="_Ref145227911"/>
      <w:bookmarkEnd w:id="175"/>
      <w:bookmarkEnd w:id="176"/>
      <w:r>
        <w:rPr>
          <w:rFonts w:ascii="Times New Roman;Times;serif" w:hAnsi="Times New Roman;Times;serif"/>
          <w:b/>
          <w:sz w:val="24"/>
        </w:rPr>
        <w:t>Funding</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6.1</w:t>
      </w:r>
      <w:bookmarkStart w:id="177" w:name="_Toc289159521"/>
      <w:bookmarkStart w:id="178" w:name="_Toc158971660"/>
      <w:bookmarkStart w:id="179" w:name="_Toc26364628"/>
      <w:bookmarkStart w:id="180" w:name="_Toc299289526"/>
      <w:bookmarkEnd w:id="177"/>
      <w:bookmarkEnd w:id="178"/>
      <w:bookmarkEnd w:id="179"/>
      <w:bookmarkEnd w:id="180"/>
      <w:r>
        <w:rPr>
          <w:rFonts w:ascii="Times New Roman;Times;serif" w:hAnsi="Times New Roman;Times;serif"/>
          <w:b/>
          <w:sz w:val="24"/>
        </w:rPr>
        <w:t>No Trust or Other Fiduciary Relationship</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 xml:space="preserve">The Plan does not create any trust or other fiduciary relationship of any kind with respect to the deferred compensation or any asset of the Company. The Company has complete legal and beneficial ownership of all assets attributable to deferred compensation. The right to deferred compensation under the Plan is merely an unsecured promise of the Company to pay the deferred compensation from the Company’s general assets. The Plan does not require the Company or the Committee to establish any fund or segregate any assets for the benefit of any Participant. </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6.2</w:t>
      </w:r>
      <w:bookmarkStart w:id="181" w:name="_Toc158971661"/>
      <w:bookmarkEnd w:id="181"/>
      <w:r>
        <w:rPr>
          <w:rFonts w:ascii="Times New Roman;Times;serif" w:hAnsi="Times New Roman;Times;serif"/>
          <w:b/>
          <w:sz w:val="24"/>
        </w:rPr>
        <w:t>Establishment of Trust Fund</w:t>
      </w:r>
    </w:p>
    <w:p>
      <w:pPr>
        <w:pStyle w:val="TextBody"/>
        <w:bidi w:val="0"/>
        <w:spacing w:lineRule="auto" w:line="328"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Company may enter into a trust agreement with an unrelated financial institution, as Trustee, to establish a Trust Fund to accumulate reserve of assets for the payment of benefits under the Plan, but Participants will have no interest in any such reserve (or any other assets of the Company) other than their interests as creditors with unsecured claims for payment of deferred compensation according to the terms of the Plan. If a Trust Fund is established, the Company may, but is not required to, make contributions to the Trust Fund. However, if a Change in Control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16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0" w:right="0" w:hanging="0"/>
        <w:jc w:val="both"/>
        <w:rPr>
          <w:rFonts w:ascii="Times New Roman;Times;serif" w:hAnsi="Times New Roman;Times;serif"/>
          <w:sz w:val="24"/>
        </w:rPr>
      </w:pPr>
      <w:r>
        <w:rPr>
          <w:rFonts w:ascii="Times New Roman;Times;serif" w:hAnsi="Times New Roman;Times;serif"/>
          <w:sz w:val="24"/>
        </w:rPr>
        <w:t xml:space="preserve">occurs, the Company shall establish a Trust Fund and shall contribute to the Trust Fund an amount, if any, necessary so that the assets of the Trust Fund are sufficient to pay all amounts credited to Participants’ Accounts. </w:t>
      </w:r>
    </w:p>
    <w:p>
      <w:pPr>
        <w:pStyle w:val="TextBody"/>
        <w:bidi w:val="0"/>
        <w:spacing w:lineRule="auto" w:line="328" w:before="480" w:after="120"/>
        <w:ind w:left="0" w:right="0" w:hanging="0"/>
        <w:jc w:val="center"/>
        <w:rPr>
          <w:rFonts w:ascii="Times New Roman;Times;serif" w:hAnsi="Times New Roman;Times;serif"/>
          <w:b/>
          <w:sz w:val="28"/>
        </w:rPr>
      </w:pPr>
      <w:r>
        <w:rPr>
          <w:rFonts w:ascii="Times New Roman;Times;serif" w:hAnsi="Times New Roman;Times;serif"/>
          <w:b/>
          <w:sz w:val="28"/>
        </w:rPr>
        <w:t>Article 7</w:t>
      </w:r>
      <w:bookmarkStart w:id="182" w:name="_Toc289159524"/>
      <w:bookmarkEnd w:id="182"/>
      <w:r>
        <w:rPr>
          <w:rFonts w:ascii="Times New Roman;Times;serif" w:hAnsi="Times New Roman;Times;serif"/>
          <w:b/>
          <w:sz w:val="28"/>
        </w:rPr>
        <w:t>​</w:t>
      </w:r>
      <w:r>
        <w:rPr>
          <w:rFonts w:ascii="Times New Roman;Times;serif" w:hAnsi="Times New Roman;Times;serif"/>
          <w:b/>
          <w:sz w:val="24"/>
        </w:rPr>
        <w:br/>
      </w:r>
      <w:bookmarkStart w:id="183" w:name="_Toc158971662"/>
      <w:bookmarkStart w:id="184" w:name="_Ref198533946"/>
      <w:bookmarkEnd w:id="183"/>
      <w:bookmarkEnd w:id="184"/>
      <w:r>
        <w:rPr>
          <w:rFonts w:ascii="Times New Roman;Times;serif" w:hAnsi="Times New Roman;Times;serif"/>
          <w:b/>
          <w:sz w:val="24"/>
        </w:rPr>
        <w:t>Administration</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7.1</w:t>
      </w:r>
      <w:bookmarkStart w:id="185" w:name="_Toc158971663"/>
      <w:bookmarkStart w:id="186" w:name="_Toc289159525"/>
      <w:bookmarkEnd w:id="185"/>
      <w:bookmarkEnd w:id="186"/>
      <w:r>
        <w:rPr>
          <w:rFonts w:ascii="Times New Roman;Times;serif" w:hAnsi="Times New Roman;Times;serif"/>
          <w:b/>
          <w:sz w:val="24"/>
        </w:rPr>
        <w:t>Plan Administrator</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 xml:space="preserve">The Company shall have the sole responsibility for the administration of the Plan and is designated as named fiduciary and Plan Administrator. The Plan Administrator shall have the power and duties which are described in this Article. The Administrative Committee shall carry out the functions of the Plan Administrator with respect to the day-to-day operations of the Plan. If a member of the Administrative Committee is a Participant, the member shall abstain from voting on any matter relating to the member’s benefits under the Plan. </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Administrative Committee may adopt such policies and procedures as it deems necessary, desirable, or appropriate. All policies, procedures, and decisions of the Administrative Committee will be uniformly applied to all Participants in similar circumstances. When making a determination or calculation, the Administrative Committee will be entitled to rely upon information furnished by a Participant, Beneficiary, or alternate payee, the Company, or the Company’s legal counsel.</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7.2</w:t>
      </w:r>
      <w:bookmarkStart w:id="187" w:name="_Toc158971664"/>
      <w:bookmarkStart w:id="188" w:name="_Toc289159526"/>
      <w:bookmarkEnd w:id="187"/>
      <w:bookmarkEnd w:id="188"/>
      <w:r>
        <w:rPr>
          <w:rFonts w:ascii="Times New Roman;Times;serif" w:hAnsi="Times New Roman;Times;serif"/>
          <w:b/>
          <w:sz w:val="24"/>
        </w:rPr>
        <w:t>Powers of Plan Administrator</w:t>
      </w:r>
    </w:p>
    <w:p>
      <w:pPr>
        <w:pStyle w:val="TextBody"/>
        <w:bidi w:val="0"/>
        <w:spacing w:lineRule="auto" w:line="328" w:before="0" w:after="120"/>
        <w:ind w:left="0" w:right="0" w:firstLine="720"/>
        <w:jc w:val="left"/>
        <w:rPr>
          <w:rFonts w:ascii="Times New Roman;Times;serif" w:hAnsi="Times New Roman;Times;serif"/>
          <w:sz w:val="24"/>
        </w:rPr>
      </w:pPr>
      <w:r>
        <w:rPr>
          <w:rFonts w:ascii="Times New Roman;Times;serif" w:hAnsi="Times New Roman;Times;serif"/>
          <w:sz w:val="24"/>
        </w:rPr>
        <w:t>The Plan Administrator has discretionary authority over the administration of the Plan, including the discretionary authority to—</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(a)establish rules, procedures and forms for the administration of the Plan;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(b)determine all claims for benefits and review all adverse determinations;</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(c)interpret and construe the Plan;</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(d)correct errors in the administration of the Plan, including the power to adjust payments;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(e)employ attorneys, accountants and other professional advisors to give advice regarding the operation and administration of the Plan; and</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(f)delegate administrative duties to other persons.</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Plan Adminstrator’s exercise of discretion under the Plan is absolute, need not be uniform among Participants, and may vary from one Participant to another.</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17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720" w:right="0" w:hanging="0"/>
        <w:jc w:val="both"/>
        <w:rPr>
          <w:rFonts w:ascii="Times New Roman;Times;serif" w:hAnsi="Times New Roman;Times;serif"/>
          <w:b/>
          <w:sz w:val="24"/>
        </w:rPr>
      </w:pPr>
      <w:r>
        <w:rPr>
          <w:rFonts w:ascii="Times New Roman;Times;serif" w:hAnsi="Times New Roman;Times;serif"/>
          <w:b/>
          <w:sz w:val="24"/>
        </w:rPr>
        <w:t>7.3</w:t>
      </w:r>
      <w:bookmarkStart w:id="189" w:name="_Toc158971665"/>
      <w:bookmarkEnd w:id="189"/>
      <w:r>
        <w:rPr>
          <w:rFonts w:ascii="Times New Roman;Times;serif" w:hAnsi="Times New Roman;Times;serif"/>
          <w:b/>
          <w:sz w:val="24"/>
        </w:rPr>
        <w:t>Maintenance of Records</w:t>
      </w:r>
    </w:p>
    <w:p>
      <w:pPr>
        <w:pStyle w:val="TextBody"/>
        <w:bidi w:val="0"/>
        <w:spacing w:lineRule="auto" w:line="328" w:before="0" w:after="120"/>
        <w:ind w:left="0" w:right="0" w:firstLine="720"/>
        <w:jc w:val="both"/>
        <w:rPr>
          <w:rFonts w:ascii="Times New Roman;Times;serif" w:hAnsi="Times New Roman;Times;serif"/>
          <w:sz w:val="24"/>
        </w:rPr>
      </w:pPr>
      <w:bookmarkStart w:id="190" w:name="_Toc289159528"/>
      <w:bookmarkEnd w:id="190"/>
      <w:r>
        <w:rPr>
          <w:rFonts w:ascii="Times New Roman;Times;serif" w:hAnsi="Times New Roman;Times;serif"/>
          <w:sz w:val="24"/>
        </w:rPr>
        <w:t xml:space="preserve">The Committee shall maintain records as necessary or appropriate to comply with the recordkeeping, reporting, and disclosure requirements of ERISA. The Committee shall also maintain records as necessary or appropriate to satisfy the recordkeeping requirements of the Code, including records sufficient to demonstrate compliance with the requirements Code §409A. </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7.4</w:t>
      </w:r>
      <w:bookmarkStart w:id="191" w:name="_Toc158971666"/>
      <w:bookmarkEnd w:id="191"/>
      <w:r>
        <w:rPr>
          <w:rFonts w:ascii="Times New Roman;Times;serif" w:hAnsi="Times New Roman;Times;serif"/>
          <w:b/>
          <w:sz w:val="24"/>
        </w:rPr>
        <w:t>Appeal Procedure</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Any Participant whose application for benefits under the Plan has been denied, in whole or in part, shall be given written notice of the denial of benefits by the Plan Administrator. The notice shall be in easily understood language and shall indicate the reasons for denial and the specific provisions of the Plan on which the denial is based. The notice shall explain that the Participant may request a review of the denial and the procedure for requesting review. The notice shall describe any additional information necessary to approve the Participant’s claim and explain why such information is necessary.</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Participant may make a written request to the Plan Administrator for a review of any denial of benefits under the Plan. The request for review must be in writing and must be made within 60 days after the mailing date of the notice of denial. The request shall refer to the provisions of the Plan on which it is based and shall set forth the facts relied upon as justifying a reversal or modification of the determination being appealed.</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Participant who requests a review of a denial of benefits in accordance with this appeal procedure may examine pertinent documents and submit pertinent issues and comments in writing. A Participant may have a duly authorized representative act on his behalf in exercising his right to request a review and any other rights granted by this appeal procedure. The Plan Administrator shall provide a review of the decision denying the claim for benefit within 60 days after receiving the written request for review (or 45 days, if the claim involves a determination of Disability).</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A Participant shall not be permitted to commence any legal action against the Company regarding benefits under the Plan before exhausting the appeal procedure contained in this Section.</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7.5</w:t>
      </w:r>
      <w:bookmarkStart w:id="192" w:name="_Toc158971667"/>
      <w:bookmarkStart w:id="193" w:name="_Toc289159529"/>
      <w:bookmarkEnd w:id="192"/>
      <w:bookmarkEnd w:id="193"/>
      <w:r>
        <w:rPr>
          <w:rFonts w:ascii="Times New Roman;Times;serif" w:hAnsi="Times New Roman;Times;serif"/>
          <w:b/>
          <w:sz w:val="24"/>
        </w:rPr>
        <w:t>Indemnification of Administrative Committee</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Company shall indemnify and hold harmless the members of the Administrative Committee and their duly appointed agents against any and all claims, loss, damage, expense or liability arising from any action or failure to act with respect to the Plan, except in the case of gross negligence or willful misconduct by any such member or agent of the Administrative Committee.</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18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120"/>
        <w:ind w:left="0" w:right="0" w:hanging="0"/>
        <w:jc w:val="center"/>
        <w:rPr>
          <w:rFonts w:ascii="Times New Roman;Times;serif" w:hAnsi="Times New Roman;Times;serif"/>
          <w:b/>
          <w:sz w:val="28"/>
        </w:rPr>
      </w:pPr>
      <w:r>
        <w:rPr>
          <w:rFonts w:ascii="Times New Roman;Times;serif" w:hAnsi="Times New Roman;Times;serif"/>
          <w:b/>
          <w:sz w:val="28"/>
        </w:rPr>
        <w:t>Article 8</w:t>
      </w:r>
      <w:bookmarkStart w:id="194" w:name="_Toc289159530"/>
      <w:bookmarkEnd w:id="194"/>
      <w:r>
        <w:rPr>
          <w:rFonts w:ascii="Times New Roman;Times;serif" w:hAnsi="Times New Roman;Times;serif"/>
          <w:b/>
          <w:sz w:val="28"/>
        </w:rPr>
        <w:t>​</w:t>
      </w:r>
      <w:r>
        <w:rPr>
          <w:rFonts w:ascii="Times New Roman;Times;serif" w:hAnsi="Times New Roman;Times;serif"/>
          <w:b/>
          <w:sz w:val="24"/>
        </w:rPr>
        <w:br/>
      </w:r>
      <w:bookmarkStart w:id="195" w:name="_Toc158971668"/>
      <w:bookmarkEnd w:id="195"/>
      <w:r>
        <w:rPr>
          <w:rFonts w:ascii="Times New Roman;Times;serif" w:hAnsi="Times New Roman;Times;serif"/>
          <w:b/>
          <w:sz w:val="24"/>
        </w:rPr>
        <w:t>Miscellaneous</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8.1</w:t>
      </w:r>
      <w:bookmarkStart w:id="196" w:name="_Toc158971669"/>
      <w:bookmarkStart w:id="197" w:name="_Toc289159531"/>
      <w:bookmarkEnd w:id="196"/>
      <w:bookmarkEnd w:id="197"/>
      <w:r>
        <w:rPr>
          <w:rFonts w:ascii="Times New Roman;Times;serif" w:hAnsi="Times New Roman;Times;serif"/>
          <w:b/>
          <w:sz w:val="24"/>
        </w:rPr>
        <w:t>No Employment Rights</w:t>
      </w:r>
    </w:p>
    <w:p>
      <w:pPr>
        <w:pStyle w:val="TextBody"/>
        <w:bidi w:val="0"/>
        <w:spacing w:lineRule="auto" w:line="328" w:before="0" w:after="120"/>
        <w:ind w:left="0" w:right="0" w:firstLine="720"/>
        <w:jc w:val="both"/>
        <w:rPr>
          <w:rFonts w:ascii="Times New Roman;Times;serif" w:hAnsi="Times New Roman;Times;serif"/>
          <w:sz w:val="24"/>
        </w:rPr>
      </w:pPr>
      <w:bookmarkStart w:id="198" w:name="_Toc289159532"/>
      <w:bookmarkEnd w:id="198"/>
      <w:r>
        <w:rPr>
          <w:rFonts w:ascii="Times New Roman;Times;serif" w:hAnsi="Times New Roman;Times;serif"/>
          <w:sz w:val="24"/>
        </w:rPr>
        <w:t>The Plan does not create any right to employment or restrict the Company’s right to terminate any Employee’s employment.</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8.2</w:t>
      </w:r>
      <w:bookmarkStart w:id="199" w:name="_Toc158971670"/>
      <w:bookmarkEnd w:id="199"/>
      <w:r>
        <w:rPr>
          <w:rFonts w:ascii="Times New Roman;Times;serif" w:hAnsi="Times New Roman;Times;serif"/>
          <w:b/>
          <w:sz w:val="24"/>
        </w:rPr>
        <w:t>Amendment</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Company may amend the Plan at any time, in the Company’s discretion, with or without advance notice to Employees, Participants or Beneficiaries, but no amendment will be effective unless it is set forth in writing and signed by the Chairman of the Board, by the Chief Executive Officer, Corporate Secretary or by any other person specifically authorized by the Board or the bylaws of the Company. However, no amendment shall reduce the amount credited to a Participant’s Account without the written consent of the affected Participant.</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8.3</w:t>
      </w:r>
      <w:bookmarkStart w:id="200" w:name="_Toc158971671"/>
      <w:bookmarkStart w:id="201" w:name="_Toc289159533"/>
      <w:bookmarkEnd w:id="200"/>
      <w:bookmarkEnd w:id="201"/>
      <w:r>
        <w:rPr>
          <w:rFonts w:ascii="Times New Roman;Times;serif" w:hAnsi="Times New Roman;Times;serif"/>
          <w:b/>
          <w:sz w:val="24"/>
        </w:rPr>
        <w:t>Termination</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 xml:space="preserve">The Company may terminate the Plan at any time, in the Company’s discretion, with or without advance notice to Employees, Participants or Beneficiaries. If the Plan is terminated, no additional amounts shall be credited to a Participant’s Account under Section 4.2, but the Participant’s Account shall be adjusted for the results of hypothetical investments under Section 4.3 until the Participant’s benefits are distributed to the Participant. </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Participant shall be entitled to receive the amounts credited to his Account upon satisfying the requirements for payment of benefits under the Plan. However, the Company may pay the Participant the amount credited to the Participant’s Account at any time after the Plan is terminated if the payment is permitted by Section 409A of the Code.</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8.4</w:t>
      </w:r>
      <w:bookmarkStart w:id="202" w:name="_Toc158971672"/>
      <w:bookmarkStart w:id="203" w:name="_Toc289159534"/>
      <w:bookmarkEnd w:id="202"/>
      <w:bookmarkEnd w:id="203"/>
      <w:r>
        <w:rPr>
          <w:rFonts w:ascii="Times New Roman;Times;serif" w:hAnsi="Times New Roman;Times;serif"/>
          <w:b/>
          <w:sz w:val="24"/>
        </w:rPr>
        <w:t>Severability</w:t>
      </w:r>
    </w:p>
    <w:p>
      <w:pPr>
        <w:pStyle w:val="TextBody"/>
        <w:bidi w:val="0"/>
        <w:spacing w:lineRule="auto" w:line="328" w:before="0" w:after="240"/>
        <w:ind w:left="720" w:right="0" w:hanging="0"/>
        <w:jc w:val="both"/>
        <w:rPr>
          <w:rFonts w:ascii="Times New Roman;Times;serif" w:hAnsi="Times New Roman;Times;serif"/>
          <w:sz w:val="22"/>
        </w:rPr>
      </w:pPr>
      <w:r>
        <w:rPr>
          <w:rFonts w:ascii="Times New Roman;Times;serif" w:hAnsi="Times New Roman;Times;serif"/>
          <w:sz w:val="24"/>
        </w:rPr>
        <w:t>(a)</w:t>
      </w:r>
      <w:bookmarkStart w:id="204" w:name="_Toc289159535"/>
      <w:bookmarkEnd w:id="204"/>
      <w:r>
        <w:rPr>
          <w:rFonts w:ascii="Times New Roman;Times;serif" w:hAnsi="Times New Roman;Times;serif"/>
          <w:sz w:val="24"/>
        </w:rPr>
        <w:t>The Plan will be administered so as to comply with Code §409A. If any provision of the Plan conflicts with any requirement of Code §409A, the requirement of Code §409A will control. For example, and without limiting the generality of the foregoing, a change in control event does not occur unless the event qualifies as a change in the ownership of the Company, a change in the effective control of the Company, or a change in the ownership of a substantial portion of the Company’s assets under Code §409A.</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(b)If a court determines that any provision of the Plan is unenforceable, the court may modify the provision, if possible, so as to give effect to the Plan in a way that is consistent with the purpose of the Plan and the requirements of governing law. If such a modification is not possible, the court may sever the unenforceable provision and enforce the rest of the Plan in a way that is consistent with the purpose of the Plan and the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19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requirements of governing law. </w:t>
      </w:r>
    </w:p>
    <w:p>
      <w:pPr>
        <w:pStyle w:val="TextBody"/>
        <w:bidi w:val="0"/>
        <w:spacing w:lineRule="auto" w:line="328" w:before="0" w:after="240"/>
        <w:ind w:left="720" w:right="0" w:hanging="0"/>
        <w:jc w:val="both"/>
        <w:rPr>
          <w:rFonts w:ascii="Times New Roman;Times;serif" w:hAnsi="Times New Roman;Times;serif"/>
          <w:sz w:val="24"/>
        </w:rPr>
      </w:pPr>
      <w:r>
        <w:rPr>
          <w:rFonts w:ascii="Times New Roman;Times;serif" w:hAnsi="Times New Roman;Times;serif"/>
          <w:sz w:val="24"/>
        </w:rPr>
        <w:t xml:space="preserve">(c)The Company or the Plan Administrator may apply any permissive provision of any applicable law or regulation unless the provision is contrary to the terms of the Plan. </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8.5</w:t>
      </w:r>
      <w:bookmarkStart w:id="205" w:name="_Toc158971673"/>
      <w:bookmarkEnd w:id="205"/>
      <w:r>
        <w:rPr>
          <w:rFonts w:ascii="Times New Roman;Times;serif" w:hAnsi="Times New Roman;Times;serif"/>
          <w:b/>
          <w:sz w:val="24"/>
        </w:rPr>
        <w:t>Construction</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Words used in the masculine shall apply to the feminine where applicable. Wherever the context of the Plan dictates, the plural shall be read as the singular and the singular as the plural.</w:t>
      </w:r>
    </w:p>
    <w:p>
      <w:pPr>
        <w:pStyle w:val="TextBody"/>
        <w:bidi w:val="0"/>
        <w:spacing w:lineRule="auto" w:line="328" w:before="240" w:after="120"/>
        <w:ind w:left="720" w:right="0" w:hanging="0"/>
        <w:jc w:val="both"/>
        <w:rPr>
          <w:rFonts w:ascii="Times New Roman;Times;serif" w:hAnsi="Times New Roman;Times;serif"/>
          <w:b/>
          <w:sz w:val="24"/>
        </w:rPr>
      </w:pPr>
      <w:r>
        <w:rPr>
          <w:rFonts w:ascii="Times New Roman;Times;serif" w:hAnsi="Times New Roman;Times;serif"/>
          <w:b/>
          <w:sz w:val="24"/>
        </w:rPr>
        <w:t>8.6</w:t>
      </w:r>
      <w:bookmarkStart w:id="206" w:name="_Toc158971674"/>
      <w:bookmarkStart w:id="207" w:name="_Toc289159536"/>
      <w:bookmarkEnd w:id="206"/>
      <w:bookmarkEnd w:id="207"/>
      <w:r>
        <w:rPr>
          <w:rFonts w:ascii="Times New Roman;Times;serif" w:hAnsi="Times New Roman;Times;serif"/>
          <w:b/>
          <w:sz w:val="24"/>
        </w:rPr>
        <w:t>Governing Law</w:t>
      </w:r>
    </w:p>
    <w:p>
      <w:pPr>
        <w:pStyle w:val="TextBody"/>
        <w:bidi w:val="0"/>
        <w:spacing w:lineRule="auto" w:line="328" w:before="0" w:after="120"/>
        <w:ind w:left="0" w:right="0" w:firstLine="720"/>
        <w:jc w:val="both"/>
        <w:rPr>
          <w:rFonts w:ascii="Times New Roman;Times;serif" w:hAnsi="Times New Roman;Times;serif"/>
          <w:sz w:val="24"/>
        </w:rPr>
      </w:pPr>
      <w:r>
        <w:rPr>
          <w:rFonts w:ascii="Times New Roman;Times;serif" w:hAnsi="Times New Roman;Times;serif"/>
          <w:sz w:val="24"/>
        </w:rPr>
        <w:t>The Plan is governed by the law of the State of Michigan, even if principles of Michigan law regarding conflict of laws or choice of law would otherwise require or permit a court to apply the law of another jurisdiction, except to the extent that Michigan law is preempted by the laws of the United States of America (including any common law developed by federal courts under the applicable laws of the United States).</w:t>
      </w:r>
    </w:p>
    <w:p>
      <w:pPr>
        <w:pStyle w:val="TextBody"/>
        <w:bidi w:val="0"/>
        <w:spacing w:lineRule="auto" w:line="328" w:before="0" w:after="120"/>
        <w:ind w:left="0" w:right="0" w:hanging="0"/>
        <w:jc w:val="left"/>
        <w:rPr/>
      </w:pPr>
      <w:r>
        <w:rPr/>
        <w:t>​</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20 of 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0"/>
        <w:ind w:left="0" w:right="0" w:hanging="0"/>
        <w:jc w:val="center"/>
        <w:rPr>
          <w:rFonts w:ascii="Times New Roman;Times;serif" w:hAnsi="Times New Roman;Times;serif"/>
          <w:b/>
          <w:spacing w:val="12"/>
          <w:sz w:val="24"/>
        </w:rPr>
      </w:pPr>
      <w:bookmarkStart w:id="208" w:name="_Toc158971675"/>
      <w:bookmarkStart w:id="209" w:name="_Toc42160851"/>
      <w:bookmarkStart w:id="210" w:name="_Toc42155504"/>
      <w:bookmarkStart w:id="211" w:name="_Toc289159537"/>
      <w:bookmarkEnd w:id="208"/>
      <w:bookmarkEnd w:id="209"/>
      <w:bookmarkEnd w:id="210"/>
      <w:bookmarkEnd w:id="211"/>
      <w:r>
        <w:rPr>
          <w:rFonts w:ascii="Times New Roman;Times;serif" w:hAnsi="Times New Roman;Times;serif"/>
          <w:b/>
          <w:spacing w:val="12"/>
          <w:sz w:val="24"/>
        </w:rPr>
        <w:t>Signature</w:t>
      </w:r>
    </w:p>
    <w:p>
      <w:pPr>
        <w:pStyle w:val="TextBody"/>
        <w:bidi w:val="0"/>
        <w:spacing w:lineRule="auto" w:line="328" w:before="280" w:after="120"/>
        <w:ind w:left="0" w:right="0" w:firstLine="720"/>
        <w:jc w:val="both"/>
        <w:rPr>
          <w:rFonts w:ascii="Times New Roman;Times;serif" w:hAnsi="Times New Roman;Times;serif"/>
          <w:sz w:val="24"/>
        </w:rPr>
      </w:pPr>
      <w:r>
        <w:rPr>
          <w:rFonts w:ascii="Times New Roman;Times;serif" w:hAnsi="Times New Roman;Times;serif"/>
          <w:sz w:val="24"/>
        </w:rPr>
        <w:t>The Company has signed the amended and restated UFP Industries, Inc. Deferred Compensation Plan effective as of January 1, 2020.</w:t>
      </w:r>
    </w:p>
    <w:p>
      <w:pPr>
        <w:pStyle w:val="TextBody"/>
        <w:bidi w:val="0"/>
        <w:spacing w:lineRule="auto" w:line="328" w:before="0" w:after="0"/>
        <w:ind w:left="0" w:right="0" w:firstLine="4334"/>
        <w:jc w:val="left"/>
        <w:rPr>
          <w:rFonts w:ascii="Times New Roman;Times;serif" w:hAnsi="Times New Roman;Times;serif"/>
          <w:b/>
          <w:sz w:val="24"/>
        </w:rPr>
      </w:pPr>
      <w:r>
        <w:rPr>
          <w:rFonts w:ascii="Times New Roman;Times;serif" w:hAnsi="Times New Roman;Times;serif"/>
          <w:b/>
          <w:sz w:val="24"/>
        </w:rPr>
        <w:t>UFP INDUSTRIES, INC.</w:t>
      </w:r>
    </w:p>
    <w:p>
      <w:pPr>
        <w:pStyle w:val="TextBody"/>
        <w:bidi w:val="0"/>
        <w:spacing w:lineRule="auto" w:line="328" w:before="480" w:after="0"/>
        <w:ind w:left="0" w:right="0" w:hanging="0"/>
        <w:jc w:val="both"/>
        <w:rPr>
          <w:rFonts w:ascii="Times New Roman;Times;serif" w:hAnsi="Times New Roman;Times;serif"/>
          <w:sz w:val="22"/>
        </w:rPr>
      </w:pPr>
      <w:r>
        <w:rPr>
          <w:rFonts w:ascii="Times New Roman;Times;serif" w:hAnsi="Times New Roman;Times;serif"/>
          <w:sz w:val="24"/>
        </w:rPr>
        <w:t>By</w:t>
      </w:r>
      <w:r>
        <w:rPr>
          <w:rFonts w:ascii="Times New Roman;Times;serif" w:hAnsi="Times New Roman;Times;serif"/>
          <w:sz w:val="22"/>
          <w:u w:val="single"/>
        </w:rPr>
        <w:t>​ ​​ ​</w:t>
      </w:r>
    </w:p>
    <w:p>
      <w:pPr>
        <w:pStyle w:val="TextBody"/>
        <w:bidi w:val="0"/>
        <w:spacing w:lineRule="auto" w:line="328" w:before="240" w:after="0"/>
        <w:ind w:left="0" w:right="0" w:hanging="0"/>
        <w:jc w:val="both"/>
        <w:rPr>
          <w:rFonts w:ascii="Times New Roman;Times;serif" w:hAnsi="Times New Roman;Times;serif"/>
          <w:sz w:val="22"/>
        </w:rPr>
      </w:pPr>
      <w:r>
        <w:rPr>
          <w:rFonts w:ascii="Times New Roman;Times;serif" w:hAnsi="Times New Roman;Times;serif"/>
          <w:sz w:val="24"/>
        </w:rPr>
        <w:t>Its</w:t>
      </w:r>
      <w:r>
        <w:rPr>
          <w:rFonts w:ascii="Times New Roman;Times;serif" w:hAnsi="Times New Roman;Times;serif"/>
          <w:sz w:val="22"/>
          <w:u w:val="single"/>
        </w:rPr>
        <w:t>​ ​​ ​</w:t>
      </w:r>
    </w:p>
    <w:p>
      <w:pPr>
        <w:pStyle w:val="TextBody"/>
        <w:bidi w:val="0"/>
        <w:spacing w:lineRule="auto" w:line="285" w:before="0" w:after="120"/>
        <w:ind w:left="0" w:right="0" w:hanging="0"/>
        <w:jc w:val="center"/>
        <w:rPr>
          <w:rFonts w:ascii="Times New Roman;Times;serif" w:hAnsi="Times New Roman;Times;serif"/>
          <w:sz w:val="22"/>
        </w:rPr>
      </w:pPr>
      <w:r>
        <w:rPr>
          <w:rFonts w:ascii="Times New Roman;Times;serif" w:hAnsi="Times New Roman;Times;serif"/>
          <w:sz w:val="22"/>
        </w:rPr>
        <w:t>Page 21 of 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12" w:name="ufpi-20231230xex10dd.htm"/>
      <w:bookmarkStart w:id="213" w:name="ksufpi20231230xex10dd"/>
      <w:bookmarkEnd w:id="212"/>
      <w:bookmarkEnd w:id="213"/>
      <w:r>
        <w:rPr>
          <w:rFonts w:ascii="Times New Roman;Times;serif" w:hAnsi="Times New Roman;Times;serif"/>
          <w:b/>
          <w:sz w:val="24"/>
        </w:rPr>
        <w:t>Exhibit 10(d)</w:t>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UFP INDUSTRIES,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EXECUTIVE STOCK GRANT PROGRAM</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Second Amended and Restated Effective January 1, 2023</w:t>
      </w:r>
    </w:p>
    <w:p>
      <w:pPr>
        <w:pStyle w:val="TextBody"/>
        <w:bidi w:val="0"/>
        <w:spacing w:before="0" w:after="0"/>
        <w:ind w:left="5040" w:right="0" w:hanging="0"/>
        <w:jc w:val="left"/>
        <w:rPr/>
      </w:pPr>
      <w:r>
        <w:rPr/>
        <w:t>​</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Prepared by:</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Miller, Johnson, Snell &amp; Cummiskey, P.L.C.</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250 Monroe Avenue, N.W., Suite 800</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P.O. Box 306</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Grand Rapids, MI 49501-0306</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(616) 831-1700</w:t>
      </w:r>
    </w:p>
    <w:p>
      <w:pPr>
        <w:pStyle w:val="HorizontalLine"/>
        <w:pBdr>
          <w:bottom w:val="double" w:sz="2" w:space="0" w:color="808080"/>
        </w:pBdr>
        <w:bidi w:val="0"/>
        <w:spacing w:before="0" w:after="283"/>
        <w:jc w:val="left"/>
        <w:rPr/>
      </w:pPr>
      <w:r>
        <w:rPr/>
      </w:r>
    </w:p>
    <w:p>
      <w:pPr>
        <w:pStyle w:val="TextBody"/>
        <w:bidi w:val="0"/>
        <w:spacing w:before="720" w:after="0"/>
        <w:ind w:left="0" w:right="0" w:hanging="0"/>
        <w:jc w:val="center"/>
        <w:rPr>
          <w:rFonts w:ascii="Times New Roman;Times;serif" w:hAnsi="Times New Roman;Times;serif"/>
          <w:sz w:val="24"/>
        </w:rPr>
      </w:pPr>
      <w:r>
        <w:rPr>
          <w:rFonts w:ascii="Times New Roman;Times;serif" w:hAnsi="Times New Roman;Times;serif"/>
          <w:sz w:val="24"/>
        </w:rPr>
        <w:t>INDEX</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4"/>
          <w:u w:val="single"/>
        </w:rPr>
      </w:pPr>
      <w:r>
        <w:rPr>
          <w:rFonts w:ascii="Times New Roman;Times;serif" w:hAnsi="Times New Roman;Times;serif"/>
          <w:sz w:val="24"/>
          <w:u w:val="single"/>
        </w:rPr>
        <w:t>Page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1 Establishment and Purpose</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895"/>
                <wp:effectExtent l="0" t="0" r="0" b="0"/>
                <wp:wrapNone/>
                <wp:docPr id="90" name="Frame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1.1History of the Program</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895"/>
                <wp:effectExtent l="0" t="0" r="0" b="0"/>
                <wp:wrapNone/>
                <wp:docPr id="91" name="Frame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1.2Status of Program Under ERISA</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895"/>
                <wp:effectExtent l="0" t="0" r="0" b="0"/>
                <wp:wrapNone/>
                <wp:docPr id="92" name="Frame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8.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1.3Compliance with Section 409A</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895"/>
                <wp:effectExtent l="0" t="0" r="0" b="0"/>
                <wp:wrapNone/>
                <wp:docPr id="93" name="Frame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2 Definitions</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895"/>
                <wp:effectExtent l="0" t="0" r="0" b="0"/>
                <wp:wrapNone/>
                <wp:docPr id="94" name="Frame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0.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3 Participation</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895"/>
                <wp:effectExtent l="0" t="0" r="0" b="0"/>
                <wp:wrapNone/>
                <wp:docPr id="95" name="Frame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3.1Eligibility for Participation</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895"/>
                <wp:effectExtent l="0" t="0" r="0" b="0"/>
                <wp:wrapNone/>
                <wp:docPr id="96" name="Frame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3.2Termination of Active Participation</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895"/>
                <wp:effectExtent l="0" t="0" r="0" b="0"/>
                <wp:wrapNone/>
                <wp:docPr id="97" name="Frame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4 Amounts Credited to Accounts</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895"/>
                <wp:effectExtent l="0" t="0" r="0" b="0"/>
                <wp:wrapNone/>
                <wp:docPr id="98" name="Frame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4.1Participants’ Accounts</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895"/>
                <wp:effectExtent l="0" t="0" r="0" b="0"/>
                <wp:wrapNone/>
                <wp:docPr id="99" name="Frame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4.2Amounts Credited to Participant Accounts</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895"/>
                <wp:effectExtent l="0" t="0" r="0" b="0"/>
                <wp:wrapNone/>
                <wp:docPr id="100" name="Frame1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4.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4.3Amounts Credited for Company Dividends</w:t>
      </w:r>
      <w:r>
        <w:rPr>
          <w:rFonts w:ascii="Times New Roman;Times;serif" w:hAnsi="Times New Roman;Times;serif"/>
          <w:b w:val="false"/>
          <w:i w:val="false"/>
          <w:caps w:val="false"/>
          <w:smallCaps w:val="false"/>
          <w:sz w:val="24"/>
          <w:shd w:fill="FFFFFF" w:val="clear"/>
        </w:rPr>
        <w:t>8</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895"/>
                <wp:effectExtent l="0" t="0" r="0" b="0"/>
                <wp:wrapNone/>
                <wp:docPr id="101" name="Frame1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4.4Vesting and Forfeiture</w:t>
      </w:r>
      <w:r>
        <w:rPr>
          <w:rFonts w:ascii="Times New Roman;Times;serif" w:hAnsi="Times New Roman;Times;serif"/>
          <w:b w:val="false"/>
          <w:i w:val="false"/>
          <w:caps w:val="false"/>
          <w:smallCaps w:val="false"/>
          <w:sz w:val="24"/>
          <w:shd w:fill="FFFFFF" w:val="clear"/>
        </w:rPr>
        <w:t>8</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895"/>
                <wp:effectExtent l="0" t="0" r="0" b="0"/>
                <wp:wrapNone/>
                <wp:docPr id="102" name="Frame1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4.5Voting Rights with Respect to Participant Shares</w:t>
      </w:r>
      <w:r>
        <w:rPr>
          <w:rFonts w:ascii="Times New Roman;Times;serif" w:hAnsi="Times New Roman;Times;serif"/>
          <w:b w:val="false"/>
          <w:i w:val="false"/>
          <w:caps w:val="false"/>
          <w:smallCaps w:val="false"/>
          <w:sz w:val="24"/>
          <w:shd w:fill="FFFFFF" w:val="clear"/>
        </w:rPr>
        <w:t>9</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895"/>
                <wp:effectExtent l="0" t="0" r="0" b="0"/>
                <wp:wrapNone/>
                <wp:docPr id="103" name="Frame1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5 Distribution of Benefits</w:t>
      </w:r>
      <w:r>
        <w:rPr>
          <w:rFonts w:ascii="Times New Roman;Times;serif" w:hAnsi="Times New Roman;Times;serif"/>
          <w:b w:val="false"/>
          <w:i w:val="false"/>
          <w:caps w:val="false"/>
          <w:smallCaps w:val="false"/>
          <w:sz w:val="24"/>
          <w:shd w:fill="FFFFFF" w:val="clear"/>
        </w:rPr>
        <w:t>9</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895"/>
                <wp:effectExtent l="0" t="0" r="0" b="0"/>
                <wp:wrapNone/>
                <wp:docPr id="104" name="Frame1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5.1Hardship Withdrawals</w:t>
      </w:r>
      <w:r>
        <w:rPr>
          <w:rFonts w:ascii="Times New Roman;Times;serif" w:hAnsi="Times New Roman;Times;serif"/>
          <w:b w:val="false"/>
          <w:i w:val="false"/>
          <w:caps w:val="false"/>
          <w:smallCaps w:val="false"/>
          <w:sz w:val="24"/>
          <w:shd w:fill="FFFFFF" w:val="clear"/>
        </w:rPr>
        <w:t>9</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895"/>
                <wp:effectExtent l="0" t="0" r="0" b="0"/>
                <wp:wrapNone/>
                <wp:docPr id="105" name="Frame1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5.2Forfeiture of Vested Benefits</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895"/>
                <wp:effectExtent l="0" t="0" r="0" b="0"/>
                <wp:wrapNone/>
                <wp:docPr id="106" name="Frame1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5.3Duty of Loyalty</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895"/>
                <wp:effectExtent l="0" t="0" r="0" b="0"/>
                <wp:wrapNone/>
                <wp:docPr id="107" name="Frame1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5.4Payment Timing &amp; Terms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895"/>
                <wp:effectExtent l="0" t="0" r="0" b="0"/>
                <wp:wrapNone/>
                <wp:docPr id="108" name="Frame1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6.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5.5Spendthrift Provision</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895"/>
                <wp:effectExtent l="0" t="0" r="0" b="0"/>
                <wp:wrapNone/>
                <wp:docPr id="109" name="Frame1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HorizontalLine"/>
        <w:pBdr>
          <w:bottom w:val="double" w:sz="2" w:space="0" w:color="808080"/>
        </w:pBdr>
        <w:bidi w:val="0"/>
        <w:spacing w:before="0" w:after="283"/>
        <w:jc w:val="left"/>
        <w:rPr/>
      </w:pPr>
      <w:r>
        <w:rPr/>
      </w:r>
    </w:p>
    <w:p>
      <w:pPr>
        <w:pStyle w:val="TextBody"/>
        <w:bidi w:val="0"/>
        <w:spacing w:before="720" w:after="0"/>
        <w:ind w:left="0" w:right="0" w:hanging="0"/>
        <w:jc w:val="right"/>
        <w:rPr>
          <w:rFonts w:ascii="Times New Roman;Times;serif" w:hAnsi="Times New Roman;Times;serif"/>
          <w:sz w:val="24"/>
          <w:u w:val="single"/>
        </w:rPr>
      </w:pPr>
      <w:r>
        <w:rPr>
          <w:rFonts w:ascii="Times New Roman;Times;serif" w:hAnsi="Times New Roman;Times;serif"/>
          <w:sz w:val="24"/>
          <w:u w:val="single"/>
        </w:rPr>
        <w:t>Page</w:t>
      </w:r>
    </w:p>
    <w:p>
      <w:pPr>
        <w:pStyle w:val="TextBody"/>
        <w:bidi w:val="0"/>
        <w:spacing w:before="0" w:after="0"/>
        <w:ind w:left="0" w:right="0" w:hanging="0"/>
        <w:jc w:val="right"/>
        <w:rPr/>
      </w:pPr>
      <w:r>
        <w:rPr/>
        <w: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6 Funding</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895"/>
                <wp:effectExtent l="0" t="0" r="0" b="0"/>
                <wp:wrapNone/>
                <wp:docPr id="110" name="Frame1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6.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6.1Establishment of Trust Fund</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895"/>
                <wp:effectExtent l="0" t="0" r="0" b="0"/>
                <wp:wrapNone/>
                <wp:docPr id="111" name="Frame1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6.2Status as Grantor Trust</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895"/>
                <wp:effectExtent l="0" t="0" r="0" b="0"/>
                <wp:wrapNone/>
                <wp:docPr id="112" name="Frame1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6.3Status of Participants as Unsecured Creditors</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895"/>
                <wp:effectExtent l="0" t="0" r="0" b="0"/>
                <wp:wrapNone/>
                <wp:docPr id="113" name="Frame1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7 Administration</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895"/>
                <wp:effectExtent l="0" t="0" r="0" b="0"/>
                <wp:wrapNone/>
                <wp:docPr id="114" name="Frame1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7.1Administrator</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895"/>
                <wp:effectExtent l="0" t="0" r="0" b="0"/>
                <wp:wrapNone/>
                <wp:docPr id="115" name="Frame1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7.2Powers of Administrator</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895"/>
                <wp:effectExtent l="0" t="0" r="0" b="0"/>
                <wp:wrapNone/>
                <wp:docPr id="116" name="Frame1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7.3Standard of Care</w:t>
      </w:r>
      <w:r>
        <w:rPr>
          <w:rFonts w:ascii="Times New Roman;Times;serif" w:hAnsi="Times New Roman;Times;serif"/>
          <w:b w:val="false"/>
          <w:i w:val="false"/>
          <w:caps w:val="false"/>
          <w:smallCaps w:val="false"/>
          <w:sz w:val="24"/>
          <w:shd w:fill="FFFFFF" w:val="clear"/>
        </w:rPr>
        <w:t>13</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895"/>
                <wp:effectExtent l="0" t="0" r="0" b="0"/>
                <wp:wrapNone/>
                <wp:docPr id="117" name="Frame1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7.4Appeal Procedure</w:t>
      </w:r>
      <w:r>
        <w:rPr>
          <w:rFonts w:ascii="Times New Roman;Times;serif" w:hAnsi="Times New Roman;Times;serif"/>
          <w:b w:val="false"/>
          <w:i w:val="false"/>
          <w:caps w:val="false"/>
          <w:smallCaps w:val="false"/>
          <w:sz w:val="24"/>
          <w:shd w:fill="FFFFFF" w:val="clear"/>
        </w:rPr>
        <w:t>13</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895"/>
                <wp:effectExtent l="0" t="0" r="0" b="0"/>
                <wp:wrapNone/>
                <wp:docPr id="118" name="Frame1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7.5Indemnification of Committee</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895"/>
                <wp:effectExtent l="0" t="0" r="0" b="0"/>
                <wp:wrapNone/>
                <wp:docPr id="119" name="Frame1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6.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Article 8 Miscellaneous</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895"/>
                <wp:effectExtent l="0" t="0" r="0" b="0"/>
                <wp:wrapNone/>
                <wp:docPr id="120" name="Frame1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8.1Employment Rights</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895"/>
                <wp:effectExtent l="0" t="0" r="0" b="0"/>
                <wp:wrapNone/>
                <wp:docPr id="121" name="Frame1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8.2Tax Withholding</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895"/>
                <wp:effectExtent l="0" t="0" r="0" b="0"/>
                <wp:wrapNone/>
                <wp:docPr id="122" name="Frame1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8.3409A Savings Clause &amp; Severability</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895"/>
                <wp:effectExtent l="0" t="0" r="0" b="0"/>
                <wp:wrapNone/>
                <wp:docPr id="123" name="Frame1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8.4Construction</w:t>
      </w:r>
      <w:r>
        <w:rPr>
          <w:rFonts w:ascii="Times New Roman;Times;serif" w:hAnsi="Times New Roman;Times;serif"/>
          <w:b w:val="false"/>
          <w:i w:val="false"/>
          <w:caps w:val="false"/>
          <w:smallCaps w:val="false"/>
          <w:sz w:val="24"/>
          <w:shd w:fill="FFFFFF" w:val="clear"/>
        </w:rPr>
        <w:t>15</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895"/>
                <wp:effectExtent l="0" t="0" r="0" b="0"/>
                <wp:wrapNone/>
                <wp:docPr id="124" name="Frame1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8.5Facility of Payment.</w:t>
      </w:r>
      <w:r>
        <w:rPr>
          <w:rFonts w:ascii="Times New Roman;Times;serif" w:hAnsi="Times New Roman;Times;serif"/>
          <w:b w:val="false"/>
          <w:i w:val="false"/>
          <w:caps w:val="false"/>
          <w:smallCaps w:val="false"/>
          <w:sz w:val="24"/>
          <w:shd w:fill="FFFFFF" w:val="clear"/>
        </w:rPr>
        <w:t>15</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895"/>
                <wp:effectExtent l="0" t="0" r="0" b="0"/>
                <wp:wrapNone/>
                <wp:docPr id="125" name="Frame1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8.6Amendment</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895"/>
                <wp:effectExtent l="0" t="0" r="0" b="0"/>
                <wp:wrapNone/>
                <wp:docPr id="126" name="Frame1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108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8.7Termination</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895"/>
                <wp:effectExtent l="0" t="0" r="0" b="0"/>
                <wp:wrapNone/>
                <wp:docPr id="127" name="Frame1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Signature</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895"/>
                <wp:effectExtent l="0" t="0" r="0" b="0"/>
                <wp:wrapNone/>
                <wp:docPr id="128" name="Frame1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UFP INDUSTRIES, INC.</w:t>
        <w:br/>
        <w:t>EXECUTIVE STOCK GRANT PROGRAM</w:t>
        <w:br/>
        <w:t>_________________________</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1​</w:t>
        <w:br/>
        <w:t>​</w:t>
        <w:br/>
      </w:r>
      <w:bookmarkStart w:id="214" w:name="_Toc147755279"/>
      <w:bookmarkEnd w:id="214"/>
      <w:r>
        <w:rPr>
          <w:rFonts w:ascii="Times New Roman;Times;serif" w:hAnsi="Times New Roman;Times;serif"/>
          <w:b/>
          <w:sz w:val="24"/>
        </w:rPr>
        <w:t>Establishment and Purpose</w:t>
      </w:r>
    </w:p>
    <w:tbl>
      <w:tblPr>
        <w:tblW w:w="2718" w:type="dxa"/>
        <w:jc w:val="left"/>
        <w:tblInd w:w="0" w:type="dxa"/>
        <w:tblLayout w:type="fixed"/>
        <w:tblCellMar>
          <w:top w:w="0" w:type="dxa"/>
          <w:left w:w="0" w:type="dxa"/>
          <w:bottom w:w="0" w:type="dxa"/>
          <w:right w:w="0" w:type="dxa"/>
        </w:tblCellMar>
      </w:tblPr>
      <w:tblGrid>
        <w:gridCol w:w="23"/>
        <w:gridCol w:w="320"/>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1.1</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15" w:name="_Toc147755280"/>
            <w:bookmarkEnd w:id="215"/>
            <w:r>
              <w:rPr>
                <w:rFonts w:ascii="Times New Roman;Times;serif" w:hAnsi="Times New Roman;Times;serif"/>
                <w:b/>
                <w:i w:val="false"/>
                <w:caps w:val="false"/>
                <w:smallCaps w:val="false"/>
                <w:sz w:val="24"/>
              </w:rPr>
              <w:t>History of the Program</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Company established this Executive Stock Grant Program (the "Program") under Article 10 of the Company’s Long Term Stock Incentive Plan, as amended and restated (the "Plan").  The Program became effective on January 1, 2009, was amended from time to time thereafter, was amended and restated effective as of January 1, 2020, and is further amended and restated as of January 1, 2023.  Except as otherwise provided herein, the Program shall be administered in accordance and subject to the terms of the Plan, and the Shares subject to Awards under this Program shall be granted under the Plan.  </w:t>
      </w:r>
    </w:p>
    <w:tbl>
      <w:tblPr>
        <w:tblW w:w="3753" w:type="dxa"/>
        <w:jc w:val="left"/>
        <w:tblInd w:w="0" w:type="dxa"/>
        <w:tblLayout w:type="fixed"/>
        <w:tblCellMar>
          <w:top w:w="0" w:type="dxa"/>
          <w:left w:w="0" w:type="dxa"/>
          <w:bottom w:w="0" w:type="dxa"/>
          <w:right w:w="0" w:type="dxa"/>
        </w:tblCellMar>
      </w:tblPr>
      <w:tblGrid>
        <w:gridCol w:w="23"/>
        <w:gridCol w:w="32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1.2</w:t>
            </w:r>
          </w:p>
        </w:tc>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16" w:name="_Toc147755281"/>
            <w:bookmarkEnd w:id="216"/>
            <w:r>
              <w:rPr>
                <w:rFonts w:ascii="Times New Roman;Times;serif" w:hAnsi="Times New Roman;Times;serif"/>
                <w:b/>
                <w:i w:val="false"/>
                <w:caps w:val="false"/>
                <w:smallCaps w:val="false"/>
                <w:sz w:val="24"/>
              </w:rPr>
              <w:t>Status of Program Under ERISA</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Program is intended to be "unfunded," terminable by the Company, and maintained "primarily for the purpose of providing deferred compensation for a select group of management or highly compensated employees" for purposes of ERISA.  Accordingly, the Program is not intended to be covered by Parts 2 through 4 of Subtitle B of Title I of ERISA.  </w:t>
      </w:r>
    </w:p>
    <w:tbl>
      <w:tblPr>
        <w:tblW w:w="3483" w:type="dxa"/>
        <w:jc w:val="left"/>
        <w:tblInd w:w="0" w:type="dxa"/>
        <w:tblLayout w:type="fixed"/>
        <w:tblCellMar>
          <w:top w:w="0" w:type="dxa"/>
          <w:left w:w="0" w:type="dxa"/>
          <w:bottom w:w="0" w:type="dxa"/>
          <w:right w:w="0" w:type="dxa"/>
        </w:tblCellMar>
      </w:tblPr>
      <w:tblGrid>
        <w:gridCol w:w="23"/>
        <w:gridCol w:w="32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1.3</w:t>
            </w:r>
          </w:p>
        </w:tc>
        <w:tc>
          <w:tcPr>
            <w:tcW w:w="314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17" w:name="_Toc147755282"/>
            <w:bookmarkEnd w:id="217"/>
            <w:r>
              <w:rPr>
                <w:rFonts w:ascii="Times New Roman;Times;serif" w:hAnsi="Times New Roman;Times;serif"/>
                <w:b/>
                <w:i w:val="false"/>
                <w:caps w:val="false"/>
                <w:smallCaps w:val="false"/>
                <w:sz w:val="24"/>
              </w:rPr>
              <w:t>Compliance with Section 409A</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To the extent the Program provides deferred compensation under Section 409A of the Code, the Program is intended to comply with Section 409A.  The Program is intended to be interpreted consistent with the requirements of Section 409A of the Code.</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2​</w:t>
        <w:br/>
        <w:t>​</w:t>
        <w:br/>
      </w:r>
      <w:bookmarkStart w:id="218" w:name="_Toc147755283"/>
      <w:bookmarkEnd w:id="218"/>
      <w:r>
        <w:rPr>
          <w:rFonts w:ascii="Times New Roman;Times;serif" w:hAnsi="Times New Roman;Times;serif"/>
          <w:b/>
          <w:sz w:val="24"/>
        </w:rPr>
        <w:t>Definitions</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following terms shall have the meanings described in this Article unless the context clearly indicates another meaning.  All other defined terms shall have the meanings set forth in the Program.</w:t>
      </w:r>
    </w:p>
    <w:tbl>
      <w:tblPr>
        <w:tblW w:w="1308" w:type="dxa"/>
        <w:jc w:val="left"/>
        <w:tblInd w:w="0" w:type="dxa"/>
        <w:tblLayout w:type="fixed"/>
        <w:tblCellMar>
          <w:top w:w="0" w:type="dxa"/>
          <w:left w:w="0" w:type="dxa"/>
          <w:bottom w:w="0" w:type="dxa"/>
          <w:right w:w="0" w:type="dxa"/>
        </w:tblCellMar>
      </w:tblPr>
      <w:tblGrid>
        <w:gridCol w:w="23"/>
        <w:gridCol w:w="320"/>
        <w:gridCol w:w="9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w:t>
            </w:r>
          </w:p>
        </w:tc>
        <w:tc>
          <w:tcPr>
            <w:tcW w:w="96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Accounts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"Accounts" means the bookkeeping records of the Participants’ benefits under the terms of the Program.  </w:t>
      </w:r>
    </w:p>
    <w:tbl>
      <w:tblPr>
        <w:tblW w:w="1818" w:type="dxa"/>
        <w:jc w:val="left"/>
        <w:tblInd w:w="0" w:type="dxa"/>
        <w:tblLayout w:type="fixed"/>
        <w:tblCellMar>
          <w:top w:w="0" w:type="dxa"/>
          <w:left w:w="0" w:type="dxa"/>
          <w:bottom w:w="0" w:type="dxa"/>
          <w:right w:w="0" w:type="dxa"/>
        </w:tblCellMar>
      </w:tblPr>
      <w:tblGrid>
        <w:gridCol w:w="23"/>
        <w:gridCol w:w="320"/>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w:t>
            </w:r>
          </w:p>
        </w:tc>
        <w:tc>
          <w:tcPr>
            <w:tcW w:w="14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Administrator</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"Administrator" means the fiduciary responsible for the operation and administration of the Program as provided in Article 7.  The Company shall be the Administrator.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518" w:type="dxa"/>
        <w:jc w:val="left"/>
        <w:tblInd w:w="0" w:type="dxa"/>
        <w:tblLayout w:type="fixed"/>
        <w:tblCellMar>
          <w:top w:w="0" w:type="dxa"/>
          <w:left w:w="0" w:type="dxa"/>
          <w:bottom w:w="0" w:type="dxa"/>
          <w:right w:w="0" w:type="dxa"/>
        </w:tblCellMar>
      </w:tblPr>
      <w:tblGrid>
        <w:gridCol w:w="23"/>
        <w:gridCol w:w="320"/>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2.3</w:t>
            </w:r>
          </w:p>
        </w:tc>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19" w:name="_Ref287966297"/>
            <w:bookmarkEnd w:id="219"/>
            <w:r>
              <w:rPr>
                <w:rFonts w:ascii="Times New Roman;Times;serif" w:hAnsi="Times New Roman;Times;serif"/>
                <w:b/>
                <w:i w:val="false"/>
                <w:caps w:val="false"/>
                <w:smallCaps w:val="false"/>
                <w:sz w:val="24"/>
              </w:rPr>
              <w:t>Beneficiary</w:t>
            </w:r>
          </w:p>
        </w:tc>
      </w:tr>
    </w:tbl>
    <w:p>
      <w:pPr>
        <w:pStyle w:val="TextBody"/>
        <w:bidi w:val="0"/>
        <w:spacing w:before="0" w:after="240"/>
        <w:ind w:left="720" w:right="0" w:firstLine="1440"/>
        <w:jc w:val="both"/>
        <w:rPr/>
      </w:pPr>
      <w:r>
        <w:rPr/>
        <w:t>“</w:t>
      </w:r>
      <w:r>
        <w:rPr>
          <w:rFonts w:ascii="Times New Roman;Times;serif" w:hAnsi="Times New Roman;Times;serif"/>
          <w:sz w:val="24"/>
        </w:rPr>
        <w:t xml:space="preserve">Beneficiary” means the beneficiary designated in writing by the Participant to receive benefits from the Program in the event of the Participant’s death. The Beneficiary shall be designated on a form provided by the Administrator, and the Participant may change the Beneficiary designation at any time by signing and delivering a new form to the Administrator.  A beneficiary designation will become effective upon receipt by the Administrator, but only if received before the Participant’s death. </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sz w:val="24"/>
        </w:rPr>
        <w:t>A trust may be designated as a Beneficiary.  If this occurs, the Administrator will determine the rights of any trustee designated as a Beneficiary without responsibility for determining the validity, existence or provisions of that trust, and will have no responsibility for the use of amounts paid to that trustee or for the discharge of the trust.</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sz w:val="24"/>
        </w:rPr>
        <w:t>If a Participant designates the Participant’s spouse as Beneficiary and the Participant and spouse are subsequently divorced, the judgment of divorce will be considered to revoke the prior Beneficiary designation of the spouse.</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sz w:val="24"/>
        </w:rPr>
        <w:t>The rules of this Section 2.3 apply unless provided otherwise in a Participant’s Beneficiary designation form.  If a Participant designates one primary Beneficiary and the Beneficiary dies after the Participant but before benefit payments are completed, any remaining benefits will be payable to the secondary Beneficiary.  If a Participant fails to designate a secondary Beneficiary, or if no secondary Beneficiary survives the primary Beneficiary, any remaining benefits will be payable to the deceased primary Beneficiary’s heirs in the manner described below.  If a Participant designates more than one primary Beneficiary or more than one secondary Beneficiary and a Beneficiary dies before benefit payments are made, the Shares payable to the deceased Beneficiary will be paid to the deceased Beneficiary’s heirs in the manner described below as if the Beneficiary was the Participant.</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sz w:val="24"/>
        </w:rPr>
        <w:t>If a Participant fails to designate a Beneficiary, or if no designated Beneficiary survives a Participant, distribution will be made in equal shares to the members of the first of the classes listed below having a living member on the date the distribution is payable.  The classes, in order of priority, are as follows:</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sz w:val="24"/>
        </w:rPr>
        <w:t>The Participant’s spouse;</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sz w:val="24"/>
        </w:rPr>
        <w:t>The Participant’s children (natural, legally adopted or children placed for adoption) or their then-living issue, by right of representation;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sz w:val="24"/>
        </w:rPr>
        <w:t>The Participant’s estate, if the estate is under active administration.  If the Participant’s estate is not under active administration, the legal heirs of the Participant under the intestacy laws of the Participant’s state of residence on the date of the Participant’s death.</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sz w:val="24"/>
        </w:rPr>
        <w:t>A Beneficiary is permitted to disclaim the Beneficiary’s rights to a death benefit under the Program to the extent permitted by applicable law.  If this occurs, the Beneficiary will be treated as predeceasing the Participant for purposes of this Section.</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records of the Administrator will be conclusive as to the proper payee and the amount payable.  A distribution made based upon these facts will be treated as a complete discharge of all obligations under the Program.</w:t>
      </w:r>
    </w:p>
    <w:tbl>
      <w:tblPr>
        <w:tblW w:w="2268" w:type="dxa"/>
        <w:jc w:val="left"/>
        <w:tblInd w:w="0" w:type="dxa"/>
        <w:tblLayout w:type="fixed"/>
        <w:tblCellMar>
          <w:top w:w="0" w:type="dxa"/>
          <w:left w:w="0" w:type="dxa"/>
          <w:bottom w:w="0" w:type="dxa"/>
          <w:right w:w="0" w:type="dxa"/>
        </w:tblCellMar>
      </w:tblPr>
      <w:tblGrid>
        <w:gridCol w:w="23"/>
        <w:gridCol w:w="32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2.4</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Change in Control</w:t>
            </w:r>
          </w:p>
        </w:tc>
      </w:tr>
    </w:tbl>
    <w:p>
      <w:pPr>
        <w:pStyle w:val="TextBody"/>
        <w:bidi w:val="0"/>
        <w:spacing w:before="0" w:after="240"/>
        <w:ind w:left="0" w:right="0" w:firstLine="1440"/>
        <w:jc w:val="both"/>
        <w:rPr>
          <w:rFonts w:ascii="Times New Roman;Times;serif" w:hAnsi="Times New Roman;Times;serif"/>
          <w:b w:val="false"/>
          <w:sz w:val="24"/>
        </w:rPr>
      </w:pPr>
      <w:r>
        <w:rPr>
          <w:rFonts w:ascii="Times New Roman;Times;serif" w:hAnsi="Times New Roman;Times;serif"/>
          <w:b w:val="false"/>
          <w:sz w:val="24"/>
        </w:rPr>
        <w:t>"Change in Control" means any of the following but only to the extent that such events meet the requirements of Treas. Reg. §1.409A-3(i)(5), or any successor provisions: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The sale of 40% or more of the material operating assets of the Company to a person or entity not affiliated with the Company prior to such sale;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The acquisition of stock of the Company possessing more than 30% of the total voting power of the stock of the Company, by a person, entity or group of people or entities acting as a group for voting or control purposes;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The replacement of a majority of the members of the Board during a twelve (12) consecutive month period by persons whose appointment or election was not endorsed by a majority of the Board immediately prior to such appointments or elections.</w:t>
      </w:r>
    </w:p>
    <w:tbl>
      <w:tblPr>
        <w:tblW w:w="1713" w:type="dxa"/>
        <w:jc w:val="left"/>
        <w:tblInd w:w="0" w:type="dxa"/>
        <w:tblLayout w:type="fixed"/>
        <w:tblCellMar>
          <w:top w:w="0" w:type="dxa"/>
          <w:left w:w="0" w:type="dxa"/>
          <w:bottom w:w="0" w:type="dxa"/>
          <w:right w:w="0" w:type="dxa"/>
        </w:tblCellMar>
      </w:tblPr>
      <w:tblGrid>
        <w:gridCol w:w="23"/>
        <w:gridCol w:w="320"/>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2.5</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Closing Price</w:t>
            </w:r>
          </w:p>
        </w:tc>
      </w:tr>
    </w:tbl>
    <w:p>
      <w:pPr>
        <w:pStyle w:val="TextBody"/>
        <w:bidi w:val="0"/>
        <w:spacing w:before="0" w:after="240"/>
        <w:ind w:left="0" w:right="0" w:firstLine="720"/>
        <w:jc w:val="both"/>
        <w:rPr>
          <w:rFonts w:ascii="Times New Roman;Times;serif" w:hAnsi="Times New Roman;Times;serif"/>
          <w:b w:val="false"/>
          <w:sz w:val="24"/>
        </w:rPr>
      </w:pPr>
      <w:r>
        <w:rPr>
          <w:rFonts w:ascii="Times New Roman;Times;serif" w:hAnsi="Times New Roman;Times;serif"/>
          <w:b w:val="false"/>
          <w:sz w:val="24"/>
        </w:rPr>
        <w:t>"Closing Price" shall mean the Nasdaq Official Close Price as reported on the NASDAQ Exchange.</w:t>
      </w:r>
    </w:p>
    <w:tbl>
      <w:tblPr>
        <w:tblW w:w="1473" w:type="dxa"/>
        <w:jc w:val="left"/>
        <w:tblInd w:w="0" w:type="dxa"/>
        <w:tblLayout w:type="fixed"/>
        <w:tblCellMar>
          <w:top w:w="0" w:type="dxa"/>
          <w:left w:w="0" w:type="dxa"/>
          <w:bottom w:w="0" w:type="dxa"/>
          <w:right w:w="0" w:type="dxa"/>
        </w:tblCellMar>
      </w:tblPr>
      <w:tblGrid>
        <w:gridCol w:w="23"/>
        <w:gridCol w:w="320"/>
        <w:gridCol w:w="11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2.6</w:t>
            </w:r>
          </w:p>
        </w:tc>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Committee</w:t>
            </w:r>
          </w:p>
        </w:tc>
      </w:tr>
    </w:tbl>
    <w:p>
      <w:pPr>
        <w:pStyle w:val="TextBody"/>
        <w:bidi w:val="0"/>
        <w:spacing w:before="0" w:after="240"/>
        <w:ind w:left="0" w:right="0" w:firstLine="1440"/>
        <w:jc w:val="both"/>
        <w:rPr>
          <w:rFonts w:ascii="Times New Roman;Times;serif" w:hAnsi="Times New Roman;Times;serif"/>
          <w:b w:val="false"/>
          <w:sz w:val="24"/>
        </w:rPr>
      </w:pPr>
      <w:r>
        <w:rPr>
          <w:rFonts w:ascii="Times New Roman;Times;serif" w:hAnsi="Times New Roman;Times;serif"/>
          <w:b w:val="false"/>
          <w:sz w:val="24"/>
        </w:rPr>
        <w:t xml:space="preserve">"Committee" shall mean the Committee of the Board of Directors of the Company designated in the Plan to administer such Plan, as such term is defined in the Plan. </w:t>
      </w:r>
    </w:p>
    <w:tbl>
      <w:tblPr>
        <w:tblW w:w="1428" w:type="dxa"/>
        <w:jc w:val="left"/>
        <w:tblInd w:w="0" w:type="dxa"/>
        <w:tblLayout w:type="fixed"/>
        <w:tblCellMar>
          <w:top w:w="0" w:type="dxa"/>
          <w:left w:w="0" w:type="dxa"/>
          <w:bottom w:w="0" w:type="dxa"/>
          <w:right w:w="0" w:type="dxa"/>
        </w:tblCellMar>
      </w:tblPr>
      <w:tblGrid>
        <w:gridCol w:w="23"/>
        <w:gridCol w:w="320"/>
        <w:gridCol w:w="108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2.7</w:t>
            </w:r>
          </w:p>
        </w:tc>
        <w:tc>
          <w:tcPr>
            <w:tcW w:w="10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Company </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"Company" means UFP Industries, Inc.</w:t>
      </w:r>
    </w:p>
    <w:tbl>
      <w:tblPr>
        <w:tblW w:w="3393" w:type="dxa"/>
        <w:jc w:val="left"/>
        <w:tblInd w:w="0" w:type="dxa"/>
        <w:tblLayout w:type="fixed"/>
        <w:tblCellMar>
          <w:top w:w="0" w:type="dxa"/>
          <w:left w:w="0" w:type="dxa"/>
          <w:bottom w:w="0" w:type="dxa"/>
          <w:right w:w="0" w:type="dxa"/>
        </w:tblCellMar>
      </w:tblPr>
      <w:tblGrid>
        <w:gridCol w:w="23"/>
        <w:gridCol w:w="320"/>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2.8</w:t>
            </w:r>
          </w:p>
        </w:tc>
        <w:tc>
          <w:tcPr>
            <w:tcW w:w="30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Deferred Compensation Plan </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"Deferred Compensation Plan" means the UFP Industries, Inc. Deferred Compensation Plan, as amended and restated effective January 1, 2020 and as may be amended.</w:t>
      </w:r>
    </w:p>
    <w:tbl>
      <w:tblPr>
        <w:tblW w:w="2568" w:type="dxa"/>
        <w:jc w:val="left"/>
        <w:tblInd w:w="0" w:type="dxa"/>
        <w:tblLayout w:type="fixed"/>
        <w:tblCellMar>
          <w:top w:w="0" w:type="dxa"/>
          <w:left w:w="0" w:type="dxa"/>
          <w:bottom w:w="0" w:type="dxa"/>
          <w:right w:w="0" w:type="dxa"/>
        </w:tblCellMar>
      </w:tblPr>
      <w:tblGrid>
        <w:gridCol w:w="23"/>
        <w:gridCol w:w="32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2.9</w:t>
            </w:r>
          </w:p>
        </w:tc>
        <w:tc>
          <w:tcPr>
            <w:tcW w:w="222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Determination Period</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"Determination Period" means with respect to a Participant who has a Separation from Service between January 1 and March 31, the second Year preceding the Year during which the Separation from Service occurred.  If the Participant has a Separation from Service between April 1 and December 31, the Determination Period is the preceding Plan Year.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478" w:type="dxa"/>
        <w:jc w:val="left"/>
        <w:tblInd w:w="0" w:type="dxa"/>
        <w:tblLayout w:type="fixed"/>
        <w:tblCellMar>
          <w:top w:w="0" w:type="dxa"/>
          <w:left w:w="0" w:type="dxa"/>
          <w:bottom w:w="0" w:type="dxa"/>
          <w:right w:w="0" w:type="dxa"/>
        </w:tblCellMar>
      </w:tblPr>
      <w:tblGrid>
        <w:gridCol w:w="23"/>
        <w:gridCol w:w="44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2.10</w:t>
            </w:r>
          </w:p>
        </w:tc>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Distributable Event</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"Distributable Event" means the earliest of the following to occur  with respect to a Participant: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The Participant has a Separation from Service;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 xml:space="preserve">The Participant dies while employed by the Company;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The Participant incurs a Total Disability;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A Change in Control occurs.</w:t>
      </w:r>
    </w:p>
    <w:tbl>
      <w:tblPr>
        <w:tblW w:w="1548" w:type="dxa"/>
        <w:jc w:val="left"/>
        <w:tblInd w:w="0" w:type="dxa"/>
        <w:tblLayout w:type="fixed"/>
        <w:tblCellMar>
          <w:top w:w="0" w:type="dxa"/>
          <w:left w:w="0" w:type="dxa"/>
          <w:bottom w:w="0" w:type="dxa"/>
          <w:right w:w="0" w:type="dxa"/>
        </w:tblCellMar>
      </w:tblPr>
      <w:tblGrid>
        <w:gridCol w:w="23"/>
        <w:gridCol w:w="440"/>
        <w:gridCol w:w="108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2.11</w:t>
            </w:r>
          </w:p>
        </w:tc>
        <w:tc>
          <w:tcPr>
            <w:tcW w:w="10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Employee </w:t>
            </w:r>
          </w:p>
        </w:tc>
      </w:tr>
    </w:tbl>
    <w:p>
      <w:pPr>
        <w:pStyle w:val="TextBody"/>
        <w:bidi w:val="0"/>
        <w:spacing w:before="0" w:after="240"/>
        <w:ind w:left="0" w:right="0" w:firstLine="1440"/>
        <w:jc w:val="both"/>
        <w:rPr>
          <w:rFonts w:ascii="Times New Roman;Times;serif" w:hAnsi="Times New Roman;Times;serif"/>
          <w:b w:val="false"/>
          <w:sz w:val="24"/>
        </w:rPr>
      </w:pPr>
      <w:r>
        <w:rPr>
          <w:rFonts w:ascii="Times New Roman;Times;serif" w:hAnsi="Times New Roman;Times;serif"/>
          <w:b w:val="false"/>
          <w:sz w:val="24"/>
        </w:rPr>
        <w:t xml:space="preserve">"Employee" means a common-law employee of the Company or a Subsidiary.  An individual who is treated as an independent contractor by the Company or Subsidiary is not an Employee. </w:t>
      </w:r>
    </w:p>
    <w:tbl>
      <w:tblPr>
        <w:tblW w:w="1233" w:type="dxa"/>
        <w:jc w:val="left"/>
        <w:tblInd w:w="0" w:type="dxa"/>
        <w:tblLayout w:type="fixed"/>
        <w:tblCellMar>
          <w:top w:w="0" w:type="dxa"/>
          <w:left w:w="0" w:type="dxa"/>
          <w:bottom w:w="0" w:type="dxa"/>
          <w:right w:w="0" w:type="dxa"/>
        </w:tblCellMar>
      </w:tblPr>
      <w:tblGrid>
        <w:gridCol w:w="23"/>
        <w:gridCol w:w="440"/>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2.12</w:t>
            </w:r>
          </w:p>
        </w:tc>
        <w:tc>
          <w:tcPr>
            <w:tcW w:w="7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ERISA</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"ERISA" means the Employee Retirement Income Security Act of 1974, as amended.</w:t>
      </w:r>
    </w:p>
    <w:tbl>
      <w:tblPr>
        <w:tblW w:w="2313" w:type="dxa"/>
        <w:jc w:val="left"/>
        <w:tblInd w:w="0" w:type="dxa"/>
        <w:tblLayout w:type="fixed"/>
        <w:tblCellMar>
          <w:top w:w="0" w:type="dxa"/>
          <w:left w:w="0" w:type="dxa"/>
          <w:bottom w:w="0" w:type="dxa"/>
          <w:right w:w="0" w:type="dxa"/>
        </w:tblCellMar>
      </w:tblPr>
      <w:tblGrid>
        <w:gridCol w:w="23"/>
        <w:gridCol w:w="440"/>
        <w:gridCol w:w="185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2.13</w:t>
            </w:r>
          </w:p>
        </w:tc>
        <w:tc>
          <w:tcPr>
            <w:tcW w:w="18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Gross Misconduct</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"Gross Misconduct" means one or more of the following:</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Embezzlement or theft from the Company or any Subsidiary;</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An unauthorized disclosure of the trade secrets or other proprietary information of the Company or a Subsidiary; or</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A breach of the duty of loyalty described in Section 5.3.</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definition of "Gross Misconduct" is relevant only for purposes of the forfeiture provisions in Section 5.2 and does not change the status of a Participant as an "employee at will."</w:t>
      </w:r>
    </w:p>
    <w:tbl>
      <w:tblPr>
        <w:tblW w:w="1953" w:type="dxa"/>
        <w:jc w:val="left"/>
        <w:tblInd w:w="0" w:type="dxa"/>
        <w:tblLayout w:type="fixed"/>
        <w:tblCellMar>
          <w:top w:w="0" w:type="dxa"/>
          <w:left w:w="0" w:type="dxa"/>
          <w:bottom w:w="0" w:type="dxa"/>
          <w:right w:w="0" w:type="dxa"/>
        </w:tblCellMar>
      </w:tblPr>
      <w:tblGrid>
        <w:gridCol w:w="23"/>
        <w:gridCol w:w="44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2.14</w:t>
            </w:r>
          </w:p>
        </w:tc>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Key Employee</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"Key Employee" means any employee of the Company or a Subsidiary who at any time during the Determination Period was a "specified employee" within the meaning of Treas. Reg. §1.409A-1(i), or any successor provision, and may include.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An officer of the Company or a Subsidiary whose annual compensation from the Company and any Subsidiary is more than $150,000 (as adjusted under Section 416(i)(1) of the Code for Years beginning after December 31, 2008);</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A person having more than a 5% ownership interest in the Company or a Subsidiary;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A person having more than a 1% ownership interest in the Company or a Subsidiary, and whose annual Compensation from the Company and all Subsidiaries is more than $150,000.</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determination of who is a Key Employee shall be made in accordance with Sections 409A and 416(i)(1) of the Code and the applicable regulations and guidance.</w:t>
      </w:r>
    </w:p>
    <w:tbl>
      <w:tblPr>
        <w:tblW w:w="1623" w:type="dxa"/>
        <w:jc w:val="left"/>
        <w:tblInd w:w="0" w:type="dxa"/>
        <w:tblLayout w:type="fixed"/>
        <w:tblCellMar>
          <w:top w:w="0" w:type="dxa"/>
          <w:left w:w="0" w:type="dxa"/>
          <w:bottom w:w="0" w:type="dxa"/>
          <w:right w:w="0" w:type="dxa"/>
        </w:tblCellMar>
      </w:tblPr>
      <w:tblGrid>
        <w:gridCol w:w="23"/>
        <w:gridCol w:w="440"/>
        <w:gridCol w:w="11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2.15</w:t>
            </w:r>
          </w:p>
        </w:tc>
        <w:tc>
          <w:tcPr>
            <w:tcW w:w="11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Participant</w:t>
            </w:r>
          </w:p>
        </w:tc>
      </w:tr>
    </w:tbl>
    <w:p>
      <w:pPr>
        <w:pStyle w:val="TextBody"/>
        <w:bidi w:val="0"/>
        <w:spacing w:before="0" w:after="240"/>
        <w:ind w:left="0" w:right="0" w:firstLine="1440"/>
        <w:jc w:val="both"/>
        <w:rPr>
          <w:rFonts w:ascii="Times New Roman;Times;serif" w:hAnsi="Times New Roman;Times;serif"/>
          <w:b/>
          <w:sz w:val="24"/>
        </w:rPr>
      </w:pPr>
      <w:r>
        <w:rPr>
          <w:rFonts w:ascii="Times New Roman;Times;serif" w:hAnsi="Times New Roman;Times;serif"/>
          <w:b w:val="false"/>
          <w:sz w:val="24"/>
        </w:rPr>
        <w:t>"Participant" means an Employee or former Employee of the Company or a Subsidiary who has met the requirements for participation under the terms of Article 3</w:t>
      </w:r>
      <w:r>
        <w:rPr>
          <w:rFonts w:ascii="Times New Roman;Times;serif" w:hAnsi="Times New Roman;Times;serif"/>
          <w:b/>
          <w:sz w:val="24"/>
        </w:rPr>
        <w:t xml:space="preserve"> </w:t>
      </w:r>
      <w:r>
        <w:rPr>
          <w:rFonts w:ascii="Times New Roman;Times;serif" w:hAnsi="Times New Roman;Times;serif"/>
          <w:b w:val="false"/>
          <w:sz w:val="24"/>
        </w:rPr>
        <w:t xml:space="preserve">of this Program and who is or may become eligible to receive benefits under this Program. </w:t>
      </w:r>
    </w:p>
    <w:tbl>
      <w:tblPr>
        <w:tblW w:w="2373" w:type="dxa"/>
        <w:jc w:val="left"/>
        <w:tblInd w:w="0" w:type="dxa"/>
        <w:tblLayout w:type="fixed"/>
        <w:tblCellMar>
          <w:top w:w="0" w:type="dxa"/>
          <w:left w:w="0" w:type="dxa"/>
          <w:bottom w:w="0" w:type="dxa"/>
          <w:right w:w="0" w:type="dxa"/>
        </w:tblCellMar>
      </w:tblPr>
      <w:tblGrid>
        <w:gridCol w:w="23"/>
        <w:gridCol w:w="44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2.16</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Participant Shares</w:t>
            </w:r>
          </w:p>
        </w:tc>
      </w:tr>
    </w:tbl>
    <w:p>
      <w:pPr>
        <w:pStyle w:val="TextBody"/>
        <w:bidi w:val="0"/>
        <w:spacing w:before="0" w:after="240"/>
        <w:ind w:left="0" w:right="0" w:firstLine="1440"/>
        <w:jc w:val="both"/>
        <w:rPr>
          <w:rFonts w:ascii="Times New Roman;Times;serif" w:hAnsi="Times New Roman;Times;serif"/>
          <w:b/>
          <w:sz w:val="24"/>
        </w:rPr>
      </w:pPr>
      <w:r>
        <w:rPr>
          <w:rFonts w:ascii="Times New Roman;Times;serif" w:hAnsi="Times New Roman;Times;serif"/>
          <w:b w:val="false"/>
          <w:sz w:val="24"/>
        </w:rPr>
        <w:t>"Participant Shares" means the Shares awarded to a Participant pursuant to Sections 4.2</w:t>
      </w:r>
      <w:r>
        <w:rPr>
          <w:rFonts w:ascii="Times New Roman;Times;serif" w:hAnsi="Times New Roman;Times;serif"/>
          <w:b/>
          <w:sz w:val="24"/>
        </w:rPr>
        <w:t xml:space="preserve"> </w:t>
      </w:r>
      <w:r>
        <w:rPr>
          <w:rFonts w:ascii="Times New Roman;Times;serif" w:hAnsi="Times New Roman;Times;serif"/>
          <w:b w:val="false"/>
          <w:sz w:val="24"/>
        </w:rPr>
        <w:t>and 4.3</w:t>
      </w:r>
      <w:r>
        <w:rPr>
          <w:rFonts w:ascii="Times New Roman;Times;serif" w:hAnsi="Times New Roman;Times;serif"/>
          <w:b/>
          <w:sz w:val="24"/>
        </w:rPr>
        <w:t xml:space="preserve"> </w:t>
      </w:r>
      <w:r>
        <w:rPr>
          <w:rFonts w:ascii="Times New Roman;Times;serif" w:hAnsi="Times New Roman;Times;serif"/>
          <w:b w:val="false"/>
          <w:sz w:val="24"/>
        </w:rPr>
        <w:t>and credited to the Participant's Account pursuant to 4.1, to the extent vested or unvested. Such term shall collectively refer to Unvested Participant Shares and Vested Participant Shares.  </w:t>
      </w:r>
    </w:p>
    <w:tbl>
      <w:tblPr>
        <w:tblW w:w="2943" w:type="dxa"/>
        <w:jc w:val="left"/>
        <w:tblInd w:w="0" w:type="dxa"/>
        <w:tblLayout w:type="fixed"/>
        <w:tblCellMar>
          <w:top w:w="0" w:type="dxa"/>
          <w:left w:w="0" w:type="dxa"/>
          <w:bottom w:w="0" w:type="dxa"/>
          <w:right w:w="0" w:type="dxa"/>
        </w:tblCellMar>
      </w:tblPr>
      <w:tblGrid>
        <w:gridCol w:w="23"/>
        <w:gridCol w:w="440"/>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2.17</w:t>
            </w:r>
          </w:p>
        </w:tc>
        <w:tc>
          <w:tcPr>
            <w:tcW w:w="248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Separation from Service</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"Separation from Service" means a "separation from service" under Section 409A of the Code.  Generally, this occurs if a Participant is reasonably anticipated to have a substantial permanent reduction in the bona fide level of services provided to the Company and all Subsidiaries (whether provided as an employee or an independent contractor).  The reduction shall be "substantial" only if the reduced bona fide level of services is less than 50% of the average bona fide level of services provided by Participant to the Company and all Subsidiaries during the immediately preceding 36 months (or the Participant’s entire period of service, if less than 36 months).  A member of the Board shall be treated as having a Separation from Service as of the date that he or she is no longer a member of the Board.</w:t>
      </w:r>
    </w:p>
    <w:tbl>
      <w:tblPr>
        <w:tblW w:w="1173" w:type="dxa"/>
        <w:jc w:val="left"/>
        <w:tblInd w:w="0" w:type="dxa"/>
        <w:tblLayout w:type="fixed"/>
        <w:tblCellMar>
          <w:top w:w="0" w:type="dxa"/>
          <w:left w:w="0" w:type="dxa"/>
          <w:bottom w:w="0" w:type="dxa"/>
          <w:right w:w="0" w:type="dxa"/>
        </w:tblCellMar>
      </w:tblPr>
      <w:tblGrid>
        <w:gridCol w:w="23"/>
        <w:gridCol w:w="440"/>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2.18</w:t>
            </w:r>
          </w:p>
        </w:tc>
        <w:tc>
          <w:tcPr>
            <w:tcW w:w="71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"Shares" means shares of the common stock of the Company.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638" w:type="dxa"/>
        <w:jc w:val="left"/>
        <w:tblInd w:w="0" w:type="dxa"/>
        <w:tblLayout w:type="fixed"/>
        <w:tblCellMar>
          <w:top w:w="0" w:type="dxa"/>
          <w:left w:w="0" w:type="dxa"/>
          <w:bottom w:w="0" w:type="dxa"/>
          <w:right w:w="0" w:type="dxa"/>
        </w:tblCellMar>
      </w:tblPr>
      <w:tblGrid>
        <w:gridCol w:w="23"/>
        <w:gridCol w:w="440"/>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2.19</w:t>
            </w:r>
          </w:p>
        </w:tc>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Subsidiary </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"Subsidiary" means any corporation, limited liability company, partnership or other entity of which a majority of the outstanding voting stock or voting power is beneficially owned directly or indirectly by the Company.</w:t>
      </w:r>
    </w:p>
    <w:tbl>
      <w:tblPr>
        <w:tblW w:w="2043" w:type="dxa"/>
        <w:jc w:val="left"/>
        <w:tblInd w:w="0" w:type="dxa"/>
        <w:tblLayout w:type="fixed"/>
        <w:tblCellMar>
          <w:top w:w="0" w:type="dxa"/>
          <w:left w:w="0" w:type="dxa"/>
          <w:bottom w:w="0" w:type="dxa"/>
          <w:right w:w="0" w:type="dxa"/>
        </w:tblCellMar>
      </w:tblPr>
      <w:tblGrid>
        <w:gridCol w:w="23"/>
        <w:gridCol w:w="440"/>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2.20</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Total Disability</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"Total Disability" means the Participant meets one of the following requirements, to the extent it qualifies as a Disability within the meaning of Treas. Reg. §1.409A-3(i)(4):  </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The Participant is unable to engage in any substantial gainful activity by reason of any medically determinable mental or physical impairment which can be expected to result in death or can be expected to last for a continuous period of at least 12 months; or</w:t>
      </w:r>
    </w:p>
    <w:p>
      <w:pPr>
        <w:pStyle w:val="TextBody"/>
        <w:bidi w:val="0"/>
        <w:spacing w:before="0" w:after="240"/>
        <w:ind w:left="720" w:right="0" w:firstLine="144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 Company-sponsored disability plan.  </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The existence of a Total Disability shall be established by the certification of a physician or physicians selected by the Administrator, unless the Administrator determines that an examination is unnecessary.  Alternatively, a Participant shall be considered to have a Total Disability if the Participant is determined to be disabled by the Social Security Administration. </w:t>
      </w:r>
    </w:p>
    <w:tbl>
      <w:tblPr>
        <w:tblW w:w="2238" w:type="dxa"/>
        <w:jc w:val="left"/>
        <w:tblInd w:w="0" w:type="dxa"/>
        <w:tblLayout w:type="fixed"/>
        <w:tblCellMar>
          <w:top w:w="0" w:type="dxa"/>
          <w:left w:w="0" w:type="dxa"/>
          <w:bottom w:w="0" w:type="dxa"/>
          <w:right w:w="0" w:type="dxa"/>
        </w:tblCellMar>
      </w:tblPr>
      <w:tblGrid>
        <w:gridCol w:w="23"/>
        <w:gridCol w:w="44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2.21</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Trust Agreement</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"Trust Agreement" means the trust agreement used to establish the Trust Fund.</w:t>
      </w:r>
    </w:p>
    <w:tbl>
      <w:tblPr>
        <w:tblW w:w="1668" w:type="dxa"/>
        <w:jc w:val="left"/>
        <w:tblInd w:w="0" w:type="dxa"/>
        <w:tblLayout w:type="fixed"/>
        <w:tblCellMar>
          <w:top w:w="0" w:type="dxa"/>
          <w:left w:w="0" w:type="dxa"/>
          <w:bottom w:w="0" w:type="dxa"/>
          <w:right w:w="0" w:type="dxa"/>
        </w:tblCellMar>
      </w:tblPr>
      <w:tblGrid>
        <w:gridCol w:w="23"/>
        <w:gridCol w:w="440"/>
        <w:gridCol w:w="120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2.22</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Trust Fund</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"Trust Fund" means the assets held under the Trust Agreement in a trust, if one is established, that conforms with the model rabbi trust found in Internal Revenue Procedure 92-64, and meets the requirements of Code Section 409A, and is a grantor trust, of which the Company is the grantor, within the meaning of Subpart E, Part I, Subchapter J, Chapter 1, Subtitle A of the Code. </w:t>
      </w:r>
    </w:p>
    <w:tbl>
      <w:tblPr>
        <w:tblW w:w="3378" w:type="dxa"/>
        <w:jc w:val="left"/>
        <w:tblInd w:w="0" w:type="dxa"/>
        <w:tblLayout w:type="fixed"/>
        <w:tblCellMar>
          <w:top w:w="0" w:type="dxa"/>
          <w:left w:w="0" w:type="dxa"/>
          <w:bottom w:w="0" w:type="dxa"/>
          <w:right w:w="0" w:type="dxa"/>
        </w:tblCellMar>
      </w:tblPr>
      <w:tblGrid>
        <w:gridCol w:w="23"/>
        <w:gridCol w:w="44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2.23</w:t>
            </w:r>
          </w:p>
        </w:tc>
        <w:tc>
          <w:tcPr>
            <w:tcW w:w="291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Unvested Participant Shares</w:t>
            </w:r>
          </w:p>
        </w:tc>
      </w:tr>
    </w:tbl>
    <w:p>
      <w:pPr>
        <w:pStyle w:val="TextBody"/>
        <w:bidi w:val="0"/>
        <w:spacing w:before="0" w:after="240"/>
        <w:ind w:left="0" w:right="0" w:firstLine="720"/>
        <w:jc w:val="both"/>
        <w:rPr>
          <w:rFonts w:ascii="Times New Roman;Times;serif" w:hAnsi="Times New Roman;Times;serif"/>
          <w:b w:val="false"/>
          <w:sz w:val="24"/>
        </w:rPr>
      </w:pPr>
      <w:r>
        <w:rPr>
          <w:rFonts w:ascii="Times New Roman;Times;serif" w:hAnsi="Times New Roman;Times;serif"/>
          <w:b w:val="false"/>
          <w:sz w:val="24"/>
        </w:rPr>
        <w:t xml:space="preserve">"Unvested Participant Shares" means all or a portion of the Participant Shares credited to a Participant's Account pursuant to Article 4 to the extent that they are not Vested Participant Shares.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23" w:type="dxa"/>
        <w:jc w:val="left"/>
        <w:tblInd w:w="0" w:type="dxa"/>
        <w:tblLayout w:type="fixed"/>
        <w:tblCellMar>
          <w:top w:w="0" w:type="dxa"/>
          <w:left w:w="0" w:type="dxa"/>
          <w:bottom w:w="0" w:type="dxa"/>
          <w:right w:w="0" w:type="dxa"/>
        </w:tblCellMar>
      </w:tblPr>
      <w:tblGrid>
        <w:gridCol w:w="23"/>
        <w:gridCol w:w="44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2.24</w:t>
            </w:r>
          </w:p>
        </w:tc>
        <w:tc>
          <w:tcPr>
            <w:tcW w:w="26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Vested Participant Shares</w:t>
            </w:r>
          </w:p>
        </w:tc>
      </w:tr>
    </w:tbl>
    <w:p>
      <w:pPr>
        <w:pStyle w:val="TextBody"/>
        <w:bidi w:val="0"/>
        <w:spacing w:before="0" w:after="240"/>
        <w:ind w:left="0" w:right="0" w:firstLine="720"/>
        <w:jc w:val="both"/>
        <w:rPr>
          <w:rFonts w:ascii="Times New Roman;Times;serif" w:hAnsi="Times New Roman;Times;serif"/>
          <w:b w:val="false"/>
          <w:sz w:val="24"/>
        </w:rPr>
      </w:pPr>
      <w:r>
        <w:rPr>
          <w:rFonts w:ascii="Times New Roman;Times;serif" w:hAnsi="Times New Roman;Times;serif"/>
          <w:b w:val="false"/>
          <w:sz w:val="24"/>
        </w:rPr>
        <w:t>"Vested Participant Shares" means all or a portion of the Participant Shares credited to a Participant's Account pursuant to Section 4 that have become vested and met the applicable vesting requirements set forth in Section 4.4 of this Program.</w:t>
      </w:r>
    </w:p>
    <w:tbl>
      <w:tblPr>
        <w:tblW w:w="993" w:type="dxa"/>
        <w:jc w:val="left"/>
        <w:tblInd w:w="0" w:type="dxa"/>
        <w:tblLayout w:type="fixed"/>
        <w:tblCellMar>
          <w:top w:w="0" w:type="dxa"/>
          <w:left w:w="0" w:type="dxa"/>
          <w:bottom w:w="0" w:type="dxa"/>
          <w:right w:w="0" w:type="dxa"/>
        </w:tblCellMar>
      </w:tblPr>
      <w:tblGrid>
        <w:gridCol w:w="23"/>
        <w:gridCol w:w="440"/>
        <w:gridCol w:w="53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2.25</w:t>
            </w:r>
          </w:p>
        </w:tc>
        <w:tc>
          <w:tcPr>
            <w:tcW w:w="53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Year</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"Year" means the 12-consecutive-month period beginning on January 1 and ending on December 31.</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3</w:t>
      </w:r>
      <w:bookmarkStart w:id="220" w:name="_Ref64450557"/>
      <w:bookmarkEnd w:id="220"/>
      <w:r>
        <w:rPr>
          <w:rFonts w:ascii="Times New Roman;Times;serif" w:hAnsi="Times New Roman;Times;serif"/>
          <w:b/>
          <w:sz w:val="24"/>
        </w:rPr>
        <w:t>​</w:t>
        <w:br/>
        <w:t>​</w:t>
        <w:br/>
      </w:r>
      <w:bookmarkStart w:id="221" w:name="_Toc147755284"/>
      <w:bookmarkStart w:id="222" w:name="_Ref162664731"/>
      <w:bookmarkEnd w:id="221"/>
      <w:bookmarkEnd w:id="222"/>
      <w:r>
        <w:rPr>
          <w:rFonts w:ascii="Times New Roman;Times;serif" w:hAnsi="Times New Roman;Times;serif"/>
          <w:b/>
          <w:sz w:val="24"/>
        </w:rPr>
        <w:t>Participation</w:t>
      </w:r>
    </w:p>
    <w:tbl>
      <w:tblPr>
        <w:tblW w:w="3078" w:type="dxa"/>
        <w:jc w:val="left"/>
        <w:tblInd w:w="0" w:type="dxa"/>
        <w:tblLayout w:type="fixed"/>
        <w:tblCellMar>
          <w:top w:w="0" w:type="dxa"/>
          <w:left w:w="0" w:type="dxa"/>
          <w:bottom w:w="0" w:type="dxa"/>
          <w:right w:w="0" w:type="dxa"/>
        </w:tblCellMar>
      </w:tblPr>
      <w:tblGrid>
        <w:gridCol w:w="23"/>
        <w:gridCol w:w="320"/>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3.1</w:t>
            </w:r>
          </w:p>
        </w:tc>
        <w:tc>
          <w:tcPr>
            <w:tcW w:w="27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23" w:name="_Toc147755285"/>
            <w:bookmarkEnd w:id="223"/>
            <w:r>
              <w:rPr>
                <w:rFonts w:ascii="Times New Roman;Times;serif" w:hAnsi="Times New Roman;Times;serif"/>
                <w:b/>
                <w:i w:val="false"/>
                <w:caps w:val="false"/>
                <w:smallCaps w:val="false"/>
                <w:sz w:val="24"/>
              </w:rPr>
              <w:t>Eligibility for Participation</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Employees of the Company or a Subsidiary that (a) participate in the Deferred Compensation Plan, (b) elect to have all or a portion of his or her Elective Deferral to be deemed to be invested in Shares, and (c) who qualify as members of a "select group of management or other highly compensated employees" under Title I of ERISA shall automatically become a Participant in the Program.  </w:t>
      </w:r>
    </w:p>
    <w:tbl>
      <w:tblPr>
        <w:tblW w:w="3978" w:type="dxa"/>
        <w:jc w:val="left"/>
        <w:tblInd w:w="0" w:type="dxa"/>
        <w:tblLayout w:type="fixed"/>
        <w:tblCellMar>
          <w:top w:w="0" w:type="dxa"/>
          <w:left w:w="0" w:type="dxa"/>
          <w:bottom w:w="0" w:type="dxa"/>
          <w:right w:w="0" w:type="dxa"/>
        </w:tblCellMar>
      </w:tblPr>
      <w:tblGrid>
        <w:gridCol w:w="23"/>
        <w:gridCol w:w="320"/>
        <w:gridCol w:w="36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3.2</w:t>
            </w:r>
          </w:p>
        </w:tc>
        <w:tc>
          <w:tcPr>
            <w:tcW w:w="36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24" w:name="_Toc147755286"/>
            <w:bookmarkEnd w:id="224"/>
            <w:r>
              <w:rPr>
                <w:rFonts w:ascii="Times New Roman;Times;serif" w:hAnsi="Times New Roman;Times;serif"/>
                <w:b/>
                <w:i w:val="false"/>
                <w:caps w:val="false"/>
                <w:smallCaps w:val="false"/>
                <w:sz w:val="24"/>
              </w:rPr>
              <w:t>Termination of Active Participation</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Committee may remove an Employee from further active participation in the Program.  If a Participant experiences a Separation from Service or otherwise ceases to be actively employed by the Company, the Participant shall not have any additional amounts credited to his or her Account under Section 4.2; however, credits of Participant Shares to a Participant’s Account may continue as applicable pursuant to Section 4.3 until the balance of Participant's Account and the Participant Shares credited thereunder are distributed or forfeited.</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4​</w:t>
        <w:br/>
        <w:t>​</w:t>
        <w:br/>
      </w:r>
      <w:bookmarkStart w:id="225" w:name="_Toc147755287"/>
      <w:bookmarkEnd w:id="225"/>
      <w:r>
        <w:rPr>
          <w:rFonts w:ascii="Times New Roman;Times;serif" w:hAnsi="Times New Roman;Times;serif"/>
          <w:b/>
          <w:sz w:val="24"/>
        </w:rPr>
        <w:t>Amounts Credited to Accounts</w:t>
      </w:r>
    </w:p>
    <w:tbl>
      <w:tblPr>
        <w:tblW w:w="2673" w:type="dxa"/>
        <w:jc w:val="left"/>
        <w:tblInd w:w="0" w:type="dxa"/>
        <w:tblLayout w:type="fixed"/>
        <w:tblCellMar>
          <w:top w:w="0" w:type="dxa"/>
          <w:left w:w="0" w:type="dxa"/>
          <w:bottom w:w="0" w:type="dxa"/>
          <w:right w:w="0" w:type="dxa"/>
        </w:tblCellMar>
      </w:tblPr>
      <w:tblGrid>
        <w:gridCol w:w="23"/>
        <w:gridCol w:w="32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4.1</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26" w:name="_Toc147755288"/>
            <w:bookmarkStart w:id="227" w:name="_Ref45273786"/>
            <w:bookmarkStart w:id="228" w:name="_Ref45272044"/>
            <w:bookmarkEnd w:id="226"/>
            <w:bookmarkEnd w:id="227"/>
            <w:bookmarkEnd w:id="228"/>
            <w:r>
              <w:rPr>
                <w:rFonts w:ascii="Times New Roman;Times;serif" w:hAnsi="Times New Roman;Times;serif"/>
                <w:b/>
                <w:i w:val="false"/>
                <w:caps w:val="false"/>
                <w:smallCaps w:val="false"/>
                <w:sz w:val="24"/>
              </w:rPr>
              <w:t>Participants’ Accounts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Administrator shall maintain an Account for each Participant to record the Participant’s benefits under the terms of the Program.  Participant Shares shall be credited and allocated to a Participant’s Account as provided in this Article 4.  </w:t>
      </w:r>
    </w:p>
    <w:tbl>
      <w:tblPr>
        <w:tblW w:w="4713" w:type="dxa"/>
        <w:jc w:val="left"/>
        <w:tblInd w:w="0" w:type="dxa"/>
        <w:tblLayout w:type="fixed"/>
        <w:tblCellMar>
          <w:top w:w="0" w:type="dxa"/>
          <w:left w:w="0" w:type="dxa"/>
          <w:bottom w:w="0" w:type="dxa"/>
          <w:right w:w="0" w:type="dxa"/>
        </w:tblCellMar>
      </w:tblPr>
      <w:tblGrid>
        <w:gridCol w:w="23"/>
        <w:gridCol w:w="320"/>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4.2</w:t>
            </w:r>
          </w:p>
        </w:tc>
        <w:tc>
          <w:tcPr>
            <w:tcW w:w="43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29" w:name="_Ref69893796"/>
            <w:bookmarkStart w:id="230" w:name="_Toc147755289"/>
            <w:bookmarkStart w:id="231" w:name="_Ref287948121"/>
            <w:bookmarkStart w:id="232" w:name="_Ref287947874"/>
            <w:bookmarkStart w:id="233" w:name="_Ref287947656"/>
            <w:bookmarkStart w:id="234" w:name="_Ref162664750"/>
            <w:bookmarkStart w:id="235" w:name="_Ref162664749"/>
            <w:bookmarkStart w:id="236" w:name="_Ref162664733"/>
            <w:bookmarkEnd w:id="229"/>
            <w:bookmarkEnd w:id="230"/>
            <w:bookmarkEnd w:id="231"/>
            <w:bookmarkEnd w:id="232"/>
            <w:bookmarkEnd w:id="233"/>
            <w:bookmarkEnd w:id="234"/>
            <w:bookmarkEnd w:id="235"/>
            <w:bookmarkEnd w:id="236"/>
            <w:r>
              <w:rPr>
                <w:rFonts w:ascii="Times New Roman;Times;serif" w:hAnsi="Times New Roman;Times;serif"/>
                <w:b/>
                <w:i w:val="false"/>
                <w:caps w:val="false"/>
                <w:smallCaps w:val="false"/>
                <w:sz w:val="24"/>
              </w:rPr>
              <w:t>Amounts Credited to Participant Accounts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 xml:space="preserve">Each Participant shall be credited with </w:t>
      </w:r>
      <w:bookmarkStart w:id="237" w:name="_Ref287948308"/>
      <w:bookmarkEnd w:id="237"/>
      <w:r>
        <w:rPr>
          <w:rFonts w:ascii="Times New Roman;Times;serif" w:hAnsi="Times New Roman;Times;serif"/>
          <w:sz w:val="24"/>
        </w:rPr>
        <w:t xml:space="preserve">Unvested Participant Shares equal to $0.85 for every $1.00 of Base Salary and/or Bonus (each as defined in the Deferred Compensation Plan) which the Participant defers under the Deferred Compensation Plan for the prior Year and which is deemed to be invested in Shares under the terms and conditions of the Deferred Compensation Plan.  Notwithstanding the foregoing, in no event shall the aggregate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Elective Deferrals (as defined in the Deferred Compensation Plan) to be considered in the calculation of the total number of Unvested Participant Shares granted to Participant under this Section 4.2 exceed the limits set forth in attached </w:t>
      </w:r>
      <w:r>
        <w:rPr>
          <w:rFonts w:ascii="Times New Roman;Times;serif" w:hAnsi="Times New Roman;Times;serif"/>
          <w:sz w:val="24"/>
          <w:u w:val="single"/>
        </w:rPr>
        <w:t>Appendix 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A Participant will be credited with a number of Unvested Participant Shares equal to eighty-five percent (85%) of (i) the amount of deferred Base Salary, divided by the Closing Price on the date the Base Salary would have otherwise been paid to Participant, and (ii) the amount of the Bonus, divided by the Closing Price on the date the Bonus would have otherwise been paid to Participant.  </w:t>
      </w:r>
    </w:p>
    <w:tbl>
      <w:tblPr>
        <w:tblW w:w="4758" w:type="dxa"/>
        <w:jc w:val="left"/>
        <w:tblInd w:w="0" w:type="dxa"/>
        <w:tblLayout w:type="fixed"/>
        <w:tblCellMar>
          <w:top w:w="0" w:type="dxa"/>
          <w:left w:w="0" w:type="dxa"/>
          <w:bottom w:w="0" w:type="dxa"/>
          <w:right w:w="0" w:type="dxa"/>
        </w:tblCellMar>
      </w:tblPr>
      <w:tblGrid>
        <w:gridCol w:w="23"/>
        <w:gridCol w:w="32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4.3</w:t>
            </w:r>
          </w:p>
        </w:tc>
        <w:tc>
          <w:tcPr>
            <w:tcW w:w="441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38" w:name="_Ref287948014"/>
            <w:bookmarkStart w:id="239" w:name="_Ref179707361"/>
            <w:bookmarkStart w:id="240" w:name="_Toc147755290"/>
            <w:bookmarkStart w:id="241" w:name="_Ref45272005"/>
            <w:bookmarkEnd w:id="238"/>
            <w:bookmarkEnd w:id="239"/>
            <w:bookmarkEnd w:id="240"/>
            <w:bookmarkEnd w:id="241"/>
            <w:r>
              <w:rPr>
                <w:rFonts w:ascii="Times New Roman;Times;serif" w:hAnsi="Times New Roman;Times;serif"/>
                <w:b/>
                <w:i w:val="false"/>
                <w:caps w:val="false"/>
                <w:smallCaps w:val="false"/>
                <w:sz w:val="24"/>
              </w:rPr>
              <w:t>Amounts Credited for Company Dividends</w:t>
            </w:r>
            <w:bookmarkStart w:id="242" w:name="_Ref45271648"/>
            <w:bookmarkEnd w:id="242"/>
          </w:p>
        </w:tc>
      </w:tr>
    </w:tbl>
    <w:p>
      <w:pPr>
        <w:pStyle w:val="TextBody"/>
        <w:bidi w:val="0"/>
        <w:spacing w:before="0" w:after="240"/>
        <w:ind w:left="720" w:right="0" w:hanging="0"/>
        <w:jc w:val="both"/>
        <w:rPr>
          <w:rFonts w:ascii="Times New Roman;Times;serif" w:hAnsi="Times New Roman;Times;serif"/>
          <w:sz w:val="24"/>
        </w:rPr>
      </w:pPr>
      <w:bookmarkStart w:id="243" w:name="_Toc45274267"/>
      <w:bookmarkEnd w:id="243"/>
      <w:r>
        <w:rPr>
          <w:rFonts w:ascii="Times New Roman;Times;serif" w:hAnsi="Times New Roman;Times;serif"/>
          <w:sz w:val="24"/>
        </w:rPr>
        <w:t>If the Company pays a dividend on its Shares,  a Participant's Account shall be credited with additional Shares, with respect to both Unvested Participant Shares and Vested Participant Shares credited to a Participant's Account as of the Credit Date as of the end of the immediately preceding Year, in an amount equal to the number of Participant Shares credited the Participant's Account as of the Credit Date, multiplied by a fraction, the numerator of which equals the per Share cash dividend and the denominator of which equals the Closing Price on the date the dividend is paid.  The Credit Date means the date, each Year, that all Participant Shares are allocated to a Participant's Account as a result of Elective Deferrals under the Deferred Compensation Plan for the immediately preceding Year.</w:t>
      </w:r>
    </w:p>
    <w:tbl>
      <w:tblPr>
        <w:tblW w:w="2673" w:type="dxa"/>
        <w:jc w:val="left"/>
        <w:tblInd w:w="0" w:type="dxa"/>
        <w:tblLayout w:type="fixed"/>
        <w:tblCellMar>
          <w:top w:w="0" w:type="dxa"/>
          <w:left w:w="0" w:type="dxa"/>
          <w:bottom w:w="0" w:type="dxa"/>
          <w:right w:w="0" w:type="dxa"/>
        </w:tblCellMar>
      </w:tblPr>
      <w:tblGrid>
        <w:gridCol w:w="23"/>
        <w:gridCol w:w="32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4.4</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44" w:name="_Toc147755291"/>
            <w:bookmarkEnd w:id="244"/>
            <w:r>
              <w:rPr>
                <w:rFonts w:ascii="Times New Roman;Times;serif" w:hAnsi="Times New Roman;Times;serif"/>
                <w:b/>
                <w:i w:val="false"/>
                <w:caps w:val="false"/>
                <w:smallCaps w:val="false"/>
                <w:sz w:val="24"/>
              </w:rPr>
              <w:t>Vesting and Forfeiture</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245" w:name="_Ref287950238"/>
      <w:bookmarkEnd w:id="245"/>
      <w:r>
        <w:rPr>
          <w:rFonts w:ascii="Times New Roman;Times;serif" w:hAnsi="Times New Roman;Times;serif"/>
          <w:b/>
          <w:sz w:val="24"/>
        </w:rPr>
        <w:t>Vesting and Forfeiture</w:t>
      </w:r>
      <w:r>
        <w:rPr>
          <w:rFonts w:ascii="Times New Roman;Times;serif" w:hAnsi="Times New Roman;Times;serif"/>
          <w:sz w:val="24"/>
        </w:rPr>
        <w:t>.  Each Participant's Unvested Participant Shares credited to that Participant’s Account pursuant to Sections 4.2 and 4.3 shall vest and become Vested Participant Shares as provided in this Section 4.4.</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w:t>
      </w:r>
      <w:bookmarkStart w:id="246" w:name="_Ref179605386"/>
      <w:bookmarkEnd w:id="246"/>
      <w:r>
        <w:rPr>
          <w:rFonts w:ascii="Times New Roman;Times;serif" w:hAnsi="Times New Roman;Times;serif"/>
          <w:b/>
          <w:sz w:val="24"/>
        </w:rPr>
        <w:t>General Rule</w:t>
      </w:r>
      <w:r>
        <w:rPr>
          <w:rFonts w:ascii="Times New Roman;Times;serif" w:hAnsi="Times New Roman;Times;serif"/>
          <w:sz w:val="24"/>
        </w:rPr>
        <w:t>.  Unvested Participant Shares credited to a Participant's Account under Section 4.2 shall vest, in full, and become Vested Participant Shares separately on the fifth anniversary of the Credit Date, provided that the Participant remains employed by the Company or a Subsidiary on such applicable fifth anniversary.  A separate subaccount shall be maintained for each credit of Shares to a Participant. Participant Shares credited to a Participant under Section 4.3 shall vest in accordance with the manner in which the Participant Shares are allocated as Unvested Participant Shares and Vested Participant Shares.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(2)Age 60, Death, Disability or Change in Control</w:t>
      </w:r>
      <w:r>
        <w:rPr>
          <w:rFonts w:ascii="Times New Roman;Times;serif" w:hAnsi="Times New Roman;Times;serif"/>
          <w:sz w:val="24"/>
        </w:rPr>
        <w:t>.  Subject to Section 5.2 below, Unvested Participant Shares credited to a Participant's Account shall vest in full, and become Vested Participant Shares, in the event that the Participant attains age 60, dies, incurs a Total Disability or a Change in Control occurs, while the Participant is employed by the Company or a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(3)Forfeiture</w:t>
      </w:r>
      <w:r>
        <w:rPr>
          <w:rFonts w:ascii="Times New Roman;Times;serif" w:hAnsi="Times New Roman;Times;serif"/>
          <w:sz w:val="24"/>
        </w:rPr>
        <w:t xml:space="preserve">.  If a Participant has a Separation from Service prior to the date of the events set forth in Section 4.4(a)(2), all Unvested Participant Shares shall be forfeited immediately.  The Participant shall not be entitled to any payment or other economic benefit with respect to such forfeited Unvested Participant Shares pursuant to the terms of this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Program. The Participant’s forfeiture shall not be reallocated to the Accounts of other Participants, but shall reduce the Company’s liability under the Program.</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4.5</w:t>
      </w:r>
      <w:bookmarkStart w:id="247" w:name="_Toc147755292"/>
      <w:bookmarkEnd w:id="247"/>
      <w:r>
        <w:rPr>
          <w:rFonts w:ascii="Times New Roman;Times;serif" w:hAnsi="Times New Roman;Times;serif"/>
          <w:b/>
          <w:sz w:val="24"/>
        </w:rPr>
        <w:t>Voting Rights with Respect to Participant Shares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Participants shall have no voting rights with respect to Participant Shares allocated to their Accounts unless and until such Participant Shares are distributed to such Participant or Beneficiary pursuant to the terms of this Program. Participants and Beneficiaries are not shareholders of the Company or any Subsidiary by virtue of the Participant Shares credited to their Accounts and have no equity ownership interest in the Company or any Subsidiary by virtue of this Program, unless and until such Participant Shares are distributed to such Participant or Beneficiary pursuant to the terms of this Program. </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5 ​</w:t>
        <w:br/>
        <w:t>​</w:t>
        <w:br/>
      </w:r>
      <w:bookmarkStart w:id="248" w:name="_Toc147755293"/>
      <w:bookmarkEnd w:id="248"/>
      <w:r>
        <w:rPr>
          <w:rFonts w:ascii="Times New Roman;Times;serif" w:hAnsi="Times New Roman;Times;serif"/>
          <w:b/>
          <w:sz w:val="24"/>
        </w:rPr>
        <w:t>Distribution of Benefits</w:t>
      </w:r>
    </w:p>
    <w:tbl>
      <w:tblPr>
        <w:tblW w:w="2703" w:type="dxa"/>
        <w:jc w:val="left"/>
        <w:tblInd w:w="0" w:type="dxa"/>
        <w:tblLayout w:type="fixed"/>
        <w:tblCellMar>
          <w:top w:w="0" w:type="dxa"/>
          <w:left w:w="0" w:type="dxa"/>
          <w:bottom w:w="0" w:type="dxa"/>
          <w:right w:w="0" w:type="dxa"/>
        </w:tblCellMar>
      </w:tblPr>
      <w:tblGrid>
        <w:gridCol w:w="23"/>
        <w:gridCol w:w="32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5.1</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49" w:name="_Toc147755295"/>
            <w:bookmarkStart w:id="250" w:name="_Ref287968101"/>
            <w:bookmarkStart w:id="251" w:name="_Ref287965926"/>
            <w:bookmarkStart w:id="252" w:name="_Ref287965886"/>
            <w:bookmarkEnd w:id="249"/>
            <w:bookmarkEnd w:id="250"/>
            <w:bookmarkEnd w:id="251"/>
            <w:bookmarkEnd w:id="252"/>
            <w:r>
              <w:rPr>
                <w:rFonts w:ascii="Times New Roman;Times;serif" w:hAnsi="Times New Roman;Times;serif"/>
                <w:b/>
                <w:i w:val="false"/>
                <w:caps w:val="false"/>
                <w:smallCaps w:val="false"/>
                <w:sz w:val="24"/>
              </w:rPr>
              <w:t>Hardship Withdrawals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 Participant who has an unforeseeable financial emergency may receive payment while employed by the Company or a Subsidiary of all or part of the vested amount credited to the Participant’s Account.  A Participant may only withdraw the amount reasonably needed to satisfy the financial emergency need, including taxes reasonably anticipated to result from the distribution.</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For purposes of this Section 5.1, an unforeseeable financial emergency is a severe financial hardship of the Participant resulting from:  a sudden and unexpected illness or accident of the Participant or a dependent of the Participant; loss of the Participant’s property due to casualty; or other similar extraordinary and unforeseeable circumstances arising as a result of events beyond the control of the Participant, to the extent such event qualifies under Treas. Reg. §1.409A-3(i)(3) or any successor provisions.  But the Participant will not be considered to have an unforeseeable emergency if the hardship is or may be relieved: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Through reimbursement or compensation by insurance or otherwise;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By liquidation of the Participant’s assets, to the extent the liquidation of such assets would itself not cause severe financial hardship.</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The need to send a Participant’s child to college or the desire to purchase a home are not unforeseeable emergencies for purposes of this Section 5.1.</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Administrator may periodically establish administrative rules regarding withdrawals under this Section 5.1</w:t>
      </w:r>
      <w:bookmarkStart w:id="253" w:name="_Ref162664729"/>
      <w:bookmarkEnd w:id="253"/>
      <w:r>
        <w:rPr>
          <w:rFonts w:ascii="Times New Roman;Times;serif" w:hAnsi="Times New Roman;Times;serif"/>
          <w:sz w:val="24"/>
        </w:rPr>
        <w:t>.  Any hardship withdrawals made by a Participant shall reduce the number of Participant Shares credited to Participant's Account and correspondingly the amount distributable to the Participant under this Article 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73" w:type="dxa"/>
        <w:jc w:val="left"/>
        <w:tblInd w:w="0" w:type="dxa"/>
        <w:tblLayout w:type="fixed"/>
        <w:tblCellMar>
          <w:top w:w="0" w:type="dxa"/>
          <w:left w:w="0" w:type="dxa"/>
          <w:bottom w:w="0" w:type="dxa"/>
          <w:right w:w="0" w:type="dxa"/>
        </w:tblCellMar>
      </w:tblPr>
      <w:tblGrid>
        <w:gridCol w:w="23"/>
        <w:gridCol w:w="320"/>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5.2</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54" w:name="_Toc147755296"/>
            <w:bookmarkStart w:id="255" w:name="_Ref165346294"/>
            <w:bookmarkEnd w:id="254"/>
            <w:bookmarkEnd w:id="255"/>
            <w:r>
              <w:rPr>
                <w:rFonts w:ascii="Times New Roman;Times;serif" w:hAnsi="Times New Roman;Times;serif"/>
                <w:b/>
                <w:i w:val="false"/>
                <w:caps w:val="false"/>
                <w:smallCaps w:val="false"/>
                <w:sz w:val="24"/>
              </w:rPr>
              <w:t>Forfeiture of Vested Benefits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Notwithstanding anything else herein to the contrary, the Participant shall forfeit all Participant Shares, including Vested Participant Shares and Unvested Participant Shares, credited to his or her Account if:</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The Participant has a voluntary or involuntary Separation from Service after the Participant commits Gross Misconduct.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The Participant fails to comply with the duty of loyalty described in Section 5.3.</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amount of any forfeitures under this Section 5.2 shall reduce the Company’s liability under this Program and shall not be reallocated to the Accounts of other Participants.</w:t>
      </w:r>
    </w:p>
    <w:tbl>
      <w:tblPr>
        <w:tblW w:w="1968" w:type="dxa"/>
        <w:jc w:val="left"/>
        <w:tblInd w:w="0" w:type="dxa"/>
        <w:tblLayout w:type="fixed"/>
        <w:tblCellMar>
          <w:top w:w="0" w:type="dxa"/>
          <w:left w:w="0" w:type="dxa"/>
          <w:bottom w:w="0" w:type="dxa"/>
          <w:right w:w="0" w:type="dxa"/>
        </w:tblCellMar>
      </w:tblPr>
      <w:tblGrid>
        <w:gridCol w:w="23"/>
        <w:gridCol w:w="32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5.3</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56" w:name="_Toc147755297"/>
            <w:bookmarkStart w:id="257" w:name="_Ref162664741"/>
            <w:bookmarkStart w:id="258" w:name="_Ref162664728"/>
            <w:bookmarkEnd w:id="256"/>
            <w:bookmarkEnd w:id="257"/>
            <w:bookmarkEnd w:id="258"/>
            <w:r>
              <w:rPr>
                <w:rFonts w:ascii="Times New Roman;Times;serif" w:hAnsi="Times New Roman;Times;serif"/>
                <w:b/>
                <w:i w:val="false"/>
                <w:caps w:val="false"/>
                <w:smallCaps w:val="false"/>
                <w:sz w:val="24"/>
              </w:rPr>
              <w:t>Duty of Loyalty</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Each Participant has a duty of loyalty to the Company and its Subsidiaries.  While the Participant is employed by the Company or a Subsidiary, this duty includes the following: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The Participant shall use the Participant’s best efforts in performing any job duties assigned to the Participant.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The Participant shall not have an ownership interest in any other entity if that ownership interest detracts from the Participant’s job duties for the Company or a Subsidiary, or is inconsistent with the best interests of the Company or a Subsidiary.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The Participant shall not provide services to any other entity if those services detract from the Participant’s job duties for the Company or is in any way inconsistent with the best interests of the Company or a Subsidiary.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The Participant shall not take advantage of any business opportunities for the Participant’s individual benefit if the business opportunity should have been provided to the Company or a Subsidiary.</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If the Company notifies a Participant that the Participant is in violation of the duty of loyalty described in this Section 5.3, the Participant shall have ten days to cure any violation as required by the Company or forfeit all rights to subsequent benefits from the Program.  If the Participant cures a violation of the duty of loyalty, but then violates the duty of loyalty a second time, the Participant shall immediately forfeit all rights to subsequent benefits from the Program without being given the right to cure the violation.</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determination of whether a Participant has violated the duty of loyalty described in this Section 5.3 shall be made by the Administrator in its sole discretion.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33" w:type="dxa"/>
        <w:jc w:val="left"/>
        <w:tblInd w:w="0" w:type="dxa"/>
        <w:tblLayout w:type="fixed"/>
        <w:tblCellMar>
          <w:top w:w="0" w:type="dxa"/>
          <w:left w:w="0" w:type="dxa"/>
          <w:bottom w:w="0" w:type="dxa"/>
          <w:right w:w="0" w:type="dxa"/>
        </w:tblCellMar>
      </w:tblPr>
      <w:tblGrid>
        <w:gridCol w:w="23"/>
        <w:gridCol w:w="32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5.4</w:t>
            </w:r>
          </w:p>
        </w:tc>
        <w:tc>
          <w:tcPr>
            <w:tcW w:w="2690" w:type="dxa"/>
            <w:tcBorders/>
            <w:vAlign w:val="center"/>
          </w:tcPr>
          <w:p>
            <w:pPr>
              <w:pStyle w:val="TableContents"/>
              <w:bidi w:val="0"/>
              <w:spacing w:before="0" w:after="283"/>
              <w:jc w:val="left"/>
              <w:rPr/>
            </w:pPr>
            <w:bookmarkStart w:id="259" w:name="_Toc147755298"/>
            <w:bookmarkStart w:id="260" w:name="_Ref287950610"/>
            <w:bookmarkStart w:id="261" w:name="_Ref287950489"/>
            <w:bookmarkEnd w:id="259"/>
            <w:bookmarkEnd w:id="260"/>
            <w:bookmarkEnd w:id="261"/>
            <w:r>
              <w:rPr>
                <w:rFonts w:ascii="Times New Roman;Times;serif" w:hAnsi="Times New Roman;Times;serif"/>
                <w:b/>
                <w:i w:val="false"/>
                <w:caps w:val="false"/>
                <w:smallCaps w:val="false"/>
                <w:sz w:val="24"/>
              </w:rPr>
              <w:t>Payment</w:t>
            </w:r>
            <w:r>
              <w:rPr>
                <w:caps w:val="false"/>
                <w:smallCaps w:val="false"/>
              </w:rPr>
              <w:t xml:space="preserve"> </w:t>
            </w:r>
            <w:r>
              <w:rPr>
                <w:rFonts w:ascii="Times New Roman;Times;serif" w:hAnsi="Times New Roman;Times;serif"/>
                <w:b/>
                <w:i w:val="false"/>
                <w:caps w:val="false"/>
                <w:smallCaps w:val="false"/>
                <w:sz w:val="24"/>
              </w:rPr>
              <w:t>Timing &amp; Terms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All Vested Participant Shares credited to a Participant's Account shall be distributed to a Participant or the Participant's Beneficiary, as applicable, in a single lump sum payable in the form of certificates for whole Shares of the Company (except for fractional Shares which shall be paid in cash or withheld to cover taxes) at the first of the following to occur: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262" w:name="_Ref162664743"/>
      <w:bookmarkStart w:id="263" w:name="_Ref110935506"/>
      <w:bookmarkStart w:id="264" w:name="_Ref287968186"/>
      <w:bookmarkEnd w:id="262"/>
      <w:bookmarkEnd w:id="263"/>
      <w:bookmarkEnd w:id="264"/>
      <w:r>
        <w:rPr>
          <w:rFonts w:ascii="Times New Roman;Times;serif" w:hAnsi="Times New Roman;Times;serif"/>
          <w:sz w:val="24"/>
        </w:rPr>
        <w:t>If a Distributable Event occurs as a result of the Participant’s Total Disability or Separation from Service, the Vested Participant Shares shall be paid not later than 90 days after the Distributable Event.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bookmarkStart w:id="265" w:name="_Ref110844168"/>
      <w:bookmarkStart w:id="266" w:name="_Ref162664745"/>
      <w:bookmarkEnd w:id="265"/>
      <w:bookmarkEnd w:id="266"/>
      <w:r>
        <w:rPr>
          <w:rFonts w:ascii="Times New Roman;Times;serif" w:hAnsi="Times New Roman;Times;serif"/>
          <w:sz w:val="24"/>
        </w:rPr>
        <w:t>If the Participant has a Distributable Event because of a Change in Control, the Participant Shares shall be paid on the date of the Change in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267" w:name="_Ref162664746"/>
      <w:bookmarkEnd w:id="267"/>
      <w:r>
        <w:rPr>
          <w:rFonts w:ascii="Times New Roman;Times;serif" w:hAnsi="Times New Roman;Times;serif"/>
          <w:sz w:val="24"/>
        </w:rPr>
        <w:t>If a Participant has a Distributable Event because of the Participant’s death, the Vested Participant Shares shall be paid to the Participant’s Beneficiary on the date that is 90 days after the Participant’s death.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Notwithstanding anything else to the contrary including the provisions of this Section 5.4</w:t>
      </w:r>
      <w:bookmarkStart w:id="268" w:name="_Ref110935694"/>
      <w:bookmarkEnd w:id="268"/>
      <w:r>
        <w:rPr>
          <w:rFonts w:ascii="Times New Roman;Times;serif" w:hAnsi="Times New Roman;Times;serif"/>
          <w:sz w:val="24"/>
        </w:rPr>
        <w:t>, payment to a Key Employee as a result of a Separation from Service will be delayed until the six-month anniversary of the date the Key Employee has a Separation from Service or the date of the Key Employee’s death, if earlier.</w:t>
      </w:r>
    </w:p>
    <w:tbl>
      <w:tblPr>
        <w:tblW w:w="2553" w:type="dxa"/>
        <w:jc w:val="left"/>
        <w:tblInd w:w="0" w:type="dxa"/>
        <w:tblLayout w:type="fixed"/>
        <w:tblCellMar>
          <w:top w:w="0" w:type="dxa"/>
          <w:left w:w="0" w:type="dxa"/>
          <w:bottom w:w="0" w:type="dxa"/>
          <w:right w:w="0" w:type="dxa"/>
        </w:tblCellMar>
      </w:tblPr>
      <w:tblGrid>
        <w:gridCol w:w="23"/>
        <w:gridCol w:w="32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5.5</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69" w:name="_Toc147755299"/>
            <w:bookmarkEnd w:id="269"/>
            <w:r>
              <w:rPr>
                <w:rFonts w:ascii="Times New Roman;Times;serif" w:hAnsi="Times New Roman;Times;serif"/>
                <w:b/>
                <w:i w:val="false"/>
                <w:caps w:val="false"/>
                <w:smallCaps w:val="false"/>
                <w:sz w:val="24"/>
              </w:rPr>
              <w:t>Spendthrift Provision</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No benefit or interest under the Program is subject in any manner to anticipation, alienation, sale, transfer, assignment, pledge, encumbrance, attachment, or garnishment by creditors of a Participant or the Participant’s Beneficiary, and are exempt, to the maximum extent permitted by law, from the claims of creditors. Any attempt by a Participant or Beneficiary to assign or alienate the benefits issued pursuant to the terms of this Program shall cause all of such benefits to be immediately forfeited and neither Participant nor Beneficiary shall be entitled to any payment or other economic benefit with respect to the forfeited Incentive Benefit or otherwise under the terms of the Program. As used in this section, the words assignment and alienation include any sale, transfer, or other disposition; any anticipation, pledge, security agreement, or other method of securing payment or performance of an obligation; any garnishment, execution, attachment, levy, or other method of satisfying creditors’ claims. Notwithstanding the foregoing, the prohibition on assignment and alienation shall not restrict the Company or any Subsidiary’s obligation to engage in tax withholding.</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6</w:t>
      </w:r>
      <w:bookmarkStart w:id="270" w:name="_Ref64450698"/>
      <w:bookmarkEnd w:id="270"/>
      <w:r>
        <w:rPr>
          <w:rFonts w:ascii="Times New Roman;Times;serif" w:hAnsi="Times New Roman;Times;serif"/>
          <w:b/>
          <w:sz w:val="24"/>
        </w:rPr>
        <w:t>​</w:t>
        <w:br/>
        <w:t>​</w:t>
        <w:br/>
      </w:r>
      <w:bookmarkStart w:id="271" w:name="_Toc147755300"/>
      <w:bookmarkStart w:id="272" w:name="_Ref162664732"/>
      <w:bookmarkEnd w:id="271"/>
      <w:bookmarkEnd w:id="272"/>
      <w:r>
        <w:rPr>
          <w:rFonts w:ascii="Times New Roman;Times;serif" w:hAnsi="Times New Roman;Times;serif"/>
          <w:b/>
          <w:sz w:val="24"/>
        </w:rPr>
        <w:t>Funding</w:t>
      </w:r>
    </w:p>
    <w:tbl>
      <w:tblPr>
        <w:tblW w:w="3303" w:type="dxa"/>
        <w:jc w:val="left"/>
        <w:tblInd w:w="0" w:type="dxa"/>
        <w:tblLayout w:type="fixed"/>
        <w:tblCellMar>
          <w:top w:w="0" w:type="dxa"/>
          <w:left w:w="0" w:type="dxa"/>
          <w:bottom w:w="0" w:type="dxa"/>
          <w:right w:w="0" w:type="dxa"/>
        </w:tblCellMar>
      </w:tblPr>
      <w:tblGrid>
        <w:gridCol w:w="23"/>
        <w:gridCol w:w="320"/>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73" w:name="_Toc147755301"/>
            <w:bookmarkEnd w:id="273"/>
            <w:r>
              <w:rPr>
                <w:rFonts w:ascii="Times New Roman;Times;serif" w:hAnsi="Times New Roman;Times;serif"/>
                <w:b/>
                <w:i w:val="false"/>
                <w:caps w:val="false"/>
                <w:smallCaps w:val="false"/>
                <w:sz w:val="24"/>
              </w:rPr>
              <w:t>Establishment of Trust Fund</w:t>
            </w:r>
          </w:p>
        </w:tc>
      </w:tr>
    </w:tbl>
    <w:p>
      <w:pPr>
        <w:pStyle w:val="TextBody"/>
        <w:bidi w:val="0"/>
        <w:spacing w:before="0" w:after="0"/>
        <w:ind w:left="0" w:right="0" w:firstLine="1440"/>
        <w:jc w:val="both"/>
        <w:rPr>
          <w:rFonts w:ascii="Times New Roman;Times;serif" w:hAnsi="Times New Roman;Times;serif"/>
          <w:sz w:val="24"/>
        </w:rPr>
      </w:pPr>
      <w:r>
        <w:rPr>
          <w:rFonts w:ascii="Times New Roman;Times;serif" w:hAnsi="Times New Roman;Times;serif"/>
          <w:sz w:val="24"/>
        </w:rPr>
        <w:t xml:space="preserve">The Company may enter into a Trust Agreement to establish a Trust Fund and shall contribute Shares to the Trust Fund as such Shares are granted to Participants.  Any Shares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forfeited by Participants may be retained in the Trust and used to reduce future contributions to be made by the Company. </w:t>
      </w:r>
    </w:p>
    <w:tbl>
      <w:tblPr>
        <w:tblW w:w="2793" w:type="dxa"/>
        <w:jc w:val="left"/>
        <w:tblInd w:w="0" w:type="dxa"/>
        <w:tblLayout w:type="fixed"/>
        <w:tblCellMar>
          <w:top w:w="0" w:type="dxa"/>
          <w:left w:w="0" w:type="dxa"/>
          <w:bottom w:w="0" w:type="dxa"/>
          <w:right w:w="0" w:type="dxa"/>
        </w:tblCellMar>
      </w:tblPr>
      <w:tblGrid>
        <w:gridCol w:w="23"/>
        <w:gridCol w:w="32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6.2</w:t>
            </w:r>
          </w:p>
        </w:tc>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74" w:name="_Toc147755302"/>
            <w:bookmarkEnd w:id="274"/>
            <w:r>
              <w:rPr>
                <w:rFonts w:ascii="Times New Roman;Times;serif" w:hAnsi="Times New Roman;Times;serif"/>
                <w:b/>
                <w:i w:val="false"/>
                <w:caps w:val="false"/>
                <w:smallCaps w:val="false"/>
                <w:sz w:val="24"/>
              </w:rPr>
              <w:t>Status as Grantor Trust</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The Trust Fund shall be a grantor trust.  The Trust Agreement shall provide that the assets of the Trust Fund are subject to the claims of the Company’s general creditors if the Company becomes insolvent. In addition, neither this Program nor the establishment of a Trust Fund shall create any trust or other fiduciary relationship of any kind with respect to the deferred compensation or any asset of the Company. The Company has complete legal and beneficial ownership of all assets in the Trust Fund and Participant Accounts until distributed pursuant to the terms of this Program. The right to benefits under the Program is merely an unsecured promise of the Company to pay the deferred compensation from the Company’s general assets. The Program does not require the Company or the Committee to establish any fund or segregate any assets for the benefit of any Participant. </w:t>
      </w:r>
    </w:p>
    <w:tbl>
      <w:tblPr>
        <w:tblW w:w="4998" w:type="dxa"/>
        <w:jc w:val="left"/>
        <w:tblInd w:w="0" w:type="dxa"/>
        <w:tblLayout w:type="fixed"/>
        <w:tblCellMar>
          <w:top w:w="0" w:type="dxa"/>
          <w:left w:w="0" w:type="dxa"/>
          <w:bottom w:w="0" w:type="dxa"/>
          <w:right w:w="0" w:type="dxa"/>
        </w:tblCellMar>
      </w:tblPr>
      <w:tblGrid>
        <w:gridCol w:w="23"/>
        <w:gridCol w:w="32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6.3</w:t>
            </w:r>
          </w:p>
        </w:tc>
        <w:tc>
          <w:tcPr>
            <w:tcW w:w="465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75" w:name="_Toc147755303"/>
            <w:bookmarkEnd w:id="275"/>
            <w:r>
              <w:rPr>
                <w:rFonts w:ascii="Times New Roman;Times;serif" w:hAnsi="Times New Roman;Times;serif"/>
                <w:b/>
                <w:i w:val="false"/>
                <w:caps w:val="false"/>
                <w:smallCaps w:val="false"/>
                <w:sz w:val="24"/>
              </w:rPr>
              <w:t>Status of Participants as Unsecured Creditors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obligation of the Company to pay benefits under the Plan shall be unsecured.  Each Participant is an unsecured creditor of the Company.  The Plan constitutes a mere promise by the Company to make benefit payments in the future.</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establishment of an Account for a Participant and the Company’s payment of contributions to the Trust Fund are not intended to create any security for payment of benefits under the Plan or change the status of the Plan as an unfunded plan.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7​</w:t>
        <w:br/>
        <w:t>​</w:t>
        <w:br/>
      </w:r>
      <w:bookmarkStart w:id="276" w:name="_Toc147755304"/>
      <w:bookmarkStart w:id="277" w:name="_Ref287968539"/>
      <w:bookmarkEnd w:id="276"/>
      <w:bookmarkEnd w:id="277"/>
      <w:r>
        <w:rPr>
          <w:rFonts w:ascii="Times New Roman;Times;serif" w:hAnsi="Times New Roman;Times;serif"/>
          <w:b/>
          <w:sz w:val="24"/>
        </w:rPr>
        <w:t>Administration</w:t>
      </w:r>
    </w:p>
    <w:tbl>
      <w:tblPr>
        <w:tblW w:w="1818" w:type="dxa"/>
        <w:jc w:val="left"/>
        <w:tblInd w:w="0" w:type="dxa"/>
        <w:tblLayout w:type="fixed"/>
        <w:tblCellMar>
          <w:top w:w="0" w:type="dxa"/>
          <w:left w:w="0" w:type="dxa"/>
          <w:bottom w:w="0" w:type="dxa"/>
          <w:right w:w="0" w:type="dxa"/>
        </w:tblCellMar>
      </w:tblPr>
      <w:tblGrid>
        <w:gridCol w:w="23"/>
        <w:gridCol w:w="320"/>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7.1</w:t>
            </w:r>
          </w:p>
        </w:tc>
        <w:tc>
          <w:tcPr>
            <w:tcW w:w="14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78" w:name="_Toc147755305"/>
            <w:bookmarkEnd w:id="278"/>
            <w:r>
              <w:rPr>
                <w:rFonts w:ascii="Times New Roman;Times;serif" w:hAnsi="Times New Roman;Times;serif"/>
                <w:b/>
                <w:i w:val="false"/>
                <w:caps w:val="false"/>
                <w:smallCaps w:val="false"/>
                <w:sz w:val="24"/>
              </w:rPr>
              <w:t>Administrator</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Company shall have the sole responsibility for the administration of the Plan and is designated as named fiduciary and Administrator.  The Administrator shall have the power and duties which are described in this Article.  The Committee shall carry out the functions of the Administrator with respect to the day-to-day operation of the Program.  If a member of the Committee is a Participant, the member shall abstain from voting on any matter relating to the member’s benefits under the Program.</w:t>
      </w:r>
    </w:p>
    <w:tbl>
      <w:tblPr>
        <w:tblW w:w="2883" w:type="dxa"/>
        <w:jc w:val="left"/>
        <w:tblInd w:w="0" w:type="dxa"/>
        <w:tblLayout w:type="fixed"/>
        <w:tblCellMar>
          <w:top w:w="0" w:type="dxa"/>
          <w:left w:w="0" w:type="dxa"/>
          <w:bottom w:w="0" w:type="dxa"/>
          <w:right w:w="0" w:type="dxa"/>
        </w:tblCellMar>
      </w:tblPr>
      <w:tblGrid>
        <w:gridCol w:w="23"/>
        <w:gridCol w:w="320"/>
        <w:gridCol w:w="25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7.2</w:t>
            </w:r>
          </w:p>
        </w:tc>
        <w:tc>
          <w:tcPr>
            <w:tcW w:w="254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79" w:name="_Toc147755306"/>
            <w:bookmarkEnd w:id="279"/>
            <w:r>
              <w:rPr>
                <w:rFonts w:ascii="Times New Roman;Times;serif" w:hAnsi="Times New Roman;Times;serif"/>
                <w:b/>
                <w:i w:val="false"/>
                <w:caps w:val="false"/>
                <w:smallCaps w:val="false"/>
                <w:sz w:val="24"/>
              </w:rPr>
              <w:t>Powers of Administrator</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Administrator shall have all discretionary powers necessary to administer and satisfy its obligations under the Program, including, but not limited to, the following: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Maintain records pertaining to the Program.</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Interpret the terms and provisions of the Program.</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Establish procedures by which Participants may apply for benefits under the Program and appeal a denial of benefits.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Determine the rights under the Program of any Participant applying for or receiving benefits.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(e)</w:t>
      </w:r>
      <w:r>
        <w:rPr>
          <w:rFonts w:ascii="Times New Roman;Times;serif" w:hAnsi="Times New Roman;Times;serif"/>
          <w:sz w:val="24"/>
        </w:rPr>
        <w:t>Administer the appeal procedure provided in this Article.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(f)</w:t>
      </w:r>
      <w:r>
        <w:rPr>
          <w:rFonts w:ascii="Times New Roman;Times;serif" w:hAnsi="Times New Roman;Times;serif"/>
          <w:sz w:val="24"/>
        </w:rPr>
        <w:t>Perform all acts necessary to meet the reporting and disclosure obligations imposed by applicable law.</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(g)</w:t>
      </w:r>
      <w:r>
        <w:rPr>
          <w:rFonts w:ascii="Times New Roman;Times;serif" w:hAnsi="Times New Roman;Times;serif"/>
          <w:sz w:val="24"/>
        </w:rPr>
        <w:t>Delegate specific responsibilities for the operation and administration of the Program to such employees of the Company or agents as it deems advisable and necessary.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(h)</w:t>
      </w:r>
      <w:r>
        <w:rPr>
          <w:rFonts w:ascii="Times New Roman;Times;serif" w:hAnsi="Times New Roman;Times;serif"/>
          <w:sz w:val="24"/>
        </w:rPr>
        <w:t>Issue reports to Participants no less than once per year.</w:t>
      </w:r>
    </w:p>
    <w:tbl>
      <w:tblPr>
        <w:tblW w:w="2148" w:type="dxa"/>
        <w:jc w:val="left"/>
        <w:tblInd w:w="0" w:type="dxa"/>
        <w:tblLayout w:type="fixed"/>
        <w:tblCellMar>
          <w:top w:w="0" w:type="dxa"/>
          <w:left w:w="0" w:type="dxa"/>
          <w:bottom w:w="0" w:type="dxa"/>
          <w:right w:w="0" w:type="dxa"/>
        </w:tblCellMar>
      </w:tblPr>
      <w:tblGrid>
        <w:gridCol w:w="23"/>
        <w:gridCol w:w="32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7.3</w:t>
            </w:r>
          </w:p>
        </w:tc>
        <w:tc>
          <w:tcPr>
            <w:tcW w:w="180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80" w:name="_Toc147755307"/>
            <w:bookmarkStart w:id="281" w:name="_Ref287966115"/>
            <w:bookmarkEnd w:id="280"/>
            <w:bookmarkEnd w:id="281"/>
            <w:r>
              <w:rPr>
                <w:rFonts w:ascii="Times New Roman;Times;serif" w:hAnsi="Times New Roman;Times;serif"/>
                <w:b/>
                <w:i w:val="false"/>
                <w:caps w:val="false"/>
                <w:smallCaps w:val="false"/>
                <w:sz w:val="24"/>
              </w:rPr>
              <w:t>Standard of Care</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Administrator shall administer the Program solely in the interest of Participants and for the exclusive purposes of providing benefits to the Participants and their Beneficiaries.  The Administrator shall administer the Program with the care, skill, prudence and diligence under the circumstances then prevailing that a prudent person, acting in a like capacity and familiar with such matters, would use in the conduct of an enterprise of a like character and with like aims.</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Administrator shall not be liable for any act or omission relating to its duties under the Program unless the act or omission violates the standard of care described in this Section 7.3.</w:t>
      </w:r>
    </w:p>
    <w:tbl>
      <w:tblPr>
        <w:tblW w:w="2223" w:type="dxa"/>
        <w:jc w:val="left"/>
        <w:tblInd w:w="0" w:type="dxa"/>
        <w:tblLayout w:type="fixed"/>
        <w:tblCellMar>
          <w:top w:w="0" w:type="dxa"/>
          <w:left w:w="0" w:type="dxa"/>
          <w:bottom w:w="0" w:type="dxa"/>
          <w:right w:w="0" w:type="dxa"/>
        </w:tblCellMar>
      </w:tblPr>
      <w:tblGrid>
        <w:gridCol w:w="23"/>
        <w:gridCol w:w="32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7.4</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82" w:name="_Toc147755308"/>
            <w:bookmarkStart w:id="283" w:name="_Ref111970897"/>
            <w:bookmarkStart w:id="284" w:name="_Ref111970882"/>
            <w:bookmarkEnd w:id="282"/>
            <w:bookmarkEnd w:id="283"/>
            <w:bookmarkEnd w:id="284"/>
            <w:r>
              <w:rPr>
                <w:rFonts w:ascii="Times New Roman;Times;serif" w:hAnsi="Times New Roman;Times;serif"/>
                <w:b/>
                <w:i w:val="false"/>
                <w:caps w:val="false"/>
                <w:smallCaps w:val="false"/>
                <w:sz w:val="24"/>
              </w:rPr>
              <w:t>Appeal Procedure</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Any Participant whose application for benefits under the Program has been denied, in whole or in part, shall be given written notice of the denial of benefits by the Administrator.  The notice shall be in easily understood language and shall indicate the reasons for denial and the specific provisions of the Program on which the denial is based.  The notice shall explain that the Participant may request a review of the denial and the procedure for requesting review.  The notice shall describe any additional information necessary to approve the Participant’s claim and explain why such information is necessary.</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 Participant may make a written request to the Committee for a review of any denial of benefits under the Program.  The request for review must be in writing and must be made within 60 days after the mailing date of the notice of denial.  The request shall refer to the provisions of the Program or Plan on which it is based and shall set forth the facts relied upon as justifying a reversal or modification of the determination being appealed.</w:t>
      </w:r>
    </w:p>
    <w:p>
      <w:pPr>
        <w:pStyle w:val="TextBody"/>
        <w:bidi w:val="0"/>
        <w:spacing w:before="0" w:after="0"/>
        <w:ind w:left="0" w:right="0" w:firstLine="1440"/>
        <w:jc w:val="both"/>
        <w:rPr>
          <w:rFonts w:ascii="Times New Roman;Times;serif" w:hAnsi="Times New Roman;Times;serif"/>
          <w:sz w:val="24"/>
        </w:rPr>
      </w:pPr>
      <w:r>
        <w:rPr>
          <w:rFonts w:ascii="Times New Roman;Times;serif" w:hAnsi="Times New Roman;Times;serif"/>
          <w:sz w:val="24"/>
        </w:rPr>
        <w:t xml:space="preserve">A Participant who requests a review of a denial of benefits in accordance with this appeal procedure may examine pertinent documents and submit pertinent issues and comments in writing.  A Participant may have a duly authorized representative act on his or her behalf in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exercising his or her right to request a review and any other rights granted by this appeal procedure.  The Committee shall provide a review of the decision denying the claim for benefit within 60 days after receiving the written request for review.</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A Participant shall not be permitted to commence any legal action against the Company regarding his or her benefits under the Plan before exhausting the appeal procedure contained in this Section 7.4.</w:t>
      </w:r>
    </w:p>
    <w:tbl>
      <w:tblPr>
        <w:tblW w:w="3393" w:type="dxa"/>
        <w:jc w:val="left"/>
        <w:tblInd w:w="0" w:type="dxa"/>
        <w:tblLayout w:type="fixed"/>
        <w:tblCellMar>
          <w:top w:w="0" w:type="dxa"/>
          <w:left w:w="0" w:type="dxa"/>
          <w:bottom w:w="0" w:type="dxa"/>
          <w:right w:w="0" w:type="dxa"/>
        </w:tblCellMar>
      </w:tblPr>
      <w:tblGrid>
        <w:gridCol w:w="23"/>
        <w:gridCol w:w="320"/>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7.5</w:t>
            </w:r>
          </w:p>
        </w:tc>
        <w:tc>
          <w:tcPr>
            <w:tcW w:w="30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85" w:name="_Toc147755309"/>
            <w:bookmarkEnd w:id="285"/>
            <w:r>
              <w:rPr>
                <w:rFonts w:ascii="Times New Roman;Times;serif" w:hAnsi="Times New Roman;Times;serif"/>
                <w:b/>
                <w:i w:val="false"/>
                <w:caps w:val="false"/>
                <w:smallCaps w:val="false"/>
                <w:sz w:val="24"/>
              </w:rPr>
              <w:t>Indemnification of Committee</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Company shall indemnify and hold harmless the members of the Committee and their duly appointed agents against any and all claims, loss, damage, expense or liability arising from any action or failure to act with respect to the Program, except in the case of gross negligence or willful misconduct by any such member or agent of the Committee.</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Article 8​</w:t>
        <w:br/>
        <w:t>​</w:t>
        <w:br/>
      </w:r>
      <w:bookmarkStart w:id="286" w:name="_Toc147755310"/>
      <w:bookmarkEnd w:id="286"/>
      <w:r>
        <w:rPr>
          <w:rFonts w:ascii="Times New Roman;Times;serif" w:hAnsi="Times New Roman;Times;serif"/>
          <w:b/>
          <w:sz w:val="24"/>
        </w:rPr>
        <w:t>Miscellaneous</w:t>
      </w:r>
    </w:p>
    <w:tbl>
      <w:tblPr>
        <w:tblW w:w="2388" w:type="dxa"/>
        <w:jc w:val="left"/>
        <w:tblInd w:w="0" w:type="dxa"/>
        <w:tblLayout w:type="fixed"/>
        <w:tblCellMar>
          <w:top w:w="0" w:type="dxa"/>
          <w:left w:w="0" w:type="dxa"/>
          <w:bottom w:w="0" w:type="dxa"/>
          <w:right w:w="0" w:type="dxa"/>
        </w:tblCellMar>
      </w:tblPr>
      <w:tblGrid>
        <w:gridCol w:w="23"/>
        <w:gridCol w:w="32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8.1</w:t>
            </w:r>
          </w:p>
        </w:tc>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87" w:name="_Toc147755311"/>
            <w:bookmarkEnd w:id="287"/>
            <w:r>
              <w:rPr>
                <w:rFonts w:ascii="Times New Roman;Times;serif" w:hAnsi="Times New Roman;Times;serif"/>
                <w:b/>
                <w:i w:val="false"/>
                <w:caps w:val="false"/>
                <w:smallCaps w:val="false"/>
                <w:sz w:val="24"/>
              </w:rPr>
              <w:t>Employment Rights</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existence of the Plan and the Program shall not grant a Participant any legal right to continue as an employee of the Company or any Subsidiary nor affect the right of the Company or a Subsidiary to discharge a Participant from employment.</w:t>
      </w:r>
    </w:p>
    <w:tbl>
      <w:tblPr>
        <w:tblW w:w="2103" w:type="dxa"/>
        <w:jc w:val="left"/>
        <w:tblInd w:w="0" w:type="dxa"/>
        <w:tblLayout w:type="fixed"/>
        <w:tblCellMar>
          <w:top w:w="0" w:type="dxa"/>
          <w:left w:w="0" w:type="dxa"/>
          <w:bottom w:w="0" w:type="dxa"/>
          <w:right w:w="0" w:type="dxa"/>
        </w:tblCellMar>
      </w:tblPr>
      <w:tblGrid>
        <w:gridCol w:w="23"/>
        <w:gridCol w:w="32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8.2</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88" w:name="_Toc147755312"/>
            <w:bookmarkEnd w:id="288"/>
            <w:r>
              <w:rPr>
                <w:rFonts w:ascii="Times New Roman;Times;serif" w:hAnsi="Times New Roman;Times;serif"/>
                <w:b/>
                <w:i w:val="false"/>
                <w:caps w:val="false"/>
                <w:smallCaps w:val="false"/>
                <w:sz w:val="24"/>
              </w:rPr>
              <w:t>Tax Withholding</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 xml:space="preserve">Any applicable federal, state, or local taxes shall be withheld from the benefits paid to a Participant or the Participant’s Beneficiary to the extent required by law or elected by the Participant or Beneficiary.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 xml:space="preserve">Neither the Company nor any Subsidiary makes any representations with respect to the tax treatment of the Shares subject to the terms of the Program and Plan. Each Participant is advised to review with the Participant's own tax advisors the federal, state, local, and foreign tax consequences of this Program, and the benefits hereunder. </w:t>
      </w:r>
    </w:p>
    <w:tbl>
      <w:tblPr>
        <w:tblW w:w="4008" w:type="dxa"/>
        <w:jc w:val="left"/>
        <w:tblInd w:w="0" w:type="dxa"/>
        <w:tblLayout w:type="fixed"/>
        <w:tblCellMar>
          <w:top w:w="0" w:type="dxa"/>
          <w:left w:w="0" w:type="dxa"/>
          <w:bottom w:w="0" w:type="dxa"/>
          <w:right w:w="0" w:type="dxa"/>
        </w:tblCellMar>
      </w:tblPr>
      <w:tblGrid>
        <w:gridCol w:w="23"/>
        <w:gridCol w:w="32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8.3</w:t>
            </w:r>
          </w:p>
        </w:tc>
        <w:tc>
          <w:tcPr>
            <w:tcW w:w="366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89" w:name="_Toc147755313"/>
            <w:bookmarkEnd w:id="289"/>
            <w:r>
              <w:rPr>
                <w:rFonts w:ascii="Times New Roman;Times;serif" w:hAnsi="Times New Roman;Times;serif"/>
                <w:b/>
                <w:i w:val="false"/>
                <w:caps w:val="false"/>
                <w:smallCaps w:val="false"/>
                <w:sz w:val="24"/>
              </w:rPr>
              <w:t>409A Savings Clause &amp; Severability</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The Program will be administered so as to comply with Code §409A. If any provision of the Program or Plan term conflicts with any requirement of Code §409A, the requirement of Code §409A will control. For example, and without limiting the generality of the foregoing, a change in control event does not occur unless the event qualifies as a change in the ownership of the Company, a change in the effective control of the Company, or a change in the ownership of a substantial portion of the Company’s assets under Code §409A.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 xml:space="preserve">If a court determines that any provision of the Program is unenforceable, the court may modify the provision, if possible, so as to give effect to the Program in a way that is consistent with the purpose of the Plan and the requirements of governing law. If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such a modification is not possible, the court may sever the unenforceable provision and enforce the rest of the Plan in a way that is consistent with the purpose of the Program and the requirements of governing law.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 xml:space="preserve">The Company or the Administrator may apply any permissive provision of any applicable law or regulation unless the provision is contrary to the terms of the Program. </w:t>
      </w:r>
    </w:p>
    <w:tbl>
      <w:tblPr>
        <w:tblW w:w="1698" w:type="dxa"/>
        <w:jc w:val="left"/>
        <w:tblInd w:w="0" w:type="dxa"/>
        <w:tblLayout w:type="fixed"/>
        <w:tblCellMar>
          <w:top w:w="0" w:type="dxa"/>
          <w:left w:w="0" w:type="dxa"/>
          <w:bottom w:w="0" w:type="dxa"/>
          <w:right w:w="0" w:type="dxa"/>
        </w:tblCellMar>
      </w:tblPr>
      <w:tblGrid>
        <w:gridCol w:w="23"/>
        <w:gridCol w:w="320"/>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8.4</w:t>
            </w:r>
          </w:p>
        </w:tc>
        <w:tc>
          <w:tcPr>
            <w:tcW w:w="135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90" w:name="_Toc147755314"/>
            <w:bookmarkEnd w:id="290"/>
            <w:r>
              <w:rPr>
                <w:rFonts w:ascii="Times New Roman;Times;serif" w:hAnsi="Times New Roman;Times;serif"/>
                <w:b/>
                <w:i w:val="false"/>
                <w:caps w:val="false"/>
                <w:smallCaps w:val="false"/>
                <w:sz w:val="24"/>
              </w:rPr>
              <w:t>Construction</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 xml:space="preserve">Words used in the masculine shall apply to the feminine where applicable.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Wherever the context of the Program dictates, the plural shall be read as the singular and the singular as the plural.</w:t>
      </w:r>
    </w:p>
    <w:tbl>
      <w:tblPr>
        <w:tblW w:w="2448" w:type="dxa"/>
        <w:jc w:val="left"/>
        <w:tblInd w:w="0" w:type="dxa"/>
        <w:tblLayout w:type="fixed"/>
        <w:tblCellMar>
          <w:top w:w="0" w:type="dxa"/>
          <w:left w:w="0" w:type="dxa"/>
          <w:bottom w:w="0" w:type="dxa"/>
          <w:right w:w="0" w:type="dxa"/>
        </w:tblCellMar>
      </w:tblPr>
      <w:tblGrid>
        <w:gridCol w:w="23"/>
        <w:gridCol w:w="320"/>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8.5</w:t>
            </w:r>
          </w:p>
        </w:tc>
        <w:tc>
          <w:tcPr>
            <w:tcW w:w="2105" w:type="dxa"/>
            <w:tcBorders/>
            <w:vAlign w:val="center"/>
          </w:tcPr>
          <w:p>
            <w:pPr>
              <w:pStyle w:val="TableContents"/>
              <w:bidi w:val="0"/>
              <w:spacing w:before="0" w:after="283"/>
              <w:jc w:val="left"/>
              <w:rPr/>
            </w:pPr>
            <w:bookmarkStart w:id="291" w:name="_Toc147755315"/>
            <w:bookmarkEnd w:id="291"/>
            <w:r>
              <w:rPr>
                <w:rFonts w:ascii="Times New Roman;Times;serif" w:hAnsi="Times New Roman;Times;serif"/>
                <w:b/>
                <w:i w:val="false"/>
                <w:caps w:val="false"/>
                <w:smallCaps w:val="false"/>
                <w:sz w:val="24"/>
              </w:rPr>
              <w:t>Facility of Payment.</w:t>
            </w:r>
            <w:r>
              <w:rPr>
                <w:caps w:val="false"/>
                <w:smallCaps w:val="false"/>
              </w:rPr>
              <w:t xml:space="preserve">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 xml:space="preserve">The Administrator will make reasonable efforts to locate a Participant or Beneficiary who is entitled to payment pursuant to the terms of the Program. If after a reasonable effort the Administrator cannot locate a person who is entitled to payment, the payment will be forfeited. The Administrator may rely on affidavits or other information that the Administrator believes to be reliable even though not otherwise admissible as evidence in a legal proceeding.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The Administrator is not required to commence probate proceedings, seek the appointment of a legal representative, or make payments to a legal representative. In the event an amount is payable to a Participant pursuant to the terms of this Program but in the event a Participant dies prior to such payment having been made, the payment shall be made to the Participant's Beneficiary, and such payment is conclusive and binding on all persons, and will fully discharge the Company, any Affiliates, and the Administrator from all liability with respect to the payment pursuant to the terms of the Program or Plan.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If a person appears to be mentally, physically, or legally incapable of receiving or acknowledging receipt of distribution payments, the Administrator may authorize payments to a person with a valid power of attorney, to a court-appointed guardian or conservator, or to any other person authorized under state law to receive the benefit.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 xml:space="preserve">If a person entitled to receive benefits is a minor and the value of the benefit exceeds $5,000, the Administrator may delay payment of the benefit until the minor has attained the age of majority or pay the benefit to a person who has been named by a court of competent jurisdiction as fiduciary for the minor.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(e)</w:t>
      </w:r>
      <w:r>
        <w:rPr>
          <w:rFonts w:ascii="Times New Roman;Times;serif" w:hAnsi="Times New Roman;Times;serif"/>
          <w:sz w:val="24"/>
        </w:rPr>
        <w:t>If the Administrator cannot determine, from affidavits or other information the Administrator believes to be reliable, whether the Participant's Beneficiary survived the Participant, the Beneficiary will be deemed not to have survived the Participant.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(f)</w:t>
      </w:r>
      <w:r>
        <w:rPr>
          <w:rFonts w:ascii="Times New Roman;Times;serif" w:hAnsi="Times New Roman;Times;serif"/>
          <w:sz w:val="24"/>
        </w:rPr>
        <w:t>The Administrator's actions regarding payment, if taken in good faith, are conclusive and binding on all persons, and payment will fully discharge the Company, any Affiliates, and the Administrator from all liability with respect to the payment.</w:t>
      </w:r>
    </w:p>
    <w:tbl>
      <w:tblPr>
        <w:tblW w:w="1623" w:type="dxa"/>
        <w:jc w:val="left"/>
        <w:tblInd w:w="0" w:type="dxa"/>
        <w:tblLayout w:type="fixed"/>
        <w:tblCellMar>
          <w:top w:w="0" w:type="dxa"/>
          <w:left w:w="0" w:type="dxa"/>
          <w:bottom w:w="0" w:type="dxa"/>
          <w:right w:w="0" w:type="dxa"/>
        </w:tblCellMar>
      </w:tblPr>
      <w:tblGrid>
        <w:gridCol w:w="23"/>
        <w:gridCol w:w="320"/>
        <w:gridCol w:w="12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8.6</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92" w:name="_Toc147755316"/>
            <w:bookmarkEnd w:id="292"/>
            <w:r>
              <w:rPr>
                <w:rFonts w:ascii="Times New Roman;Times;serif" w:hAnsi="Times New Roman;Times;serif"/>
                <w:b/>
                <w:i w:val="false"/>
                <w:caps w:val="false"/>
                <w:smallCaps w:val="false"/>
                <w:sz w:val="24"/>
              </w:rPr>
              <w:t>Amendment</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Company shall have the right to amend the Program at any time; however, no amendment or termination shall reduce the number of Participant Shares credited to a Participant’s Accounts.</w:t>
      </w:r>
    </w:p>
    <w:tbl>
      <w:tblPr>
        <w:tblW w:w="1638" w:type="dxa"/>
        <w:jc w:val="left"/>
        <w:tblInd w:w="0" w:type="dxa"/>
        <w:tblLayout w:type="fixed"/>
        <w:tblCellMar>
          <w:top w:w="0" w:type="dxa"/>
          <w:left w:w="0" w:type="dxa"/>
          <w:bottom w:w="0" w:type="dxa"/>
          <w:right w:w="0" w:type="dxa"/>
        </w:tblCellMar>
      </w:tblPr>
      <w:tblGrid>
        <w:gridCol w:w="23"/>
        <w:gridCol w:w="320"/>
        <w:gridCol w:w="12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8.7</w:t>
            </w:r>
          </w:p>
        </w:tc>
        <w:tc>
          <w:tcPr>
            <w:tcW w:w="129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bookmarkStart w:id="293" w:name="_Toc147755317"/>
            <w:bookmarkEnd w:id="293"/>
            <w:r>
              <w:rPr>
                <w:rFonts w:ascii="Times New Roman;Times;serif" w:hAnsi="Times New Roman;Times;serif"/>
                <w:b/>
                <w:i w:val="false"/>
                <w:caps w:val="false"/>
                <w:smallCaps w:val="false"/>
                <w:sz w:val="24"/>
              </w:rPr>
              <w:t>Termination</w:t>
            </w:r>
          </w:p>
        </w:tc>
      </w:tr>
    </w:tbl>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Company shall have the right to terminate the Program at any time.  If the Program is terminated, no additional amounts shall be credited to a Participant’s Account under Section 4.2; however, the Participant’s Account shall continue to be adjusted for dividends under Section 4.3 until the Participant’s benefits are distributed to the Participant as his or her Beneficiary.  The Participant shall be entitled to receive the amounts credited to his or her Account upon satisfying the requirements for payment of benefits under the Program, unless the Company elects to make payment at an earlier time in accordance with the requirements of Section 409A of the Code.  </w:t>
      </w:r>
    </w:p>
    <w:p>
      <w:pPr>
        <w:pStyle w:val="TextBody"/>
        <w:bidi w:val="0"/>
        <w:spacing w:before="0" w:after="240"/>
        <w:ind w:left="0" w:right="0" w:firstLine="1440"/>
        <w:jc w:val="both"/>
        <w:rPr/>
      </w:pPr>
      <w:r>
        <w:rPr/>
        <w:t>​</w:t>
      </w:r>
    </w:p>
    <w:p>
      <w:pPr>
        <w:pStyle w:val="TextBody"/>
        <w:bidi w:val="0"/>
        <w:spacing w:before="0" w:after="0"/>
        <w:ind w:left="0" w:right="0" w:hanging="0"/>
        <w:jc w:val="center"/>
        <w:rPr>
          <w:rFonts w:ascii="Times New Roman;Times;serif" w:hAnsi="Times New Roman;Times;serif"/>
          <w:b/>
          <w:sz w:val="24"/>
        </w:rPr>
      </w:pPr>
      <w:bookmarkStart w:id="294" w:name="_Toc147755318"/>
      <w:bookmarkStart w:id="295" w:name="_Toc45287823"/>
      <w:bookmarkStart w:id="296" w:name="_Toc45094372"/>
      <w:bookmarkStart w:id="297" w:name="_Toc45032364"/>
      <w:bookmarkEnd w:id="294"/>
      <w:bookmarkEnd w:id="295"/>
      <w:bookmarkEnd w:id="296"/>
      <w:bookmarkEnd w:id="297"/>
      <w:r>
        <w:rPr>
          <w:rFonts w:ascii="Times New Roman;Times;serif" w:hAnsi="Times New Roman;Times;serif"/>
          <w:b/>
          <w:sz w:val="24"/>
        </w:rPr>
        <w:t>Signature</w:t>
      </w:r>
    </w:p>
    <w:p>
      <w:pPr>
        <w:pStyle w:val="TextBody"/>
        <w:bidi w:val="0"/>
        <w:spacing w:before="240" w:after="240"/>
        <w:ind w:left="0" w:right="0" w:firstLine="1440"/>
        <w:jc w:val="both"/>
        <w:rPr>
          <w:rFonts w:ascii="Times New Roman;Times;serif" w:hAnsi="Times New Roman;Times;serif"/>
          <w:sz w:val="24"/>
        </w:rPr>
      </w:pPr>
      <w:r>
        <w:rPr>
          <w:rFonts w:ascii="Times New Roman;Times;serif" w:hAnsi="Times New Roman;Times;serif"/>
          <w:sz w:val="24"/>
        </w:rPr>
        <w:t>The Company has amended and restated the UFP Industries, Inc. Executive Stock Grant Program effective as of the 1st day of January, 2023.</w:t>
      </w:r>
    </w:p>
    <w:p>
      <w:pPr>
        <w:pStyle w:val="TextBody"/>
        <w:bidi w:val="0"/>
        <w:spacing w:before="0" w:after="480"/>
        <w:ind w:left="4277" w:right="0" w:hanging="0"/>
        <w:jc w:val="left"/>
        <w:rPr>
          <w:rFonts w:ascii="Times New Roman;Times;serif" w:hAnsi="Times New Roman;Times;serif"/>
          <w:b/>
          <w:sz w:val="24"/>
        </w:rPr>
      </w:pPr>
      <w:r>
        <w:rPr>
          <w:rFonts w:ascii="Times New Roman;Times;serif" w:hAnsi="Times New Roman;Times;serif"/>
          <w:b/>
          <w:sz w:val="24"/>
        </w:rPr>
        <w:t>UFP INDUSTRIES, INC.</w:t>
      </w:r>
    </w:p>
    <w:p>
      <w:pPr>
        <w:pStyle w:val="TextBody"/>
        <w:bidi w:val="0"/>
        <w:spacing w:before="0" w:after="240"/>
        <w:ind w:left="4334"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 ​</w:t>
      </w:r>
    </w:p>
    <w:p>
      <w:pPr>
        <w:pStyle w:val="TextBody"/>
        <w:bidi w:val="0"/>
        <w:spacing w:before="0" w:after="0"/>
        <w:ind w:left="0" w:right="0" w:hanging="0"/>
        <w:jc w:val="left"/>
        <w:rPr/>
      </w:pPr>
      <w:r>
        <w:rPr/>
        <w:t>​</w:t>
      </w:r>
    </w:p>
    <w:p>
      <w:pPr>
        <w:pStyle w:val="TextBody"/>
        <w:bidi w:val="0"/>
        <w:spacing w:before="0" w:after="240"/>
        <w:ind w:left="4334" w:right="0" w:hanging="0"/>
        <w:jc w:val="both"/>
        <w:rPr>
          <w:rFonts w:ascii="Times New Roman;Times;serif" w:hAnsi="Times New Roman;Times;serif"/>
          <w:sz w:val="24"/>
        </w:rPr>
      </w:pPr>
      <w:r>
        <w:rPr>
          <w:rFonts w:ascii="Times New Roman;Times;serif" w:hAnsi="Times New Roman;Times;serif"/>
          <w:sz w:val="24"/>
        </w:rPr>
        <w:t xml:space="preserve">Its </w:t>
      </w:r>
      <w:r>
        <w:rPr>
          <w:rFonts w:ascii="Times New Roman;Times;serif" w:hAnsi="Times New Roman;Times;serif"/>
          <w:sz w:val="24"/>
          <w:u w:val="single"/>
        </w:rPr>
        <w:t>​ ​</w:t>
      </w:r>
    </w:p>
    <w:p>
      <w:pPr>
        <w:pStyle w:val="TextBody"/>
        <w:bidi w:val="0"/>
        <w:spacing w:before="0" w:after="240"/>
        <w:ind w:left="4334"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21810878</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APPENDIX A</w:t>
      </w:r>
    </w:p>
    <w:p>
      <w:pPr>
        <w:pStyle w:val="TextBody"/>
        <w:bidi w:val="0"/>
        <w:spacing w:before="0" w:after="0"/>
        <w:ind w:left="0" w:right="0" w:hanging="0"/>
        <w:jc w:val="center"/>
        <w:rPr/>
      </w:pPr>
      <w:r>
        <w:rPr/>
        <w:t>​</w:t>
      </w:r>
    </w:p>
    <w:tbl>
      <w:tblPr>
        <w:tblW w:w="10205" w:type="dxa"/>
        <w:jc w:val="left"/>
        <w:tblInd w:w="0" w:type="dxa"/>
        <w:tblLayout w:type="fixed"/>
        <w:tblCellMar>
          <w:top w:w="28" w:type="dxa"/>
          <w:left w:w="103" w:type="dxa"/>
          <w:bottom w:w="28" w:type="dxa"/>
          <w:right w:w="103" w:type="dxa"/>
        </w:tblCellMar>
      </w:tblPr>
      <w:tblGrid>
        <w:gridCol w:w="2277"/>
        <w:gridCol w:w="2811"/>
        <w:gridCol w:w="2657"/>
        <w:gridCol w:w="2460"/>
      </w:tblGrid>
      <w:tr>
        <w:trPr/>
        <w:tc>
          <w:tcPr>
            <w:tcW w:w="7745" w:type="dxa"/>
            <w:gridSpan w:val="3"/>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Deferred Compensation Plan</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Exec Stock Grant Plan</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Eligible Participants per the Plan Document</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b/>
                <w:i/>
                <w:sz w:val="22"/>
              </w:rPr>
            </w:pPr>
            <w:r>
              <w:rPr>
                <w:rFonts w:ascii="Calibri;Helvetica;sans-serif" w:hAnsi="Calibri;Helvetica;sans-serif"/>
                <w:b/>
                <w:i/>
                <w:sz w:val="22"/>
              </w:rPr>
              <w:t>Other job titles included in the eligibility category</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Maximum Bonus Deferral – (up to 50% of bonus not to exceed amounts below)</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Max Deferral for Annual Grant Calculation pursuant to Section 4.2</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CEO of UFP Industries</w:t>
            </w:r>
          </w:p>
          <w:p>
            <w:pPr>
              <w:pStyle w:val="TableContents"/>
              <w:bidi w:val="0"/>
              <w:spacing w:before="0" w:after="0"/>
              <w:ind w:left="0" w:right="0" w:hanging="0"/>
              <w:jc w:val="left"/>
              <w:rPr/>
            </w:pPr>
            <w:r>
              <w:rPr/>
              <w:t>​</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$100,000</w:t>
            </w:r>
          </w:p>
          <w:p>
            <w:pPr>
              <w:pStyle w:val="TableContents"/>
              <w:bidi w:val="0"/>
              <w:spacing w:before="0" w:after="0"/>
              <w:ind w:left="0" w:right="0" w:hanging="0"/>
              <w:jc w:val="left"/>
              <w:rPr/>
            </w:pPr>
            <w:r>
              <w:rPr/>
              <w:t>​</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$105,000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President, COO of UFP Industries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$105,000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Segment Leads and Executive Officers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$55,000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Officers</w:t>
            </w:r>
          </w:p>
          <w:p>
            <w:pPr>
              <w:pStyle w:val="TableContents"/>
              <w:bidi w:val="0"/>
              <w:spacing w:before="0" w:after="0"/>
              <w:ind w:left="0" w:right="0" w:hanging="0"/>
              <w:jc w:val="left"/>
              <w:rPr/>
            </w:pPr>
            <w:r>
              <w:rPr/>
              <w:t>​</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$50,000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$40,000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Managing Directors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$25,000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$30,000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 xml:space="preserve">GMO </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i/>
                <w:sz w:val="22"/>
              </w:rPr>
            </w:pPr>
            <w:r>
              <w:rPr>
                <w:rFonts w:ascii="Calibri;Helvetica;sans-serif" w:hAnsi="Calibri;Helvetica;sans-serif"/>
                <w:i/>
                <w:sz w:val="22"/>
              </w:rPr>
              <w:t>Regional GMO</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$25,000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$30,000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Regional Sales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$25,000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$30,000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Operations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$25,000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$15,000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Plant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N/A</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Exec Account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$15,000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CEO Club Members (Current &amp; Former)</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i/>
                <w:sz w:val="22"/>
              </w:rPr>
            </w:pPr>
            <w:r>
              <w:rPr>
                <w:rFonts w:ascii="Calibri;Helvetica;sans-serif" w:hAnsi="Calibri;Helvetica;sans-serif"/>
                <w:i/>
                <w:sz w:val="22"/>
              </w:rPr>
              <w:t>Former President’s Club Members</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$15,000</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Corporate Directors</w:t>
            </w:r>
          </w:p>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Segment Directors</w:t>
            </w:r>
          </w:p>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Business Unit Directors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i/>
                <w:sz w:val="22"/>
              </w:rPr>
            </w:pPr>
            <w:r>
              <w:rPr>
                <w:rFonts w:ascii="Calibri;Helvetica;sans-serif" w:hAnsi="Calibri;Helvetica;sans-serif"/>
                <w:i/>
                <w:sz w:val="22"/>
              </w:rPr>
              <w:t>Segment Controllers, Chief Pilot, certain National Sales Directors and other Directors</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$25,000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$30,000</w:t>
            </w:r>
          </w:p>
          <w:p>
            <w:pPr>
              <w:pStyle w:val="TableContents"/>
              <w:bidi w:val="0"/>
              <w:spacing w:before="0" w:after="0"/>
              <w:ind w:left="0" w:right="0" w:hanging="0"/>
              <w:jc w:val="left"/>
              <w:rPr/>
            </w:pPr>
            <w:r>
              <w:rPr/>
              <w:t>​</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Corporate Senior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$25,000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N/A</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Purchasing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 xml:space="preserve">$15,000 </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Transportation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pPr>
            <w:r>
              <w:rPr/>
              <w:t>​</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 xml:space="preserve">$15,000 </w:t>
            </w:r>
          </w:p>
        </w:tc>
      </w:tr>
      <w:tr>
        <w:trPr/>
        <w:tc>
          <w:tcPr>
            <w:tcW w:w="227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Regional and Divisional Senior/Executive Managers</w:t>
            </w:r>
          </w:p>
        </w:tc>
        <w:tc>
          <w:tcPr>
            <w:tcW w:w="28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i/>
                <w:sz w:val="22"/>
              </w:rPr>
            </w:pPr>
            <w:r>
              <w:rPr>
                <w:rFonts w:ascii="Calibri;Helvetica;sans-serif" w:hAnsi="Calibri;Helvetica;sans-serif"/>
                <w:i/>
                <w:sz w:val="22"/>
              </w:rPr>
              <w:t xml:space="preserve">Regional Safety Directors </w:t>
            </w:r>
          </w:p>
        </w:tc>
        <w:tc>
          <w:tcPr>
            <w:tcW w:w="2657"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$10,000</w:t>
            </w:r>
          </w:p>
        </w:tc>
        <w:tc>
          <w:tcPr>
            <w:tcW w:w="24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N/A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98" w:name="ufpi-20231230xex10de.htm"/>
      <w:bookmarkStart w:id="299" w:name="ksufpi20231230xex10de"/>
      <w:bookmarkEnd w:id="298"/>
      <w:bookmarkEnd w:id="299"/>
      <w:r>
        <w:rPr>
          <w:rFonts w:ascii="Times New Roman;Times;serif" w:hAnsi="Times New Roman;Times;serif"/>
          <w:b/>
          <w:sz w:val="24"/>
        </w:rPr>
        <w:t>Exhibit 10(e)</w:t>
      </w:r>
      <w:r>
        <w:br w:type="page"/>
      </w:r>
    </w:p>
    <w:p>
      <w:pPr>
        <w:pStyle w:val="TextBody"/>
        <w:bidi w:val="0"/>
        <w:spacing w:lineRule="auto" w:line="314" w:before="0" w:after="120"/>
        <w:ind w:left="0" w:right="0" w:hanging="0"/>
        <w:jc w:val="center"/>
        <w:rPr>
          <w:rFonts w:ascii="Arial;Helvetica;sans-serif" w:hAnsi="Arial;Helvetica;sans-serif"/>
          <w:b/>
          <w:sz w:val="20"/>
        </w:rPr>
      </w:pPr>
      <w:r>
        <w:rPr>
          <w:rFonts w:ascii="Arial;Helvetica;sans-serif" w:hAnsi="Arial;Helvetica;sans-serif"/>
          <w:b/>
          <w:sz w:val="20"/>
        </w:rPr>
        <w:t>SECOND RESTATEMENT OF THE</w:t>
        <w:br/>
        <w:t xml:space="preserve">UFP INDUSTRIES, INC. DIRECTOR COMPENSATION PLAN </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w:t>
      </w:r>
      <w:r>
        <w:rPr>
          <w:rFonts w:ascii="Arial;Helvetica;sans-serif" w:hAnsi="Arial;Helvetica;sans-serif"/>
          <w:sz w:val="20"/>
          <w:u w:val="single"/>
        </w:rPr>
        <w:t>ESTABLISHMENT</w:t>
      </w:r>
      <w:r>
        <w:rPr>
          <w:rFonts w:ascii="Arial;Helvetica;sans-serif" w:hAnsi="Arial;Helvetica;sans-serif"/>
          <w:sz w:val="20"/>
        </w:rPr>
        <w:t>. UFP Industries, Inc. (the "Company") established the Universal Forest Products, Inc. Director Compensation Plan (the "Plan") for Eligible Directors as an unfunded plan for the benefit of a selected group of nonemployee management persons. Prior to this restatement, the Plan was known as the Universal Forest Products, Inc. Director Retainer Stock Plan.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2.</w:t>
      </w:r>
      <w:r>
        <w:rPr>
          <w:rFonts w:ascii="Arial;Helvetica;sans-serif" w:hAnsi="Arial;Helvetica;sans-serif"/>
          <w:sz w:val="20"/>
          <w:u w:val="single"/>
        </w:rPr>
        <w:t>EFFECTIVE DATE</w:t>
      </w:r>
      <w:r>
        <w:rPr>
          <w:rFonts w:ascii="Arial;Helvetica;sans-serif" w:hAnsi="Arial;Helvetica;sans-serif"/>
          <w:sz w:val="20"/>
        </w:rPr>
        <w:t xml:space="preserve">. This Second Restatement of the Plan shall become effective immediately upon its approval by the Board of Directors of the Company for Plan Years commencing on or after January 1, 2022. </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3.</w:t>
      </w:r>
      <w:r>
        <w:rPr>
          <w:rFonts w:ascii="Arial;Helvetica;sans-serif" w:hAnsi="Arial;Helvetica;sans-serif"/>
          <w:sz w:val="20"/>
          <w:u w:val="single"/>
        </w:rPr>
        <w:t>PURPOSE</w:t>
      </w:r>
      <w:r>
        <w:rPr>
          <w:rFonts w:ascii="Arial;Helvetica;sans-serif" w:hAnsi="Arial;Helvetica;sans-serif"/>
          <w:sz w:val="20"/>
        </w:rPr>
        <w:t>. The purpose of the Plan is to provide Eligible Directors with a means of electing to defer the receipt of their annual cash and stock fees, or to increase, on a current basis, their ownership of the Company's stock.</w:t>
      </w:r>
    </w:p>
    <w:p>
      <w:pPr>
        <w:pStyle w:val="TextBody"/>
        <w:bidi w:val="0"/>
        <w:spacing w:lineRule="auto" w:line="314" w:before="0" w:after="0"/>
        <w:ind w:left="0" w:right="0" w:hanging="0"/>
        <w:jc w:val="both"/>
        <w:rPr>
          <w:rFonts w:ascii="Calibri;Helvetica;sans-serif" w:hAnsi="Calibri;Helvetica;sans-serif"/>
          <w:sz w:val="22"/>
        </w:rPr>
      </w:pPr>
      <w:r>
        <w:rPr>
          <w:rFonts w:ascii="Arial;Helvetica;sans-serif" w:hAnsi="Arial;Helvetica;sans-serif"/>
          <w:sz w:val="20"/>
        </w:rPr>
        <w:t>4.</w:t>
      </w:r>
      <w:r>
        <w:rPr>
          <w:rFonts w:ascii="Arial;Helvetica;sans-serif" w:hAnsi="Arial;Helvetica;sans-serif"/>
          <w:sz w:val="20"/>
          <w:u w:val="single"/>
        </w:rPr>
        <w:t>DEFINITIONS</w:t>
      </w:r>
      <w:r>
        <w:rPr>
          <w:rFonts w:ascii="Arial;Helvetica;sans-serif" w:hAnsi="Arial;Helvetica;sans-serif"/>
          <w:sz w:val="20"/>
        </w:rPr>
        <w:t>.</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(a)</w:t>
      </w:r>
      <w:r>
        <w:rPr>
          <w:rFonts w:ascii="Arial;Helvetica;sans-serif" w:hAnsi="Arial;Helvetica;sans-serif"/>
          <w:sz w:val="20"/>
          <w:u w:val="single"/>
        </w:rPr>
        <w:t>Code</w:t>
      </w:r>
      <w:r>
        <w:rPr>
          <w:rFonts w:ascii="Arial;Helvetica;sans-serif" w:hAnsi="Arial;Helvetica;sans-serif"/>
          <w:sz w:val="20"/>
        </w:rPr>
        <w:t>. The term "Code" means the Internal Revenue Code, as amended.</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(b)</w:t>
      </w:r>
      <w:r>
        <w:rPr>
          <w:rFonts w:ascii="Arial;Helvetica;sans-serif" w:hAnsi="Arial;Helvetica;sans-serif"/>
          <w:sz w:val="20"/>
          <w:u w:val="single"/>
        </w:rPr>
        <w:t>Company</w:t>
      </w:r>
      <w:r>
        <w:rPr>
          <w:rFonts w:ascii="Arial;Helvetica;sans-serif" w:hAnsi="Arial;Helvetica;sans-serif"/>
          <w:sz w:val="20"/>
        </w:rPr>
        <w:t>. The term "Company" shall mean UFP Industries, Inc., a Michigan corporation, and its successors and assigns.</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(c)</w:t>
      </w:r>
      <w:r>
        <w:rPr>
          <w:rFonts w:ascii="Arial;Helvetica;sans-serif" w:hAnsi="Arial;Helvetica;sans-serif"/>
          <w:sz w:val="20"/>
          <w:u w:val="single"/>
        </w:rPr>
        <w:t>Deferral Account</w:t>
      </w:r>
      <w:r>
        <w:rPr>
          <w:rFonts w:ascii="Arial;Helvetica;sans-serif" w:hAnsi="Arial;Helvetica;sans-serif"/>
          <w:sz w:val="20"/>
        </w:rPr>
        <w:t>. The term "Deferral Account" shall have the meaning given in Paragraph 6 of the Plan.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(d)</w:t>
      </w:r>
      <w:r>
        <w:rPr>
          <w:rFonts w:ascii="Arial;Helvetica;sans-serif" w:hAnsi="Arial;Helvetica;sans-serif"/>
          <w:sz w:val="20"/>
          <w:u w:val="single"/>
        </w:rPr>
        <w:t>Election Agreement</w:t>
      </w:r>
      <w:r>
        <w:rPr>
          <w:rFonts w:ascii="Arial;Helvetica;sans-serif" w:hAnsi="Arial;Helvetica;sans-serif"/>
          <w:sz w:val="20"/>
        </w:rPr>
        <w:t>. The term "Election Agreement" shall mean each and every Election Agreement executed by an Eligible Director and delivered to the Company hereunder, the form of which is attached to the Plan as Exhibit A, and is incorporated by reference herein.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(e)</w:t>
      </w:r>
      <w:r>
        <w:rPr>
          <w:rFonts w:ascii="Arial;Helvetica;sans-serif" w:hAnsi="Arial;Helvetica;sans-serif"/>
          <w:sz w:val="20"/>
          <w:u w:val="single"/>
        </w:rPr>
        <w:t>Eligible Director</w:t>
      </w:r>
      <w:r>
        <w:rPr>
          <w:rFonts w:ascii="Arial;Helvetica;sans-serif" w:hAnsi="Arial;Helvetica;sans-serif"/>
          <w:sz w:val="20"/>
        </w:rPr>
        <w:t>. The term "Eligible Director'' shall mean any present or future director of the Company who is not an employee of the Company or any subsidiary or affiliate of the Company.</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(f)</w:t>
      </w:r>
      <w:r>
        <w:rPr>
          <w:rFonts w:ascii="Arial;Helvetica;sans-serif" w:hAnsi="Arial;Helvetica;sans-serif"/>
          <w:sz w:val="20"/>
          <w:u w:val="single"/>
        </w:rPr>
        <w:t>Market Price</w:t>
      </w:r>
      <w:r>
        <w:rPr>
          <w:rFonts w:ascii="Arial;Helvetica;sans-serif" w:hAnsi="Arial;Helvetica;sans-serif"/>
          <w:sz w:val="20"/>
        </w:rPr>
        <w:t>. The term "Market Price" shall mean the consolidated closing bid price per share of the Stock as reported on the NASDAQ Global Select Market on the date of the required calculation or, if there were no Stock transactions on such day, on the next preceding day on which there were Stock transactions.</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(g)</w:t>
      </w:r>
      <w:r>
        <w:rPr>
          <w:rFonts w:ascii="Arial;Helvetica;sans-serif" w:hAnsi="Arial;Helvetica;sans-serif"/>
          <w:sz w:val="20"/>
          <w:u w:val="single"/>
        </w:rPr>
        <w:t>Participating Director</w:t>
      </w:r>
      <w:r>
        <w:rPr>
          <w:rFonts w:ascii="Arial;Helvetica;sans-serif" w:hAnsi="Arial;Helvetica;sans-serif"/>
          <w:sz w:val="20"/>
        </w:rPr>
        <w:t>. The term "Participating Director'' shall mean an Eligible Director who has executed and delivered an Election Agreement to the Company.</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(h)</w:t>
      </w:r>
      <w:r>
        <w:rPr>
          <w:rFonts w:ascii="Arial;Helvetica;sans-serif" w:hAnsi="Arial;Helvetica;sans-serif"/>
          <w:sz w:val="20"/>
          <w:u w:val="single"/>
        </w:rPr>
        <w:t>Deferred</w:t>
      </w:r>
      <w:r>
        <w:rPr>
          <w:rFonts w:ascii="Calibri;Helvetica;sans-serif" w:hAnsi="Calibri;Helvetica;sans-serif"/>
          <w:sz w:val="22"/>
        </w:rPr>
        <w:t xml:space="preserve"> </w:t>
      </w:r>
      <w:r>
        <w:rPr>
          <w:rFonts w:ascii="Arial;Helvetica;sans-serif" w:hAnsi="Arial;Helvetica;sans-serif"/>
          <w:sz w:val="20"/>
          <w:u w:val="single"/>
        </w:rPr>
        <w:t>Payment Date</w:t>
      </w:r>
      <w:r>
        <w:rPr>
          <w:rFonts w:ascii="Arial;Helvetica;sans-serif" w:hAnsi="Arial;Helvetica;sans-serif"/>
          <w:sz w:val="20"/>
        </w:rPr>
        <w:t>. The term "Deferred Payment Date" shall mean the earliest of:</w:t>
      </w:r>
    </w:p>
    <w:tbl>
      <w:tblPr>
        <w:tblW w:w="3108" w:type="dxa"/>
        <w:jc w:val="left"/>
        <w:tblInd w:w="0" w:type="dxa"/>
        <w:tblLayout w:type="fixed"/>
        <w:tblCellMar>
          <w:top w:w="0" w:type="dxa"/>
          <w:left w:w="0" w:type="dxa"/>
          <w:bottom w:w="0" w:type="dxa"/>
          <w:right w:w="0" w:type="dxa"/>
        </w:tblCellMar>
      </w:tblPr>
      <w:tblGrid>
        <w:gridCol w:w="125"/>
        <w:gridCol w:w="23"/>
        <w:gridCol w:w="2960"/>
      </w:tblGrid>
      <w:tr>
        <w:trPr/>
        <w:tc>
          <w:tcPr>
            <w:tcW w:w="125"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w:t>
            </w:r>
          </w:p>
        </w:tc>
        <w:tc>
          <w:tcPr>
            <w:tcW w:w="23"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Participating Director's death,</w:t>
            </w:r>
          </w:p>
        </w:tc>
      </w:tr>
    </w:tbl>
    <w:tbl>
      <w:tblPr>
        <w:tblW w:w="9048" w:type="dxa"/>
        <w:jc w:val="left"/>
        <w:tblInd w:w="0" w:type="dxa"/>
        <w:tblLayout w:type="fixed"/>
        <w:tblCellMar>
          <w:top w:w="0" w:type="dxa"/>
          <w:left w:w="0" w:type="dxa"/>
          <w:bottom w:w="0" w:type="dxa"/>
          <w:right w:w="0" w:type="dxa"/>
        </w:tblCellMar>
      </w:tblPr>
      <w:tblGrid>
        <w:gridCol w:w="170"/>
        <w:gridCol w:w="23"/>
        <w:gridCol w:w="8855"/>
      </w:tblGrid>
      <w:tr>
        <w:trPr/>
        <w:tc>
          <w:tcPr>
            <w:tcW w:w="170"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ii.</w:t>
            </w:r>
          </w:p>
        </w:tc>
        <w:tc>
          <w:tcPr>
            <w:tcW w:w="23" w:type="dxa"/>
            <w:tcBorders/>
            <w:vAlign w:val="center"/>
          </w:tcPr>
          <w:p>
            <w:pPr>
              <w:pStyle w:val="TableContents"/>
              <w:bidi w:val="0"/>
              <w:spacing w:before="0" w:after="283"/>
              <w:jc w:val="left"/>
              <w:rPr>
                <w:sz w:val="4"/>
                <w:szCs w:val="4"/>
              </w:rPr>
            </w:pPr>
            <w:r>
              <w:rPr>
                <w:sz w:val="4"/>
                <w:szCs w:val="4"/>
              </w:rPr>
            </w:r>
          </w:p>
        </w:tc>
        <w:tc>
          <w:tcPr>
            <w:tcW w:w="88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Participating Director's total and permanent disability, as defined in Treas. Reg. 1.409A-3(i)(4), or </w:t>
            </w:r>
          </w:p>
        </w:tc>
      </w:tr>
    </w:tbl>
    <w:tbl>
      <w:tblPr>
        <w:tblW w:w="10205" w:type="dxa"/>
        <w:jc w:val="left"/>
        <w:tblInd w:w="0" w:type="dxa"/>
        <w:tblLayout w:type="fixed"/>
        <w:tblCellMar>
          <w:top w:w="0" w:type="dxa"/>
          <w:left w:w="0" w:type="dxa"/>
          <w:bottom w:w="0" w:type="dxa"/>
          <w:right w:w="0" w:type="dxa"/>
        </w:tblCellMar>
      </w:tblPr>
      <w:tblGrid>
        <w:gridCol w:w="215"/>
        <w:gridCol w:w="23"/>
        <w:gridCol w:w="9967"/>
      </w:tblGrid>
      <w:tr>
        <w:trPr/>
        <w:tc>
          <w:tcPr>
            <w:tcW w:w="215"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iii.</w:t>
            </w:r>
          </w:p>
        </w:tc>
        <w:tc>
          <w:tcPr>
            <w:tcW w:w="23" w:type="dxa"/>
            <w:tcBorders/>
            <w:vAlign w:val="center"/>
          </w:tcPr>
          <w:p>
            <w:pPr>
              <w:pStyle w:val="TableContents"/>
              <w:bidi w:val="0"/>
              <w:spacing w:before="0" w:after="283"/>
              <w:jc w:val="left"/>
              <w:rPr>
                <w:sz w:val="4"/>
                <w:szCs w:val="4"/>
              </w:rPr>
            </w:pPr>
            <w:r>
              <w:rPr>
                <w:sz w:val="4"/>
                <w:szCs w:val="4"/>
              </w:rPr>
            </w:r>
          </w:p>
        </w:tc>
        <w:tc>
          <w:tcPr>
            <w:tcW w:w="99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date specified in the Participating Director's Election Agreement (the "Optional Payment Date"), unless no Optional Payment Date is specified in the Election Agreement, in which case the Optional Payment Date shall be deemed selected and shall be the date of the Participating Director's Retirement.</w:t>
            </w:r>
          </w:p>
        </w:tc>
      </w:tr>
    </w:tbl>
    <w:p>
      <w:pPr>
        <w:pStyle w:val="TextBody"/>
        <w:bidi w:val="0"/>
        <w:spacing w:lineRule="auto" w:line="314" w:before="0" w:after="120"/>
        <w:ind w:left="0" w:right="0" w:hanging="0"/>
        <w:jc w:val="left"/>
        <w:rPr>
          <w:rFonts w:ascii="Arial;Helvetica;sans-serif" w:hAnsi="Arial;Helvetica;sans-serif"/>
          <w:sz w:val="20"/>
        </w:rPr>
      </w:pPr>
      <w:r>
        <w:rPr>
          <w:rFonts w:ascii="Arial;Helvetica;sans-serif" w:hAnsi="Arial;Helvetica;sans-serif"/>
          <w:sz w:val="20"/>
        </w:rPr>
        <w:t>No acceleration of the Deferred Payment Date is permitted unless authorized under the Code or in the regulations or guidance thereunder.</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(i)</w:t>
      </w:r>
      <w:r>
        <w:rPr>
          <w:rFonts w:ascii="Arial;Helvetica;sans-serif" w:hAnsi="Arial;Helvetica;sans-serif"/>
          <w:sz w:val="20"/>
          <w:u w:val="single"/>
        </w:rPr>
        <w:t>Plan Year</w:t>
      </w:r>
      <w:r>
        <w:rPr>
          <w:rFonts w:ascii="Arial;Helvetica;sans-serif" w:hAnsi="Arial;Helvetica;sans-serif"/>
          <w:sz w:val="20"/>
        </w:rPr>
        <w:t>. The Plan Year shall be January 1 to December 31 of each year.</w:t>
      </w:r>
    </w:p>
    <w:p>
      <w:pPr>
        <w:pStyle w:val="HorizontalLine"/>
        <w:pBdr>
          <w:bottom w:val="double" w:sz="2" w:space="0" w:color="808080"/>
        </w:pBdr>
        <w:bidi w:val="0"/>
        <w:spacing w:before="0" w:after="283"/>
        <w:jc w:val="left"/>
        <w:rPr/>
      </w:pPr>
      <w:r>
        <w:rPr/>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(j)</w:t>
      </w:r>
      <w:r>
        <w:rPr>
          <w:rFonts w:ascii="Arial;Helvetica;sans-serif" w:hAnsi="Arial;Helvetica;sans-serif"/>
          <w:sz w:val="20"/>
          <w:u w:val="single"/>
        </w:rPr>
        <w:t>Retainer Fee</w:t>
      </w:r>
      <w:r>
        <w:rPr>
          <w:rFonts w:ascii="Arial;Helvetica;sans-serif" w:hAnsi="Arial;Helvetica;sans-serif"/>
          <w:sz w:val="20"/>
        </w:rPr>
        <w:t>. The term "Retainer Fee" means fees payable with respect to an Eligible Director for his or her services as a director and/or committee member during the Plan Year in question.  The Retainer Fee shall be payable in cash (the "Cash Fee") and in shares of Company Stock (the "Stock Fee").</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(k)</w:t>
      </w:r>
      <w:r>
        <w:rPr>
          <w:rFonts w:ascii="Arial;Helvetica;sans-serif" w:hAnsi="Arial;Helvetica;sans-serif"/>
          <w:sz w:val="20"/>
          <w:u w:val="single"/>
        </w:rPr>
        <w:t>Retirement</w:t>
      </w:r>
      <w:r>
        <w:rPr>
          <w:rFonts w:ascii="Arial;Helvetica;sans-serif" w:hAnsi="Arial;Helvetica;sans-serif"/>
          <w:sz w:val="20"/>
        </w:rPr>
        <w:t>. The term "Retirement" shall mean the voluntary or involuntary resignation of a director, the removal of a director with or without cause, or the conclusion of a director's term of office where the director is not reelected by shareholders of the Company to a succeeding term, to the extent such event qualifies as a separation from service within the meaning of Internal Revenue Code Section 409A, as amended, and the Treasury Regulations promulgated thereunder.</w:t>
      </w:r>
    </w:p>
    <w:p>
      <w:pPr>
        <w:pStyle w:val="TextBody"/>
        <w:bidi w:val="0"/>
        <w:spacing w:lineRule="auto" w:line="314" w:before="0" w:after="0"/>
        <w:ind w:left="0" w:right="0" w:hanging="0"/>
        <w:jc w:val="both"/>
        <w:rPr>
          <w:rFonts w:ascii="Calibri;Helvetica;sans-serif" w:hAnsi="Calibri;Helvetica;sans-serif"/>
          <w:sz w:val="22"/>
        </w:rPr>
      </w:pPr>
      <w:r>
        <w:rPr>
          <w:rFonts w:ascii="Arial;Helvetica;sans-serif" w:hAnsi="Arial;Helvetica;sans-serif"/>
          <w:sz w:val="20"/>
        </w:rPr>
        <w:t>(l)</w:t>
      </w:r>
      <w:r>
        <w:rPr>
          <w:rFonts w:ascii="Arial;Helvetica;sans-serif" w:hAnsi="Arial;Helvetica;sans-serif"/>
          <w:sz w:val="20"/>
          <w:u w:val="single"/>
        </w:rPr>
        <w:t>Stock</w:t>
      </w:r>
      <w:r>
        <w:rPr>
          <w:rFonts w:ascii="Arial;Helvetica;sans-serif" w:hAnsi="Arial;Helvetica;sans-serif"/>
          <w:sz w:val="20"/>
        </w:rPr>
        <w:t>. The term "Stock" shall mean the no par value common stock of the Company.</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5.</w:t>
      </w:r>
      <w:r>
        <w:rPr>
          <w:rFonts w:ascii="Arial;Helvetica;sans-serif" w:hAnsi="Arial;Helvetica;sans-serif"/>
          <w:sz w:val="20"/>
          <w:u w:val="single"/>
        </w:rPr>
        <w:t>DIRECTORS' ELECTIONS</w:t>
      </w:r>
      <w:r>
        <w:rPr>
          <w:rFonts w:ascii="Arial;Helvetica;sans-serif" w:hAnsi="Arial;Helvetica;sans-serif"/>
          <w:sz w:val="20"/>
        </w:rPr>
        <w:t>. Each Eligible Director may specify in his or her Election Agreement, on an annual basis as set forth in Section 6, to defer receipt of the following forms of compensation: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(a)</w:t>
      </w:r>
      <w:r>
        <w:rPr>
          <w:rFonts w:ascii="Arial;Helvetica;sans-serif" w:hAnsi="Arial;Helvetica;sans-serif"/>
          <w:sz w:val="20"/>
          <w:u w:val="single"/>
        </w:rPr>
        <w:t>Deferral of Cash Fee</w:t>
      </w:r>
      <w:r>
        <w:rPr>
          <w:rFonts w:ascii="Arial;Helvetica;sans-serif" w:hAnsi="Arial;Helvetica;sans-serif"/>
          <w:sz w:val="20"/>
        </w:rPr>
        <w:t>.  All or a percentage portion of the Retainer Fee that is to be paid to the Eligible Director in cash to which the Eligible Director may be entitled for the next succeeding Plan Year following the year in which the deferral election is made on account of service as a director of the Company (the "Deferred Cash Fee"),</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(b)</w:t>
      </w:r>
      <w:r>
        <w:rPr>
          <w:rFonts w:ascii="Arial;Helvetica;sans-serif" w:hAnsi="Arial;Helvetica;sans-serif"/>
          <w:sz w:val="20"/>
          <w:u w:val="single"/>
        </w:rPr>
        <w:t>Deferral of Stock Fee</w:t>
      </w:r>
      <w:r>
        <w:rPr>
          <w:rFonts w:ascii="Arial;Helvetica;sans-serif" w:hAnsi="Arial;Helvetica;sans-serif"/>
          <w:sz w:val="20"/>
        </w:rPr>
        <w:t>.  All or a percentage portion of the Retainer Fee that is to be paid to the Eligible Director in the form of Stock to which the Eligible Director may be entitled for the next succeeding Plan Year following the year in which the deferral election is made on account of service as a director of the Company (the "Deferred Stock Fee"), and/or</w:t>
      </w:r>
    </w:p>
    <w:p>
      <w:pPr>
        <w:pStyle w:val="TextBody"/>
        <w:bidi w:val="0"/>
        <w:spacing w:lineRule="auto" w:line="314"/>
        <w:ind w:left="0" w:right="0" w:hanging="0"/>
        <w:jc w:val="both"/>
        <w:rPr>
          <w:rFonts w:ascii="Calibri;Helvetica;sans-serif" w:hAnsi="Calibri;Helvetica;sans-serif"/>
          <w:sz w:val="22"/>
        </w:rPr>
      </w:pPr>
      <w:r>
        <w:rPr>
          <w:rFonts w:ascii="Arial;Helvetica;sans-serif" w:hAnsi="Arial;Helvetica;sans-serif"/>
          <w:sz w:val="20"/>
        </w:rPr>
        <w:t>(c)</w:t>
      </w:r>
      <w:r>
        <w:rPr>
          <w:rFonts w:ascii="Arial;Helvetica;sans-serif" w:hAnsi="Arial;Helvetica;sans-serif"/>
          <w:sz w:val="20"/>
          <w:u w:val="single"/>
        </w:rPr>
        <w:t>Deferral of Committee Cash Fees</w:t>
      </w:r>
      <w:r>
        <w:rPr>
          <w:rFonts w:ascii="Arial;Helvetica;sans-serif" w:hAnsi="Arial;Helvetica;sans-serif"/>
          <w:sz w:val="20"/>
        </w:rPr>
        <w:t xml:space="preserve">.  All or a percentage of portion of the Retainer Fee paid to an Eligible Director in cash to which the Eligible Director may be entitled for the next succeeding Plan Year following the Plan Year in which the deferral election is made on account of service as a member of a committee of the Board of Directors of the Company, including committee chairperson fees (the "Deferred Committee Fee" and collectively with the Deferred Cash Fee and Deferred Stock Fee, the "Deferred Fee"). </w:t>
      </w:r>
    </w:p>
    <w:p>
      <w:pPr>
        <w:pStyle w:val="TextBody"/>
        <w:bidi w:val="0"/>
        <w:spacing w:lineRule="auto" w:line="314" w:before="0" w:after="120"/>
        <w:ind w:left="0" w:right="0" w:hanging="0"/>
        <w:jc w:val="both"/>
        <w:rPr>
          <w:rFonts w:ascii="Arial;Helvetica;sans-serif" w:hAnsi="Arial;Helvetica;sans-serif"/>
          <w:sz w:val="20"/>
        </w:rPr>
      </w:pPr>
      <w:r>
        <w:rPr>
          <w:rFonts w:ascii="Arial;Helvetica;sans-serif" w:hAnsi="Arial;Helvetica;sans-serif"/>
          <w:sz w:val="20"/>
        </w:rPr>
        <w:t>Any portion of an Eligible Director's Retainer Fee that the Eligible Director does not elect to be part of the Deferred Fee (the "Non-Deferred Fee") shall be paid to the Eligible Director as set forth in Section 7.</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6.</w:t>
      </w:r>
      <w:r>
        <w:rPr>
          <w:rFonts w:ascii="Arial;Helvetica;sans-serif" w:hAnsi="Arial;Helvetica;sans-serif"/>
          <w:sz w:val="20"/>
          <w:u w:val="single"/>
        </w:rPr>
        <w:t>ELECTION PROCEDURES</w:t>
      </w:r>
      <w:r>
        <w:rPr>
          <w:rFonts w:ascii="Arial;Helvetica;sans-serif" w:hAnsi="Arial;Helvetica;sans-serif"/>
          <w:sz w:val="20"/>
        </w:rPr>
        <w:t xml:space="preserve">. In order to participate in the Plan for a particular Plan Year, an Eligible Director must elect in writing on a properly completed and executed Election Agreement to participate, and deliver this Election Agreement to the Company at the address specified in the Election Agreement. Such election must be effective before the beginning of the Plan Year to which the election relates. An Eligible Director may, however, make an election in writing to participate with respect to the remainder of a Plan Year within thirty (30) days after the date the Eligible Director first becomes eligible to participate in the Plan. </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7.</w:t>
      </w:r>
      <w:r>
        <w:rPr>
          <w:rFonts w:ascii="Arial;Helvetica;sans-serif" w:hAnsi="Arial;Helvetica;sans-serif"/>
          <w:sz w:val="20"/>
          <w:u w:val="single"/>
        </w:rPr>
        <w:t>PAYMENT OF NON-DEFERRED FEE</w:t>
      </w:r>
      <w:r>
        <w:rPr>
          <w:rFonts w:ascii="Arial;Helvetica;sans-serif" w:hAnsi="Arial;Helvetica;sans-serif"/>
          <w:sz w:val="20"/>
        </w:rPr>
        <w:t xml:space="preserve">. </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(a)</w:t>
      </w:r>
      <w:r>
        <w:rPr>
          <w:rFonts w:ascii="Arial;Helvetica;sans-serif" w:hAnsi="Arial;Helvetica;sans-serif"/>
          <w:sz w:val="20"/>
          <w:u w:val="single"/>
        </w:rPr>
        <w:t>Non-Deferred Cash Fee</w:t>
      </w:r>
      <w:r>
        <w:rPr>
          <w:rFonts w:ascii="Arial;Helvetica;sans-serif" w:hAnsi="Arial;Helvetica;sans-serif"/>
          <w:sz w:val="20"/>
        </w:rPr>
        <w:t xml:space="preserve">.  The portion of the Non-Deferred Fee that is to be paid to the Eligible Director in cash (the "Non-Deferred Cash Fee") shall be paid to the Eligible Director on the day upon which such amounts are earned, as set forth in this Section 7. For this purpose, the amounts of a Participating Director's Non-Deferred Fee are deemed earned on May 1 (February through April amounts), August 1 (May through July amounts), November 1 (August through October amounts), and the next February 1 (November through January amounts) (collectively, the "Non-Deferred Payment Dates"). </w:t>
      </w:r>
    </w:p>
    <w:p>
      <w:pPr>
        <w:pStyle w:val="TextBody"/>
        <w:bidi w:val="0"/>
        <w:spacing w:lineRule="auto" w:line="314"/>
        <w:ind w:left="0" w:right="0" w:hanging="0"/>
        <w:jc w:val="both"/>
        <w:rPr>
          <w:rFonts w:ascii="Calibri;Helvetica;sans-serif" w:hAnsi="Calibri;Helvetica;sans-serif"/>
          <w:sz w:val="22"/>
        </w:rPr>
      </w:pPr>
      <w:r>
        <w:rPr>
          <w:rFonts w:ascii="Arial;Helvetica;sans-serif" w:hAnsi="Arial;Helvetica;sans-serif"/>
          <w:sz w:val="20"/>
        </w:rPr>
        <w:t>(b)</w:t>
      </w:r>
      <w:r>
        <w:rPr>
          <w:rFonts w:ascii="Arial;Helvetica;sans-serif" w:hAnsi="Arial;Helvetica;sans-serif"/>
          <w:sz w:val="20"/>
          <w:u w:val="single"/>
        </w:rPr>
        <w:t>Non-Deferred Stock Fee</w:t>
      </w:r>
      <w:r>
        <w:rPr>
          <w:rFonts w:ascii="Arial;Helvetica;sans-serif" w:hAnsi="Arial;Helvetica;sans-serif"/>
          <w:sz w:val="20"/>
        </w:rPr>
        <w:t xml:space="preserve">.  The portion of the Non-Deferred Retainer that is to be paid to the Eligible Director in Stock (the "Non-Deferred Stock Fee") will be used to acquire, at a price per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both"/>
        <w:rPr>
          <w:rFonts w:ascii="Arial;Helvetica;sans-serif" w:hAnsi="Arial;Helvetica;sans-serif"/>
          <w:sz w:val="20"/>
        </w:rPr>
      </w:pPr>
      <w:r>
        <w:rPr>
          <w:rFonts w:ascii="Arial;Helvetica;sans-serif" w:hAnsi="Arial;Helvetica;sans-serif"/>
          <w:sz w:val="20"/>
        </w:rPr>
        <w:t>share equal to Market Price on the applicable Non-Deferred Payment Date, as many whole shares of Stock as possible using the Non-Deferred Stock Fee of that Eligible Director. Stock acquired for this purpose may be either newly issued shares or shares purchased by the Company and reissued. The shares of Stock will be issued to the Eligible Director within five (5) business days after the Non-Deferred Payment Date, provided that no shares may be sold, conveyed, assigned, pledged, or otherwise transferred by the Eligible Director until at least six (6) months after the Non-Deferred Payment Date. Any portion of the Non-Deferred Stock Fee remaining after purchase of the whole shares of Stock will be carried forward until the next Non-Deferred Payment Date, unless the Eligible Director has terminated participation in the Plan before such date, in which case such remainder will be paid in cash.</w:t>
      </w:r>
    </w:p>
    <w:p>
      <w:pPr>
        <w:pStyle w:val="TextBody"/>
        <w:bidi w:val="0"/>
        <w:spacing w:lineRule="auto" w:line="314" w:before="0" w:after="0"/>
        <w:ind w:left="0" w:right="0" w:hanging="0"/>
        <w:jc w:val="both"/>
        <w:rPr>
          <w:rFonts w:ascii="Calibri;Helvetica;sans-serif" w:hAnsi="Calibri;Helvetica;sans-serif"/>
          <w:sz w:val="22"/>
        </w:rPr>
      </w:pPr>
      <w:r>
        <w:rPr>
          <w:rFonts w:ascii="Arial;Helvetica;sans-serif" w:hAnsi="Arial;Helvetica;sans-serif"/>
          <w:sz w:val="20"/>
        </w:rPr>
        <w:t>8.</w:t>
      </w:r>
      <w:r>
        <w:rPr>
          <w:rFonts w:ascii="Arial;Helvetica;sans-serif" w:hAnsi="Arial;Helvetica;sans-serif"/>
          <w:sz w:val="20"/>
          <w:u w:val="single"/>
        </w:rPr>
        <w:t>DEFERRAL ACCOUNT</w:t>
      </w:r>
      <w:r>
        <w:rPr>
          <w:rFonts w:ascii="Arial;Helvetica;sans-serif" w:hAnsi="Arial;Helvetica;sans-serif"/>
          <w:sz w:val="20"/>
        </w:rPr>
        <w:t>.</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(a)</w:t>
      </w:r>
      <w:r>
        <w:rPr>
          <w:rFonts w:ascii="Arial;Helvetica;sans-serif" w:hAnsi="Arial;Helvetica;sans-serif"/>
          <w:sz w:val="20"/>
          <w:u w:val="single"/>
        </w:rPr>
        <w:t>Establishment of Account</w:t>
      </w:r>
      <w:r>
        <w:rPr>
          <w:rFonts w:ascii="Arial;Helvetica;sans-serif" w:hAnsi="Arial;Helvetica;sans-serif"/>
          <w:sz w:val="20"/>
        </w:rPr>
        <w:t>. The Company shall establish and maintain a Deferral Account for each Participating Director. The Deferral Account shall reflect all entries required to be made pursuant to the terms and conditions of the Participating Director's Election Agreement. There shall be a separate accounting for each Election Agreement made by each Participating Director.</w:t>
      </w:r>
    </w:p>
    <w:p>
      <w:pPr>
        <w:pStyle w:val="TextBody"/>
        <w:bidi w:val="0"/>
        <w:spacing w:lineRule="auto" w:line="314" w:before="0" w:after="0"/>
        <w:ind w:left="0" w:right="0" w:hanging="0"/>
        <w:jc w:val="both"/>
        <w:rPr>
          <w:rFonts w:ascii="Calibri;Helvetica;sans-serif" w:hAnsi="Calibri;Helvetica;sans-serif"/>
          <w:sz w:val="22"/>
        </w:rPr>
      </w:pPr>
      <w:r>
        <w:rPr>
          <w:rFonts w:ascii="Arial;Helvetica;sans-serif" w:hAnsi="Arial;Helvetica;sans-serif"/>
          <w:sz w:val="20"/>
        </w:rPr>
        <w:t>(b)</w:t>
      </w:r>
      <w:r>
        <w:rPr>
          <w:rFonts w:ascii="Arial;Helvetica;sans-serif" w:hAnsi="Arial;Helvetica;sans-serif"/>
          <w:sz w:val="20"/>
          <w:u w:val="single"/>
        </w:rPr>
        <w:t>Credits to Account</w:t>
      </w:r>
      <w:r>
        <w:rPr>
          <w:rFonts w:ascii="Arial;Helvetica;sans-serif" w:hAnsi="Arial;Helvetica;sans-serif"/>
          <w:sz w:val="20"/>
        </w:rPr>
        <w:t xml:space="preserve">. </w:t>
      </w:r>
    </w:p>
    <w:tbl>
      <w:tblPr>
        <w:tblW w:w="10205" w:type="dxa"/>
        <w:jc w:val="left"/>
        <w:tblInd w:w="0" w:type="dxa"/>
        <w:tblLayout w:type="fixed"/>
        <w:tblCellMar>
          <w:top w:w="0" w:type="dxa"/>
          <w:left w:w="0" w:type="dxa"/>
          <w:bottom w:w="0" w:type="dxa"/>
          <w:right w:w="0" w:type="dxa"/>
        </w:tblCellMar>
      </w:tblPr>
      <w:tblGrid>
        <w:gridCol w:w="125"/>
        <w:gridCol w:w="23"/>
        <w:gridCol w:w="10057"/>
      </w:tblGrid>
      <w:tr>
        <w:trPr/>
        <w:tc>
          <w:tcPr>
            <w:tcW w:w="125"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w:t>
            </w:r>
          </w:p>
        </w:tc>
        <w:tc>
          <w:tcPr>
            <w:tcW w:w="23" w:type="dxa"/>
            <w:tcBorders/>
            <w:vAlign w:val="center"/>
          </w:tcPr>
          <w:p>
            <w:pPr>
              <w:pStyle w:val="TableContents"/>
              <w:bidi w:val="0"/>
              <w:spacing w:before="0" w:after="283"/>
              <w:jc w:val="left"/>
              <w:rPr>
                <w:sz w:val="4"/>
                <w:szCs w:val="4"/>
              </w:rPr>
            </w:pPr>
            <w:r>
              <w:rPr>
                <w:sz w:val="4"/>
                <w:szCs w:val="4"/>
              </w:rPr>
            </w:r>
          </w:p>
        </w:tc>
        <w:tc>
          <w:tcPr>
            <w:tcW w:w="1005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u w:val="single"/>
              </w:rPr>
              <w:t>Cash Deferrals</w:t>
            </w:r>
            <w:r>
              <w:rPr>
                <w:rFonts w:ascii="Arial;Helvetica;sans-serif" w:hAnsi="Arial;Helvetica;sans-serif"/>
                <w:b w:val="false"/>
                <w:i w:val="false"/>
                <w:caps w:val="false"/>
                <w:smallCaps w:val="false"/>
                <w:sz w:val="20"/>
              </w:rPr>
              <w:t xml:space="preserve">. The Company shall credit to a Participating Director's Deferral Account a number (to four decimal places) of units that is equal to 110% of the amount of the Participating Directors' Deferred Cash Fee pursuant to Section 5(a) or the Deferred Committee Fee pursuant to Section 5(c) pursuant to an Election Agreement, as periodically earned by the Participating Director divided by the Market Price on the day upon which such amounts are earned. For this purpose, the amounts of a Participating Director's Deferred Cash Fee are deemed earned on May 1 (February through April amounts), August 1 (May through July amounts), November 1 (August through October amounts), and the next February 1 (November through January amounts). </w:t>
            </w:r>
          </w:p>
        </w:tc>
      </w:tr>
    </w:tbl>
    <w:tbl>
      <w:tblPr>
        <w:tblW w:w="10205" w:type="dxa"/>
        <w:jc w:val="left"/>
        <w:tblInd w:w="0" w:type="dxa"/>
        <w:tblLayout w:type="fixed"/>
        <w:tblCellMar>
          <w:top w:w="0" w:type="dxa"/>
          <w:left w:w="0" w:type="dxa"/>
          <w:bottom w:w="0" w:type="dxa"/>
          <w:right w:w="0" w:type="dxa"/>
        </w:tblCellMar>
      </w:tblPr>
      <w:tblGrid>
        <w:gridCol w:w="170"/>
        <w:gridCol w:w="23"/>
        <w:gridCol w:w="10012"/>
      </w:tblGrid>
      <w:tr>
        <w:trPr/>
        <w:tc>
          <w:tcPr>
            <w:tcW w:w="170"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ii.</w:t>
            </w:r>
          </w:p>
        </w:tc>
        <w:tc>
          <w:tcPr>
            <w:tcW w:w="23" w:type="dxa"/>
            <w:tcBorders/>
            <w:vAlign w:val="center"/>
          </w:tcPr>
          <w:p>
            <w:pPr>
              <w:pStyle w:val="TableContents"/>
              <w:bidi w:val="0"/>
              <w:spacing w:before="0" w:after="283"/>
              <w:jc w:val="left"/>
              <w:rPr>
                <w:sz w:val="4"/>
                <w:szCs w:val="4"/>
              </w:rPr>
            </w:pPr>
            <w:r>
              <w:rPr>
                <w:sz w:val="4"/>
                <w:szCs w:val="4"/>
              </w:rPr>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u w:val="single"/>
              </w:rPr>
              <w:t>Stock Deferrals</w:t>
            </w:r>
            <w:r>
              <w:rPr>
                <w:rFonts w:ascii="Arial;Helvetica;sans-serif" w:hAnsi="Arial;Helvetica;sans-serif"/>
                <w:b w:val="false"/>
                <w:i w:val="false"/>
                <w:caps w:val="false"/>
                <w:smallCaps w:val="false"/>
                <w:sz w:val="20"/>
              </w:rPr>
              <w:t>. The Company shall credit to the Deferral Account, on each day the number of units that is equal to 100% of the number of shares of Company Stock deferred pursuant to the Participating Directors' Deferred Stock Director Retainer under to Section 5(b) (including any fractional shares), as periodically earned by the Participating Director. For this purpose, the amounts of a Participating Director's Deferred Stock Fee are deemed earned on May 1 (February through April amounts), August 1 (May through July amounts), November 1 (August through October amounts), and the next February 1 (November through January amounts).</w:t>
            </w:r>
          </w:p>
        </w:tc>
      </w:tr>
    </w:tbl>
    <w:tbl>
      <w:tblPr>
        <w:tblW w:w="10205" w:type="dxa"/>
        <w:jc w:val="left"/>
        <w:tblInd w:w="0" w:type="dxa"/>
        <w:tblLayout w:type="fixed"/>
        <w:tblCellMar>
          <w:top w:w="0" w:type="dxa"/>
          <w:left w:w="0" w:type="dxa"/>
          <w:bottom w:w="0" w:type="dxa"/>
          <w:right w:w="0" w:type="dxa"/>
        </w:tblCellMar>
      </w:tblPr>
      <w:tblGrid>
        <w:gridCol w:w="215"/>
        <w:gridCol w:w="23"/>
        <w:gridCol w:w="9967"/>
      </w:tblGrid>
      <w:tr>
        <w:trPr/>
        <w:tc>
          <w:tcPr>
            <w:tcW w:w="215"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iii.</w:t>
            </w:r>
          </w:p>
        </w:tc>
        <w:tc>
          <w:tcPr>
            <w:tcW w:w="23" w:type="dxa"/>
            <w:tcBorders/>
            <w:vAlign w:val="center"/>
          </w:tcPr>
          <w:p>
            <w:pPr>
              <w:pStyle w:val="TableContents"/>
              <w:bidi w:val="0"/>
              <w:spacing w:before="0" w:after="283"/>
              <w:jc w:val="left"/>
              <w:rPr>
                <w:sz w:val="4"/>
                <w:szCs w:val="4"/>
              </w:rPr>
            </w:pPr>
            <w:r>
              <w:rPr>
                <w:sz w:val="4"/>
                <w:szCs w:val="4"/>
              </w:rPr>
            </w:r>
          </w:p>
        </w:tc>
        <w:tc>
          <w:tcPr>
            <w:tcW w:w="996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u w:val="single"/>
              </w:rPr>
              <w:t>Credits for Dividend Payments</w:t>
            </w:r>
            <w:r>
              <w:rPr>
                <w:rFonts w:ascii="Arial;Helvetica;sans-serif" w:hAnsi="Arial;Helvetica;sans-serif"/>
                <w:b w:val="false"/>
                <w:i w:val="false"/>
                <w:caps w:val="false"/>
                <w:smallCaps w:val="false"/>
                <w:sz w:val="20"/>
              </w:rPr>
              <w:t xml:space="preserve">. The Company shall credit to the Deferral Account, on each day the Company declares a cash dividend to holders of the Stock, that number (to four decimal places) of units that is equal to the total number of units in the Participating Director's Deferral Account on the declaration date for such dividend, multiplied by the cash dividend per share of Stock dividend by the Market Price on the declaration date for such dividend. </w:t>
            </w:r>
          </w:p>
        </w:tc>
      </w:tr>
    </w:tbl>
    <w:tbl>
      <w:tblPr>
        <w:tblW w:w="10205" w:type="dxa"/>
        <w:jc w:val="left"/>
        <w:tblInd w:w="0" w:type="dxa"/>
        <w:tblLayout w:type="fixed"/>
        <w:tblCellMar>
          <w:top w:w="0" w:type="dxa"/>
          <w:left w:w="0" w:type="dxa"/>
          <w:bottom w:w="0" w:type="dxa"/>
          <w:right w:w="0" w:type="dxa"/>
        </w:tblCellMar>
      </w:tblPr>
      <w:tblGrid>
        <w:gridCol w:w="230"/>
        <w:gridCol w:w="23"/>
        <w:gridCol w:w="9952"/>
      </w:tblGrid>
      <w:tr>
        <w:trPr/>
        <w:tc>
          <w:tcPr>
            <w:tcW w:w="230"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iv.</w:t>
            </w:r>
          </w:p>
        </w:tc>
        <w:tc>
          <w:tcPr>
            <w:tcW w:w="23" w:type="dxa"/>
            <w:tcBorders/>
            <w:vAlign w:val="center"/>
          </w:tcPr>
          <w:p>
            <w:pPr>
              <w:pStyle w:val="TableContents"/>
              <w:bidi w:val="0"/>
              <w:spacing w:before="0" w:after="283"/>
              <w:jc w:val="left"/>
              <w:rPr>
                <w:sz w:val="4"/>
                <w:szCs w:val="4"/>
              </w:rPr>
            </w:pPr>
            <w:r>
              <w:rPr>
                <w:sz w:val="4"/>
                <w:szCs w:val="4"/>
              </w:rPr>
            </w:r>
          </w:p>
        </w:tc>
        <w:tc>
          <w:tcPr>
            <w:tcW w:w="995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u w:val="single"/>
              </w:rPr>
              <w:t>Adjustments</w:t>
            </w:r>
            <w:r>
              <w:rPr>
                <w:rFonts w:ascii="Arial;Helvetica;sans-serif" w:hAnsi="Arial;Helvetica;sans-serif"/>
                <w:b w:val="false"/>
                <w:i w:val="false"/>
                <w:caps w:val="false"/>
                <w:smallCaps w:val="false"/>
                <w:sz w:val="20"/>
              </w:rPr>
              <w:t xml:space="preserve">. The number of units credited to a Deferral Account t shall be adjusted appropriately by the Company in the event of any change in the Stock by reason of stock dividends, split-ups, recapitalizations, combinations, exchanges of shares and other like capital changes, but no adjustment shall be required by reason of any sales of shares of Stock by the Company at any price, whether below, at or above Market Price, and whether by or pursuant to warrant, option, right, conversion right or privilege or otherwise, and a Participating Director shall have </w:t>
            </w:r>
          </w:p>
        </w:tc>
      </w:tr>
    </w:tbl>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tbl>
      <w:tblPr>
        <w:tblW w:w="9246" w:type="dxa"/>
        <w:jc w:val="left"/>
        <w:tblInd w:w="0" w:type="dxa"/>
        <w:tblLayout w:type="fixed"/>
        <w:tblCellMar>
          <w:top w:w="0" w:type="dxa"/>
          <w:left w:w="0" w:type="dxa"/>
          <w:bottom w:w="0" w:type="dxa"/>
          <w:right w:w="0" w:type="dxa"/>
        </w:tblCellMar>
      </w:tblPr>
      <w:tblGrid>
        <w:gridCol w:w="23"/>
        <w:gridCol w:w="23"/>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2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rights as a holder of Stock unless and until a certificate for shares of Stock is issued by the Company.</w:t>
            </w:r>
          </w:p>
        </w:tc>
      </w:tr>
    </w:tbl>
    <w:p>
      <w:pPr>
        <w:pStyle w:val="TextBody"/>
        <w:bidi w:val="0"/>
        <w:spacing w:lineRule="auto" w:line="314" w:before="0" w:after="0"/>
        <w:ind w:left="0" w:right="0" w:hanging="0"/>
        <w:jc w:val="both"/>
        <w:rPr>
          <w:rFonts w:ascii="Calibri;Helvetica;sans-serif" w:hAnsi="Calibri;Helvetica;sans-serif"/>
          <w:sz w:val="22"/>
        </w:rPr>
      </w:pPr>
      <w:r>
        <w:rPr>
          <w:rFonts w:ascii="Arial;Helvetica;sans-serif" w:hAnsi="Arial;Helvetica;sans-serif"/>
          <w:sz w:val="20"/>
        </w:rPr>
        <w:t>9.</w:t>
      </w:r>
      <w:r>
        <w:rPr>
          <w:rFonts w:ascii="Arial;Helvetica;sans-serif" w:hAnsi="Arial;Helvetica;sans-serif"/>
          <w:sz w:val="20"/>
          <w:u w:val="single"/>
        </w:rPr>
        <w:t>PAYMENT OF DEFERRAL ACCOUNT VALUE</w:t>
      </w:r>
      <w:r>
        <w:rPr>
          <w:rFonts w:ascii="Arial;Helvetica;sans-serif" w:hAnsi="Arial;Helvetica;sans-serif"/>
          <w:sz w:val="20"/>
        </w:rPr>
        <w:t>.</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(a)</w:t>
      </w:r>
      <w:r>
        <w:rPr>
          <w:rFonts w:ascii="Arial;Helvetica;sans-serif" w:hAnsi="Arial;Helvetica;sans-serif"/>
          <w:sz w:val="20"/>
          <w:u w:val="single"/>
        </w:rPr>
        <w:t>General</w:t>
      </w:r>
      <w:r>
        <w:rPr>
          <w:rFonts w:ascii="Arial;Helvetica;sans-serif" w:hAnsi="Arial;Helvetica;sans-serif"/>
          <w:sz w:val="20"/>
        </w:rPr>
        <w:t>. The Company shall, with respect to each Deferral Account for each Participating Director, cause to be delivered to such Participating Director (or any applicable alternate payee, as determined under the Plan or the applicable Election Agreement) as soon as practicable following the Payment Date, but in no event later than two and one-half (2.5) months following the last day of the Plan Year that includes applicable the Payment Date, the Payment Date value of such Deferral Account, in the form of shares of Stock, so that for each single unit credited to the Deferral Account the Participating Director shall be entitled to payment in the form of a single share of Company Stock, pursuant to the express terms and conditions of the Plan and the applicable Election Agreement. The Company may fulfill any obligation to pay shares of Stock pursuant to the terms of this Plan by newly-issued shares or shares purchased by the Company and reissued.</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(b)</w:t>
      </w:r>
      <w:r>
        <w:rPr>
          <w:rFonts w:ascii="Arial;Helvetica;sans-serif" w:hAnsi="Arial;Helvetica;sans-serif"/>
          <w:sz w:val="20"/>
          <w:u w:val="single"/>
        </w:rPr>
        <w:t>Disability</w:t>
      </w:r>
      <w:r>
        <w:rPr>
          <w:rFonts w:ascii="Arial;Helvetica;sans-serif" w:hAnsi="Arial;Helvetica;sans-serif"/>
          <w:sz w:val="20"/>
        </w:rPr>
        <w:t>. If a Payment Date occurs by reason of a determination by the Company that the Participating Director has become totally and permanently disabled (as defined in Code Section 409A), and if the disability is due to mental incapacity, the shares of Stock deliverable under the Plan and the applicable Election Agreement shall be issued in the name of and delivered to the Participating Director's legally appointed personal representative. If no such representative has been appointed, then delivery date shall be in the name of and to the Participating Director's spouse, or if the Participating Director is then unmarried, such shares of stock or dollar amount shall be held until the persons who would be entitled thereto, if the Participating Director were then to die intestate, make proper claim of the Company for such shares of stock or dollar amount.</w:t>
      </w:r>
    </w:p>
    <w:p>
      <w:pPr>
        <w:pStyle w:val="TextBody"/>
        <w:bidi w:val="0"/>
        <w:spacing w:lineRule="auto" w:line="314" w:before="0" w:after="0"/>
        <w:ind w:left="0" w:right="0" w:hanging="0"/>
        <w:jc w:val="both"/>
        <w:rPr>
          <w:rFonts w:ascii="Calibri;Helvetica;sans-serif" w:hAnsi="Calibri;Helvetica;sans-serif"/>
          <w:sz w:val="22"/>
        </w:rPr>
      </w:pPr>
      <w:r>
        <w:rPr>
          <w:rFonts w:ascii="Arial;Helvetica;sans-serif" w:hAnsi="Arial;Helvetica;sans-serif"/>
          <w:sz w:val="20"/>
        </w:rPr>
        <w:t>(c)</w:t>
      </w:r>
      <w:r>
        <w:rPr>
          <w:rFonts w:ascii="Arial;Helvetica;sans-serif" w:hAnsi="Arial;Helvetica;sans-serif"/>
          <w:sz w:val="20"/>
          <w:u w:val="single"/>
        </w:rPr>
        <w:t>Death</w:t>
      </w:r>
      <w:r>
        <w:rPr>
          <w:rFonts w:ascii="Arial;Helvetica;sans-serif" w:hAnsi="Arial;Helvetica;sans-serif"/>
          <w:sz w:val="20"/>
        </w:rPr>
        <w:t>. If a Payment Date occurs because the Participating Director died, the shares of Stock required to be delivered under the Plan and the applicable Election Agreement shall be issued not later than two (2) months following the end of the Plan Year in which the Participating Director died, in the name and delivered to the Participating Director's beneficiary (or beneficiaries) as designated in the applicable Election Agreement, or, if none are so designated, in the name of and to the legally appointed personal representative of the Participating Director's estate. If no legal proceedings for such appointment have been instituted within sixty (60) days after receipt by the Company of notice of the Participating Director's death, such delivery shall be in accordance with the last sentence of Paragraph 7(b) above.</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10.</w:t>
      </w:r>
      <w:r>
        <w:rPr>
          <w:rFonts w:ascii="Arial;Helvetica;sans-serif" w:hAnsi="Arial;Helvetica;sans-serif"/>
          <w:sz w:val="20"/>
          <w:u w:val="single"/>
        </w:rPr>
        <w:t>ADMINISTRATION</w:t>
      </w:r>
      <w:r>
        <w:rPr>
          <w:rFonts w:ascii="Arial;Helvetica;sans-serif" w:hAnsi="Arial;Helvetica;sans-serif"/>
          <w:sz w:val="20"/>
        </w:rPr>
        <w:t>. The Plan shall be administered by the Compensation Committee of the Board of Directors of the Company, each of whom qualifies as an "independent" director under the applicable rules of the NASDAQ stock market (the "Plan Administrator"), who shall have the authority to interpret the Plan and to adopt procedures for implementing the Plan.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11.</w:t>
      </w:r>
      <w:r>
        <w:rPr>
          <w:rFonts w:ascii="Arial;Helvetica;sans-serif" w:hAnsi="Arial;Helvetica;sans-serif"/>
          <w:sz w:val="20"/>
          <w:u w:val="single"/>
        </w:rPr>
        <w:t>OTHER BENEFITS</w:t>
      </w:r>
      <w:r>
        <w:rPr>
          <w:rFonts w:ascii="Arial;Helvetica;sans-serif" w:hAnsi="Arial;Helvetica;sans-serif"/>
          <w:sz w:val="20"/>
        </w:rPr>
        <w:t>. Except to the extent specifically provided in the Company's Retirement Plan for Directors, or any other plan or arrangement maintained or sponsored by the Company, the Plan benefits to Eligible Directors (other than Retainer Fees) shall not be deemed to be compensation for the purpose of computing benefits under such Retirement Plan for Directors or other plan or arrangement.</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12.</w:t>
      </w:r>
      <w:r>
        <w:rPr>
          <w:rFonts w:ascii="Arial;Helvetica;sans-serif" w:hAnsi="Arial;Helvetica;sans-serif"/>
          <w:sz w:val="20"/>
          <w:u w:val="single"/>
        </w:rPr>
        <w:t>STATUS OF DEFERRAL ACCOUNT</w:t>
      </w:r>
      <w:r>
        <w:rPr>
          <w:rFonts w:ascii="Arial;Helvetica;sans-serif" w:hAnsi="Arial;Helvetica;sans-serif"/>
          <w:sz w:val="20"/>
        </w:rPr>
        <w:t xml:space="preserve">. The Company shall have full and unrestricted use of all property or amounts payable pursuant to the Plan, and title to and beneficial ownership of any assets which the Company may earmark to pay the amounts hereunder shall at all times remain in the Company and no Eligible Director shall have any property interest whatsoever in any specific assets of the Company. The Deferral Account is a nominal account for bookkeeping purposes, and is not intended to be a trust account or escrow account for the benefit of a Participating Director or any other person, or an asset segregation for the benefit of a Participating Director or any other person. All Stock or cash held in a trust shall be held on a commingled basis and shall be subject to the claims of general creditors of the Company.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spacing w:lineRule="auto" w:line="314" w:before="0" w:after="120"/>
        <w:ind w:left="0" w:right="0" w:hanging="0"/>
        <w:jc w:val="both"/>
        <w:rPr>
          <w:rFonts w:ascii="Arial;Helvetica;sans-serif" w:hAnsi="Arial;Helvetica;sans-serif"/>
          <w:sz w:val="20"/>
        </w:rPr>
      </w:pPr>
      <w:r>
        <w:rPr>
          <w:rFonts w:ascii="Arial;Helvetica;sans-serif" w:hAnsi="Arial;Helvetica;sans-serif"/>
          <w:sz w:val="20"/>
        </w:rPr>
        <w:t>All Stock held in any such trust shall be voted by the trustee of the trust in its discretion. The sole right of a Participating Director, or a Participating Director's heirs or personal representatives, is a right as an unsecured general creditor of the Company to claim any shares of Stock or dollar amount to which the Participating Director becomes entitled, pursuant to the terms and conditions of the Participating Director's Election Agreement and the Plan. The Company shall provide each Participating Director with an annual report of his or her Deferral Account balance. Such reporting shall be made each January.</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13.</w:t>
      </w:r>
      <w:r>
        <w:rPr>
          <w:rFonts w:ascii="Arial;Helvetica;sans-serif" w:hAnsi="Arial;Helvetica;sans-serif"/>
          <w:sz w:val="20"/>
          <w:u w:val="single"/>
        </w:rPr>
        <w:t>AMENDMENT OR TERMINATION</w:t>
      </w:r>
      <w:r>
        <w:rPr>
          <w:rFonts w:ascii="Arial;Helvetica;sans-serif" w:hAnsi="Arial;Helvetica;sans-serif"/>
          <w:sz w:val="20"/>
        </w:rPr>
        <w:t>. The Company may, at any time and from time to time, terminate the Plan or make such amendments as it deems advisable; provided, however, that no such termination or amendment shall adversely affect or impair the contract rights of a Participating Director with respect to an effective Election Agreement, unless such Participating Director shall consent in writing to such termination or amendment; and, provided further, that no such amendment, without the approval of the Company's shareholders, may materially increase the benefits accruing to Eligible Directors under the Plan, increase the number of shares of Stock distributed under the Plan, or materially modify the requirements as to eligibility under the Plan.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14.</w:t>
      </w:r>
      <w:r>
        <w:rPr>
          <w:rFonts w:ascii="Arial;Helvetica;sans-serif" w:hAnsi="Arial;Helvetica;sans-serif"/>
          <w:sz w:val="20"/>
          <w:u w:val="single"/>
        </w:rPr>
        <w:t>STOCK SUBJECT TO PLAN</w:t>
      </w:r>
      <w:r>
        <w:rPr>
          <w:rFonts w:ascii="Arial;Helvetica;sans-serif" w:hAnsi="Arial;Helvetica;sans-serif"/>
          <w:sz w:val="20"/>
        </w:rPr>
        <w:t>. The maximum number of shares of Stock that shall be reserved for issuance under the Plan as part of either a Deferred Fee or a Non-Deferred Fee shall be 150,000 shares, subject to adjustment upon changes in the capitalization of the Company as provided in Paragraph 8(b) of the Plan.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15.</w:t>
      </w:r>
      <w:r>
        <w:rPr>
          <w:rFonts w:ascii="Arial;Helvetica;sans-serif" w:hAnsi="Arial;Helvetica;sans-serif"/>
          <w:caps/>
          <w:sz w:val="20"/>
          <w:u w:val="single"/>
        </w:rPr>
        <w:t>Regulatory Restrictions</w:t>
      </w:r>
      <w:r>
        <w:rPr>
          <w:rFonts w:ascii="Arial;Helvetica;sans-serif" w:hAnsi="Arial;Helvetica;sans-serif"/>
          <w:sz w:val="20"/>
        </w:rPr>
        <w:t>. All certificates for shares of Company Stock or other securities delivered under the Plan shall be subject to such stock transfer orders and other restrictions as the Company may deem advisable under the rules, regulations and other requirements of the Company, any stock exchange or stock market upon which the Company Stock is then listed or traded and any applicable Federal, state, or foreign securities law, and the Company may cause a legend or legends to be placed on any such certificates to make appropriate reference to such restrictions.</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16.</w:t>
      </w:r>
      <w:r>
        <w:rPr>
          <w:rFonts w:ascii="Arial;Helvetica;sans-serif" w:hAnsi="Arial;Helvetica;sans-serif"/>
          <w:sz w:val="20"/>
          <w:u w:val="single"/>
        </w:rPr>
        <w:t>NON-PLAN DEFERRAL ARRANGEMENTS</w:t>
      </w:r>
      <w:r>
        <w:rPr>
          <w:rFonts w:ascii="Arial;Helvetica;sans-serif" w:hAnsi="Arial;Helvetica;sans-serif"/>
          <w:sz w:val="20"/>
        </w:rPr>
        <w:t>. The Company does not intend that this Plan replace or supersede any presently existing compensation or deferral arrangement or preclude the Company from implementing additional compensation or deferral arrangements.</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17.</w:t>
      </w:r>
      <w:r>
        <w:rPr>
          <w:rFonts w:ascii="Arial;Helvetica;sans-serif" w:hAnsi="Arial;Helvetica;sans-serif"/>
          <w:sz w:val="20"/>
          <w:u w:val="single"/>
        </w:rPr>
        <w:t>FUTURE DIRECTOR TERMS</w:t>
      </w:r>
      <w:r>
        <w:rPr>
          <w:rFonts w:ascii="Arial;Helvetica;sans-serif" w:hAnsi="Arial;Helvetica;sans-serif"/>
          <w:sz w:val="20"/>
        </w:rPr>
        <w:t>. Nothing in this Plan or in any Election Agreement shall obligate a director to continue as such, or to accept any nomination for a future term as a director of the Company, or require the Company to nominate or cause the nomination of the director for a future term as a director of the Company.</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18.</w:t>
      </w:r>
      <w:r>
        <w:rPr>
          <w:rFonts w:ascii="Arial;Helvetica;sans-serif" w:hAnsi="Arial;Helvetica;sans-serif"/>
          <w:sz w:val="20"/>
          <w:u w:val="single"/>
        </w:rPr>
        <w:t>NO ALIENATION</w:t>
      </w:r>
      <w:r>
        <w:rPr>
          <w:rFonts w:ascii="Arial;Helvetica;sans-serif" w:hAnsi="Arial;Helvetica;sans-serif"/>
          <w:sz w:val="20"/>
        </w:rPr>
        <w:t>. No shares of Stock or dollar amount deliverable under the Plan or under an Election Agreement shall be subject in any manner to anticipation, alienation, sale, transfer, assignment, pledge, encumbrances, or charge, other than by will or the laws of descent and distribution.</w:t>
      </w:r>
    </w:p>
    <w:p>
      <w:pPr>
        <w:pStyle w:val="TextBody"/>
        <w:bidi w:val="0"/>
        <w:spacing w:lineRule="auto" w:line="314" w:before="0" w:after="120"/>
        <w:ind w:left="0" w:right="0" w:hanging="0"/>
        <w:jc w:val="both"/>
        <w:rPr>
          <w:rFonts w:ascii="Calibri;Helvetica;sans-serif" w:hAnsi="Calibri;Helvetica;sans-serif"/>
          <w:sz w:val="22"/>
        </w:rPr>
      </w:pPr>
      <w:r>
        <w:rPr>
          <w:rFonts w:ascii="Arial;Helvetica;sans-serif" w:hAnsi="Arial;Helvetica;sans-serif"/>
          <w:sz w:val="20"/>
        </w:rPr>
        <w:t>19.</w:t>
      </w:r>
      <w:r>
        <w:rPr>
          <w:rFonts w:ascii="Arial;Helvetica;sans-serif" w:hAnsi="Arial;Helvetica;sans-serif"/>
          <w:sz w:val="20"/>
          <w:u w:val="single"/>
        </w:rPr>
        <w:t>WITHHOLDING</w:t>
      </w:r>
      <w:r>
        <w:rPr>
          <w:rFonts w:ascii="Arial;Helvetica;sans-serif" w:hAnsi="Arial;Helvetica;sans-serif"/>
          <w:sz w:val="20"/>
        </w:rPr>
        <w:t>. The Company is entitled to withhold and deduct from any amounts due from the Company to a Participating Director, all legally required amounts necessary to satisfy any federal, state, or local withholding and employment-related taxes arising directly or indirectly in connection with the Plan or any Election Agreement, and the Company may require the Participating Director to remit promptly to the Company the amount of such taxes before taking any future actions with respect to the Participating Director's Deferral Account or Election Agreement.</w:t>
      </w:r>
    </w:p>
    <w:p>
      <w:pPr>
        <w:pStyle w:val="TextBody"/>
        <w:bidi w:val="0"/>
        <w:spacing w:lineRule="auto" w:line="314"/>
        <w:ind w:left="0" w:right="0" w:hanging="0"/>
        <w:jc w:val="both"/>
        <w:rPr>
          <w:rFonts w:ascii="Calibri;Helvetica;sans-serif" w:hAnsi="Calibri;Helvetica;sans-serif"/>
          <w:sz w:val="22"/>
        </w:rPr>
      </w:pPr>
      <w:r>
        <w:rPr>
          <w:rFonts w:ascii="Arial;Helvetica;sans-serif" w:hAnsi="Arial;Helvetica;sans-serif"/>
          <w:sz w:val="20"/>
        </w:rPr>
        <w:t>20.</w:t>
      </w:r>
      <w:r>
        <w:rPr>
          <w:rFonts w:ascii="Arial;Helvetica;sans-serif" w:hAnsi="Arial;Helvetica;sans-serif"/>
          <w:sz w:val="20"/>
          <w:u w:val="single"/>
        </w:rPr>
        <w:t>CODE SECTION 409A</w:t>
      </w:r>
      <w:r>
        <w:rPr>
          <w:rFonts w:ascii="Arial;Helvetica;sans-serif" w:hAnsi="Arial;Helvetica;sans-serif"/>
          <w:sz w:val="20"/>
        </w:rPr>
        <w:t xml:space="preserve">. It is intended that the payments and provided under this Plan shall either be exempt from the application of, or comply with, the requirements of Code Section 409A, and the Plan shall be construed in a manner that effects such intent. Neither any Participating Director nor the Company shall intentionally take any action to accelerate or delay the payment of any amounts in any manner which would not be in compliance with Cod Section 409A without the consent of the other party. Nevertheless, the tax treatment of the payments provided under this Agreement is not warranted or guaranteed. Neither the Company, its subsidiaries or affiliates, nor their respective directors, officers,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spacing w:lineRule="auto" w:line="314"/>
        <w:ind w:left="0" w:right="0" w:hanging="0"/>
        <w:jc w:val="both"/>
        <w:rPr>
          <w:rFonts w:ascii="Arial;Helvetica;sans-serif" w:hAnsi="Arial;Helvetica;sans-serif"/>
          <w:sz w:val="20"/>
        </w:rPr>
      </w:pPr>
      <w:r>
        <w:rPr>
          <w:rFonts w:ascii="Arial;Helvetica;sans-serif" w:hAnsi="Arial;Helvetica;sans-serif"/>
          <w:sz w:val="20"/>
        </w:rPr>
        <w:t>employees, or advisers (other than the Participating Director, as applicable) shall be held liable for any taxes, interest, penalties, or other monetary amounts owed by any Participating Director or any other taxpayer as a result of this Plan. The Plan may be amended as reasonably necessary or desirable to legally minimize any adverse tax consequences to Participating Directors and/or the Company, and to preserve, to the fullest extent permissible, the economic provisions set forth in the Plan.</w:t>
      </w:r>
    </w:p>
    <w:p>
      <w:pPr>
        <w:pStyle w:val="TextBody"/>
        <w:bidi w:val="0"/>
        <w:spacing w:lineRule="auto" w:line="314" w:before="0" w:after="120"/>
        <w:ind w:left="0" w:right="0" w:hanging="0"/>
        <w:jc w:val="both"/>
        <w:rPr/>
      </w:pPr>
      <w:r>
        <w:rPr/>
        <w:t>​</w:t>
      </w:r>
    </w:p>
    <w:p>
      <w:pPr>
        <w:pStyle w:val="TextBody"/>
        <w:bidi w:val="0"/>
        <w:spacing w:lineRule="auto" w:line="314" w:before="0" w:after="120"/>
        <w:ind w:left="0" w:right="0" w:hanging="0"/>
        <w:jc w:val="both"/>
        <w:rPr>
          <w:rFonts w:ascii="Arial;Helvetica;sans-serif" w:hAnsi="Arial;Helvetica;sans-serif"/>
          <w:sz w:val="16"/>
        </w:rPr>
      </w:pPr>
      <w:r>
        <w:rPr>
          <w:rFonts w:ascii="Arial;Helvetica;sans-serif" w:hAnsi="Arial;Helvetica;sans-serif"/>
          <w:sz w:val="16"/>
        </w:rPr>
        <w:t>19193209.1</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300" w:name="ufpi-20231230xex10df.htm"/>
      <w:bookmarkStart w:id="301" w:name="ksufpi20231230xex10df"/>
      <w:bookmarkEnd w:id="300"/>
      <w:bookmarkEnd w:id="301"/>
      <w:r>
        <w:rPr>
          <w:rFonts w:ascii="Times New Roman;Times;serif" w:hAnsi="Times New Roman;Times;serif"/>
          <w:b/>
          <w:sz w:val="24"/>
        </w:rPr>
        <w:t>Exhibit 10(f)</w:t>
      </w:r>
      <w:r>
        <w:br w:type="page"/>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UFP INDUSTRIES, INC.</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LONG-TERM STOCK INCENTIVE PLAN</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(as Amended through April 20, 2022)</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(Conformed through 2023 Amendment)</w:t>
      </w:r>
    </w:p>
    <w:p>
      <w:pPr>
        <w:pStyle w:val="TextBody"/>
        <w:bidi w:val="0"/>
        <w:spacing w:lineRule="auto" w:line="307" w:before="0" w:after="0"/>
        <w:ind w:left="0" w:right="0" w:hanging="0"/>
        <w:jc w:val="center"/>
        <w:rPr/>
      </w:pPr>
      <w:r>
        <w:rPr/>
        <w:t>​</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1</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ESTABLISHMENT AND PURPOSE OF THE PLAN</w:t>
      </w:r>
    </w:p>
    <w:p>
      <w:pPr>
        <w:pStyle w:val="TextBody"/>
        <w:bidi w:val="0"/>
        <w:spacing w:lineRule="auto" w:line="307" w:before="0" w:after="0"/>
        <w:ind w:left="0" w:right="0" w:hanging="0"/>
        <w:jc w:val="center"/>
        <w:rPr/>
      </w:pPr>
      <w:r>
        <w:rPr/>
        <w:t>​</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Establishment of the Plan</w:t>
      </w:r>
      <w:r>
        <w:rPr>
          <w:rFonts w:ascii="Times New Roman;Times;serif" w:hAnsi="Times New Roman;Times;serif"/>
          <w:sz w:val="24"/>
        </w:rPr>
        <w:t>. UFP Industries, Inc., a Michigan corporation (the "Company"), hereby establishes an incentive compensation plan to be known as the "UFP Industries, Inc. Long-Term Stock Incentive Plan" (the "Plan"), as set forth in this document. The Plan permits the granting of stock options, stock appreciation rights, restricted stock, and other stock-based awards to key employees of the Company and its Subsidiaries.</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Purpose of the Plan</w:t>
      </w:r>
      <w:r>
        <w:rPr>
          <w:rFonts w:ascii="Times New Roman;Times;serif" w:hAnsi="Times New Roman;Times;serif"/>
          <w:sz w:val="24"/>
        </w:rPr>
        <w:t>.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 The Plan supersedes and replaces the Company's Long Term Incentive Plan, adopted by the Company's shareholders in 1997.</w:t>
      </w:r>
    </w:p>
    <w:p>
      <w:pPr>
        <w:pStyle w:val="TextBody"/>
        <w:bidi w:val="0"/>
        <w:spacing w:lineRule="auto" w:line="307"/>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Term of Plan</w:t>
      </w:r>
      <w:r>
        <w:rPr>
          <w:rFonts w:ascii="Times New Roman;Times;serif" w:hAnsi="Times New Roman;Times;serif"/>
          <w:sz w:val="24"/>
        </w:rPr>
        <w:t>. No Awards shall be granted pursuant to the Plan on or after April 15, 2029 ("Termination Date"), provided that Awards granted prior to the Termination Date may extend beyond that date, and Cash Payment Rights and Reload Options may be effected pursuant to the terms of Awards granted prior to the Termination Date.</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2</w:t>
      </w:r>
    </w:p>
    <w:p>
      <w:pPr>
        <w:pStyle w:val="TextBody"/>
        <w:bidi w:val="0"/>
        <w:spacing w:lineRule="auto" w:line="307" w:before="0" w:after="120"/>
        <w:ind w:left="0" w:right="0" w:hanging="0"/>
        <w:jc w:val="center"/>
        <w:rPr>
          <w:rFonts w:ascii="Times New Roman;Times;serif" w:hAnsi="Times New Roman;Times;serif"/>
          <w:b/>
          <w:sz w:val="24"/>
        </w:rPr>
      </w:pPr>
      <w:r>
        <w:rPr>
          <w:rFonts w:ascii="Times New Roman;Times;serif" w:hAnsi="Times New Roman;Times;serif"/>
          <w:b/>
          <w:sz w:val="24"/>
        </w:rPr>
        <w:t>DEFINITIONS</w:t>
      </w:r>
    </w:p>
    <w:p>
      <w:pPr>
        <w:pStyle w:val="TextBody"/>
        <w:bidi w:val="0"/>
        <w:spacing w:lineRule="auto" w:line="307" w:before="0" w:after="120"/>
        <w:ind w:left="0" w:right="0" w:firstLine="720"/>
        <w:jc w:val="both"/>
        <w:rPr>
          <w:rFonts w:ascii="Times New Roman;Times;serif" w:hAnsi="Times New Roman;Times;serif"/>
          <w:sz w:val="24"/>
        </w:rPr>
      </w:pPr>
      <w:r>
        <w:rPr>
          <w:rFonts w:ascii="Times New Roman;Times;serif" w:hAnsi="Times New Roman;Times;serif"/>
          <w:sz w:val="24"/>
        </w:rPr>
        <w:t>For purposes of this Plan, the following terms shall have the meanings set forth below:</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2.1"Award" shall mean any award under this Plan of any Options, Stock Appreciation Rights, Restricted Stock, Performance Shares or Other Stock-Based Award.</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2.2"Award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2.3"Award Date" shall mean the date that an Award is made, as specified in an Award Agreement.</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2.4"Board" shall mean the Board of Directors of the Company.</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2.5"Code" shall mean the Internal Revenue Code of 1986, as amended.</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2.6"Committee" shall mean the Committee, as specified in Article 3, appointed by the Board to administer the Plan.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2.7"Common Stock" shall mean the Common Stock of the Company.</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2.8"Disability" shall mean permanent and total disability as determined under the rules and guidelines established by the Committee for purposes of the Plan.</w:t>
      </w:r>
    </w:p>
    <w:p>
      <w:pPr>
        <w:pStyle w:val="TextBody"/>
        <w:bidi w:val="0"/>
        <w:spacing w:lineRule="auto" w:line="307" w:before="0" w:after="0"/>
        <w:ind w:left="0" w:right="0" w:hanging="0"/>
        <w:jc w:val="both"/>
        <w:rPr/>
      </w:pPr>
      <w:r>
        <w:rPr>
          <w:rFonts w:ascii="Times New Roman;Times;serif" w:hAnsi="Times New Roman;Times;serif"/>
          <w:sz w:val="24"/>
        </w:rPr>
        <w:t>2.9"Fair Market Value" shall be the closing sales price per share of the Common Stock for such date on the National Association of Securities Dealers Automated Quotation System or any successor system then in use ("NASDAQ").  If no sale of shares of Common Stock is reflected on the NASDAQ on a date, "Fair Market Value" shall be determined on the next preceding day on which there was a sale of shares of Common Stock reflected on NASDAQ.</w:t>
      </w:r>
      <w:hyperlink w:anchor="footnote-2">
        <w:r>
          <w:rPr>
            <w:rStyle w:val="InternetLink"/>
            <w:rFonts w:ascii="Times New Roman;Times;serif" w:hAnsi="Times New Roman;Times;serif"/>
            <w:sz w:val="18"/>
          </w:rPr>
          <w:t>1</w:t>
        </w:r>
      </w:hyperlink>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2.10"Incentive Stock Option" or "ISO" shall mean an option to purchase shares of Common Stock granted under Article 6, which is designated as an Incentive Stock Option and is intended to meet the requirements of Section 422 of the Code.</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2.11"Insider" shall mean an employee who is an officer (as defined in Rule 16a-1(f) of the Exchange Act) or director of the Company, or holder of more than ten percent (10%) of its outstanding shares of Common Stock.</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2.12"Nonemployee Director" shall have the meaning set forth in Rule 16b-3(b)(3), as promulgated by the Securities and Exchange Commission (the "SEC") under the Securities Exchange Act of 1934 (the "Exchange Act"), or any successor definition adopted by the SEC.</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2.13"Nonqualified Stock Option" or "NQSO" shall mean an option to purchase shares of Common Stock, granted under Article 6, which is not an Incentive Stock Option.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2.14"Option" means an Incentive Stock Option or a Nonqualified Stock Option.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2.15"Option Price" shall mean the price at which a share of Common Stock may be purchased by a Participant pursuant to an Option, as determined by the Committee.</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2.16"Other Stock-Based Award" shall mean an Award under Article 10 of this Plan that is valued in whole or in part by reference to, or is payable in or otherwise based on, Common Stock.</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2.17"Participant" shall mean an employee of the Company or a Subsidiary who holds an outstanding Award granted under the Plan.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2.18"Performance Shares" shall mean an Award granted under Article 9 of this Plan evidencing the right to receive Common Stock or cash of an equivalent value at the end of a specified performance period.</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2.19"Permitted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2.20"Retirement" shall mean the termination of a Participant's employment with the Company or a Subsidiary after the Participant attains normal retirement age as established by the Committee at the time an Award is made.</w:t>
      </w:r>
    </w:p>
    <w:p>
      <w:pPr>
        <w:pStyle w:val="TextBody"/>
        <w:bidi w:val="0"/>
        <w:spacing w:lineRule="auto" w:line="307"/>
        <w:ind w:left="0" w:right="0" w:hanging="0"/>
        <w:jc w:val="both"/>
        <w:rPr>
          <w:rFonts w:ascii="Times New Roman;Times;serif" w:hAnsi="Times New Roman;Times;serif"/>
          <w:sz w:val="24"/>
        </w:rPr>
      </w:pPr>
      <w:r>
        <w:rPr>
          <w:rFonts w:ascii="Times New Roman;Times;serif" w:hAnsi="Times New Roman;Times;serif"/>
          <w:sz w:val="24"/>
        </w:rPr>
        <w:t>2.21"Restricted Stock" shall mean an Award granted to a Participant under Article 8 of this Plan.</w:t>
      </w:r>
    </w:p>
    <w:p>
      <w:pPr>
        <w:pStyle w:val="TextBody"/>
        <w:bidi w:val="0"/>
        <w:spacing w:lineRule="auto" w:line="285" w:before="0" w:after="240"/>
        <w:ind w:left="0" w:right="0" w:firstLine="720"/>
        <w:jc w:val="both"/>
        <w:rPr>
          <w:rFonts w:ascii="Calibri;Helvetica;sans-serif" w:hAnsi="Calibri;Helvetica;sans-serif"/>
          <w:sz w:val="24"/>
        </w:rPr>
      </w:pPr>
      <w:bookmarkStart w:id="302" w:name="footnote-2"/>
      <w:bookmarkEnd w:id="302"/>
      <w:r>
        <w:rPr>
          <w:rFonts w:ascii="Times New Roman;Times;serif" w:hAnsi="Times New Roman;Times;serif"/>
          <w:sz w:val="18"/>
        </w:rPr>
        <w:t>1</w:t>
      </w:r>
      <w:r>
        <w:rPr>
          <w:rFonts w:ascii="Calibri;Helvetica;sans-serif" w:hAnsi="Calibri;Helvetica;sans-serif"/>
          <w:sz w:val="24"/>
        </w:rPr>
        <w:t xml:space="preserve"> </w:t>
      </w:r>
      <w:r>
        <w:rPr>
          <w:rFonts w:ascii="Times New Roman;Times;serif" w:hAnsi="Times New Roman;Times;serif"/>
          <w:sz w:val="24"/>
        </w:rPr>
        <w:t>Section 2.9 restated by 2023 Amendment, effective October 24, 2023.</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2.22"Stock Appreciation Right" or "SAR" shall mean an Award granted to a Participant under Article 7 of this Plan.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2.23"Subsidiary"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pStyle w:val="TextBody"/>
        <w:bidi w:val="0"/>
        <w:spacing w:lineRule="auto" w:line="307"/>
        <w:ind w:left="0" w:right="0" w:hanging="0"/>
        <w:jc w:val="both"/>
        <w:rPr>
          <w:rFonts w:ascii="Times New Roman;Times;serif" w:hAnsi="Times New Roman;Times;serif"/>
          <w:sz w:val="24"/>
        </w:rPr>
      </w:pPr>
      <w:r>
        <w:rPr>
          <w:rFonts w:ascii="Times New Roman;Times;serif" w:hAnsi="Times New Roman;Times;serif"/>
          <w:sz w:val="24"/>
        </w:rPr>
        <w:t>2.24"Termination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3</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ADMINISTRATION</w:t>
      </w:r>
    </w:p>
    <w:p>
      <w:pPr>
        <w:pStyle w:val="TextBody"/>
        <w:bidi w:val="0"/>
        <w:spacing w:lineRule="auto" w:line="307"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3.1</w:t>
      </w:r>
      <w:r>
        <w:rPr>
          <w:rFonts w:ascii="Times New Roman;Times;serif" w:hAnsi="Times New Roman;Times;serif"/>
          <w:sz w:val="24"/>
          <w:u w:val="single"/>
        </w:rPr>
        <w:t>The Committee</w:t>
      </w:r>
      <w:r>
        <w:rPr>
          <w:rFonts w:ascii="Times New Roman;Times;serif" w:hAnsi="Times New Roman;Times;serif"/>
          <w:sz w:val="24"/>
        </w:rPr>
        <w:t>. The Plan shall be administered by a Committee designated by the Board consisting of not less than two (2) directors who shall be appointed from time to time by the Board, each of whom shall qualify as a Nonemployee Director.</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3.2</w:t>
      </w:r>
      <w:r>
        <w:rPr>
          <w:rFonts w:ascii="Times New Roman;Times;serif" w:hAnsi="Times New Roman;Times;serif"/>
          <w:sz w:val="24"/>
          <w:u w:val="single"/>
        </w:rPr>
        <w:t>Committee Authority</w:t>
      </w:r>
      <w:r>
        <w:rPr>
          <w:rFonts w:ascii="Times New Roman;Times;serif" w:hAnsi="Times New Roman;Times;serif"/>
          <w:sz w:val="24"/>
        </w:rPr>
        <w:t>. Subject to the Company's Articles of Incorporation, Bylaws, and the provisions of this Plan, the Committee shall have full authority to grant Awards to key employees of the Company or a Subsidiary. Awards may be granted singularly, in combination, or in tandem. The authority of the Committee shall include the following:</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(a)To select the key employees of the Company or a Subsidiary to whom Awards may be granted under the Plan;</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(b)To determine whether and to what extent Options, Stock Appreciation Rights, Restricted Stock, Performance Shares and Other Stock-Based Awards, or any combination thereof are to be granted under the Plan;</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(c)To determine the number of shares of Common Stock to be covered by each Award;</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(d)To determine the terms and conditions of any Award Agreement, including, but not limited to, the Option Price, any vesting restriction or limitation, any vesting schedule or acceleration thereof, or any forfeiture restrictions or waiver thereof, regarding any Award and the shares of Common Stock relating thereto, based on such factors as the Committee shall determine in its sole discretion;</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(e)To determine whether, to what extent and under what circumstances grants of Awards are to operate on a tandem basis and/or in conjunction with or apart from other cash compensation arrangement made by the Company other than under the terms of this Plan;</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(f)To determine under what circumstances an Award may be settled in cash, Common Stock, or a combination thereof; and</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(g)To determine to what extent and under what circumstances shares of Common Stock and other amounts payable with respect to an Award shall be deferred.</w:t>
      </w:r>
    </w:p>
    <w:p>
      <w:pPr>
        <w:pStyle w:val="TextBody"/>
        <w:bidi w:val="0"/>
        <w:spacing w:lineRule="auto" w:line="307"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Committee shall have the authority to adopt, alter and repeal such administrative rules, guidelines and practices governing the Plan as it shall, from time to time, deem advisable,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4</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COMMON STOCK SUBJECT TO THE PLAN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4.1</w:t>
      </w:r>
      <w:r>
        <w:rPr>
          <w:rFonts w:ascii="Times New Roman;Times;serif" w:hAnsi="Times New Roman;Times;serif"/>
          <w:sz w:val="24"/>
          <w:u w:val="single"/>
        </w:rPr>
        <w:t>General</w:t>
      </w:r>
      <w:r>
        <w:rPr>
          <w:rFonts w:ascii="Times New Roman;Times;serif" w:hAnsi="Times New Roman;Times;serif"/>
          <w:sz w:val="24"/>
        </w:rPr>
        <w:t>. Subject to adjustment as provided in Section 4.2 and Section 13.1, the maximum aggregate number of shares of Common Stock which may be issued under this Plan, which may be either unauthorized and unissued Common Stock or issued Common Stock reacquired by the Company ("Plan Shares") shall be 4,700,000 Shares. Determinations as to the number of Plan Shares that remain available for issuance under the Plan shall be made in accordance with the terms of this Plan and such rules and procedures as the Administrator shall determine from time to time.</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4.2</w:t>
      </w:r>
      <w:r>
        <w:rPr>
          <w:rFonts w:ascii="Times New Roman;Times;serif" w:hAnsi="Times New Roman;Times;serif"/>
          <w:sz w:val="24"/>
          <w:u w:val="single"/>
        </w:rPr>
        <w:t>Share Usage</w:t>
      </w:r>
      <w:r>
        <w:rPr>
          <w:rFonts w:ascii="Times New Roman;Times;serif" w:hAnsi="Times New Roman;Times;serif"/>
          <w:sz w:val="24"/>
        </w:rPr>
        <w:t>.</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General</w:t>
      </w:r>
      <w:r>
        <w:rPr>
          <w:rFonts w:ascii="Times New Roman;Times;serif" w:hAnsi="Times New Roman;Times;serif"/>
          <w:sz w:val="24"/>
        </w:rPr>
        <w:t>. Shares of Common Stock subject to an Award shall be counted as used as of the Award Date.</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Conditions Under Which Shares Subject to Awards Become Available for Future Awards</w:t>
      </w:r>
      <w:r>
        <w:rPr>
          <w:rFonts w:ascii="Times New Roman;Times;serif" w:hAnsi="Times New Roman;Times;serif"/>
          <w:sz w:val="24"/>
        </w:rPr>
        <w:t>. Any shares of Common Stock subject to an Award under the Plan which thereafter terminate by expiration, forfeiture, cancellation, or otherwise, without the issuance of such shares, including Awards that are settled in cash in lieu of shares of Common Stock, shall be available again for issuance under the Plan.</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Conditions Under Which Shares Subject to Awards Are Not Available for Future Awards</w:t>
      </w:r>
      <w:r>
        <w:rPr>
          <w:rFonts w:ascii="Times New Roman;Times;serif" w:hAnsi="Times New Roman;Times;serif"/>
          <w:sz w:val="24"/>
        </w:rPr>
        <w:t>. The number of shares of stock available for issuance under the Plan shall not be increased by the number of shares of Common Stock (i) tendered by the Participant or withheld by the Company in payment of the purchase price of an Option, (ii) tendered by the Participant or withheld by the Company to satisfy any tax withholding obligation with respect to an Award, (iii) purchased by the Company with proceeds received from the exercise of an Option, (iv) subject to an SAR that are not issued in connection with the stock settlement of that SAR upon its exercise, (v) subject to the cancellation of an SAR granted in tandem with an Option upon the exercise of the Option and (vi) subject to the cancellation of an Option granted in tandem with an SAR upon the exercise of the SAR.</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5</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ELIGIBILITY</w:t>
      </w:r>
    </w:p>
    <w:p>
      <w:pPr>
        <w:pStyle w:val="TextBody"/>
        <w:bidi w:val="0"/>
        <w:spacing w:lineRule="auto" w:line="307"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Subsidiary of the Company by which they are employed, and such other factors as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Committee in its discretion shall deem relevant. Participants may hold more than one Award, but only on the terms and subject to the restrictions set forth in the Plan and their respective Award Agreements. No participant may receive Awards under the Plan covering more than twenty-five percent (25%) of Plan Shares.</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6</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STOCK OPTIONS</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6.1</w:t>
      </w:r>
      <w:r>
        <w:rPr>
          <w:rFonts w:ascii="Times New Roman;Times;serif" w:hAnsi="Times New Roman;Times;serif"/>
          <w:sz w:val="24"/>
          <w:u w:val="single"/>
        </w:rPr>
        <w:t>Options</w:t>
      </w:r>
      <w:r>
        <w:rPr>
          <w:rFonts w:ascii="Times New Roman;Times;serif" w:hAnsi="Times New Roman;Times;serif"/>
          <w:sz w:val="24"/>
        </w:rPr>
        <w:t>. Options may be granted alone or in addition to other Awards granted under this Plan. Each Option granted under this Plan shall be either an Incentive Stock Option or a Nonqualified Stock Option.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6.2</w:t>
      </w:r>
      <w:r>
        <w:rPr>
          <w:rFonts w:ascii="Times New Roman;Times;serif" w:hAnsi="Times New Roman;Times;serif"/>
          <w:sz w:val="24"/>
          <w:u w:val="single"/>
        </w:rPr>
        <w:t>Grants</w:t>
      </w:r>
      <w:r>
        <w:rPr>
          <w:rFonts w:ascii="Times New Roman;Times;serif" w:hAnsi="Times New Roman;Times;serif"/>
          <w:sz w:val="24"/>
        </w:rPr>
        <w: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6.3</w:t>
      </w:r>
      <w:r>
        <w:rPr>
          <w:rFonts w:ascii="Times New Roman;Times;serif" w:hAnsi="Times New Roman;Times;serif"/>
          <w:sz w:val="24"/>
          <w:u w:val="single"/>
        </w:rPr>
        <w:t>Incentive Stock Options</w:t>
      </w:r>
      <w:r>
        <w:rPr>
          <w:rFonts w:ascii="Times New Roman;Times;serif" w:hAnsi="Times New Roman;Times;serif"/>
          <w:sz w:val="24"/>
        </w:rPr>
        <w:t>.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6.4</w:t>
      </w:r>
      <w:r>
        <w:rPr>
          <w:rFonts w:ascii="Times New Roman;Times;serif" w:hAnsi="Times New Roman;Times;serif"/>
          <w:sz w:val="24"/>
          <w:u w:val="single"/>
        </w:rPr>
        <w:t>Terms of Options</w:t>
      </w:r>
      <w:r>
        <w:rPr>
          <w:rFonts w:ascii="Times New Roman;Times;serif" w:hAnsi="Times New Roman;Times;serif"/>
          <w:sz w:val="24"/>
        </w:rPr>
        <w:t>. Options granted under the Plan shall be evidenced by Award Agreements in such form as the Committee shall from time to time approve. Each Agreement shall comply with and be subject to the following terms and conditions:</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Participant's Agreement</w:t>
      </w:r>
      <w:r>
        <w:rPr>
          <w:rFonts w:ascii="Times New Roman;Times;serif" w:hAnsi="Times New Roman;Times;serif"/>
          <w:sz w:val="24"/>
        </w:rPr>
        <w: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Option Price</w:t>
      </w:r>
      <w:r>
        <w:rPr>
          <w:rFonts w:ascii="Times New Roman;Times;serif" w:hAnsi="Times New Roman;Times;serif"/>
          <w:sz w:val="24"/>
        </w:rPr>
        <w:t>. The Option Price per share of Common Stock purchasable under an Option shall be determined by the Committee at the time of grant but shall be not less than one hundred percent (100%) of the Fair Market Value of the Common Stock at the Award Date, provided that the Option Price per share of Common Stock subject to an Incentive Stock Option granted to an Insider shall be no less than one hundred ten percent (110%) of the Fair Market Value of the shares of Common Stock on the Award Date.</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Option Term</w:t>
      </w:r>
      <w:r>
        <w:rPr>
          <w:rFonts w:ascii="Times New Roman;Times;serif" w:hAnsi="Times New Roman;Times;serif"/>
          <w:sz w:val="24"/>
        </w:rPr>
        <w:t>. The term of each Option shall be fixed by the Committee, but no Option which is designated as an ISO shall be exercisable more than ten (10) years after the date the ISO is granted, provided that the term of any Incentive Stock Option granted to an Insider shall not exceed five (5) years.</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Exercisability</w:t>
      </w:r>
      <w:r>
        <w:rPr>
          <w:rFonts w:ascii="Times New Roman;Times;serif" w:hAnsi="Times New Roman;Times;serif"/>
          <w:sz w:val="24"/>
        </w:rPr>
        <w:t xml:space="preserve">. Except as provided in Section 13.2, no Option shall be exercisable either in whole or in part prior to the first anniversary of the Award Date.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Method of Exercise</w:t>
      </w:r>
      <w:r>
        <w:rPr>
          <w:rFonts w:ascii="Times New Roman;Times;serif" w:hAnsi="Times New Roman;Times;serif"/>
          <w:sz w:val="24"/>
        </w:rPr>
        <w:t>.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and with respect to any shares of Common Stock acquired upon the exercise of an Option, has been held by the Optionee for a period of at least six (6) consecutive months)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therefore.</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Transferability of Options</w:t>
      </w:r>
      <w:r>
        <w:rPr>
          <w:rFonts w:ascii="Times New Roman;Times;serif" w:hAnsi="Times New Roman;Times;serif"/>
          <w:sz w:val="24"/>
        </w:rPr>
        <w:t xml:space="preserve">.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 (i) 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 (iii) subsequent transfers of transferred options shall be prohibited except those in accordance with Section 6.4(i). Following transfer, any such options shall continue to be subject to the same terms and conditions as were applicable immediately prior to transfer.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Termination of Employment for Reasons other than Disability or Death</w:t>
      </w:r>
      <w:r>
        <w:rPr>
          <w:rFonts w:ascii="Times New Roman;Times;serif" w:hAnsi="Times New Roman;Times;serif"/>
          <w:sz w:val="24"/>
        </w:rPr>
        <w:t>.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 (3) 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Termination of Employment for Disability</w:t>
      </w:r>
      <w:r>
        <w:rPr>
          <w:rFonts w:ascii="Times New Roman;Times;serif" w:hAnsi="Times New Roman;Times;serif"/>
          <w:sz w:val="24"/>
        </w:rPr>
        <w:t>. Upon Termination of Employment because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Termination of Employment for Death</w:t>
      </w:r>
      <w:r>
        <w:rPr>
          <w:rFonts w:ascii="Times New Roman;Times;serif" w:hAnsi="Times New Roman;Times;serif"/>
          <w:sz w:val="24"/>
        </w:rPr>
        <w:t>. Upon Termination of 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(j)</w:t>
      </w:r>
      <w:r>
        <w:rPr>
          <w:rFonts w:ascii="Times New Roman;Times;serif" w:hAnsi="Times New Roman;Times;serif"/>
          <w:sz w:val="24"/>
          <w:u w:val="single"/>
        </w:rPr>
        <w:t>Termination of Options</w:t>
      </w:r>
      <w:r>
        <w:rPr>
          <w:rFonts w:ascii="Times New Roman;Times;serif" w:hAnsi="Times New Roman;Times;serif"/>
          <w:sz w:val="24"/>
        </w:rPr>
        <w:t>. Any Option that is not exercised within whichever of the exercise periods specified in Sections 6.4(g), (h) or (i) is applicable shall terminate upon expiration of such exercise period.</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(k)</w:t>
      </w:r>
      <w:r>
        <w:rPr>
          <w:rFonts w:ascii="Times New Roman;Times;serif" w:hAnsi="Times New Roman;Times;serif"/>
          <w:sz w:val="24"/>
          <w:u w:val="single"/>
        </w:rPr>
        <w:t>Purchase and Settlement Provisions</w:t>
      </w:r>
      <w:r>
        <w:rPr>
          <w:rFonts w:ascii="Times New Roman;Times;serif" w:hAnsi="Times New Roman;Times;serif"/>
          <w:sz w:val="24"/>
        </w:rPr>
        <w:t>.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7</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STOCK APPRECIATION RIGHTS</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7.1</w:t>
      </w:r>
      <w:r>
        <w:rPr>
          <w:rFonts w:ascii="Times New Roman;Times;serif" w:hAnsi="Times New Roman;Times;serif"/>
          <w:sz w:val="24"/>
          <w:u w:val="single"/>
        </w:rPr>
        <w:t>Grant of SARs</w:t>
      </w:r>
      <w:r>
        <w:rPr>
          <w:rFonts w:ascii="Times New Roman;Times;serif" w:hAnsi="Times New Roman;Times;serif"/>
          <w:sz w:val="24"/>
        </w:rPr>
        <w:t>.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pStyle w:val="TextBody"/>
        <w:bidi w:val="0"/>
        <w:spacing w:lineRule="auto" w:line="307"/>
        <w:ind w:left="0" w:right="0" w:hanging="0"/>
        <w:jc w:val="both"/>
        <w:rPr>
          <w:rFonts w:ascii="Times New Roman;Times;serif" w:hAnsi="Times New Roman;Times;serif"/>
          <w:sz w:val="24"/>
        </w:rPr>
      </w:pPr>
      <w:r>
        <w:rPr>
          <w:rFonts w:ascii="Times New Roman;Times;serif" w:hAnsi="Times New Roman;Times;serif"/>
          <w:sz w:val="24"/>
        </w:rPr>
        <w:t>7.2</w:t>
      </w:r>
      <w:r>
        <w:rPr>
          <w:rFonts w:ascii="Times New Roman;Times;serif" w:hAnsi="Times New Roman;Times;serif"/>
          <w:sz w:val="24"/>
          <w:u w:val="single"/>
        </w:rPr>
        <w:t>Payment of SAR Amount</w:t>
      </w:r>
      <w:r>
        <w:rPr>
          <w:rFonts w:ascii="Times New Roman;Times;serif" w:hAnsi="Times New Roman;Times;serif"/>
          <w:sz w:val="24"/>
        </w:rPr>
        <w: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8</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RESTRICTED STOCK</w:t>
      </w:r>
    </w:p>
    <w:p>
      <w:pPr>
        <w:pStyle w:val="TextBody"/>
        <w:bidi w:val="0"/>
        <w:spacing w:lineRule="auto" w:line="307"/>
        <w:ind w:left="0" w:right="0" w:hanging="0"/>
        <w:jc w:val="both"/>
        <w:rPr>
          <w:rFonts w:ascii="Times New Roman;Times;serif" w:hAnsi="Times New Roman;Times;serif"/>
          <w:sz w:val="24"/>
        </w:rPr>
      </w:pPr>
      <w:r>
        <w:rPr>
          <w:rFonts w:ascii="Times New Roman;Times;serif" w:hAnsi="Times New Roman;Times;serif"/>
          <w:sz w:val="24"/>
        </w:rPr>
        <w:t>8.1</w:t>
      </w:r>
      <w:r>
        <w:rPr>
          <w:rFonts w:ascii="Times New Roman;Times;serif" w:hAnsi="Times New Roman;Times;serif"/>
          <w:sz w:val="24"/>
          <w:u w:val="single"/>
        </w:rPr>
        <w:t>Awards of Restricted Stock</w:t>
      </w:r>
      <w:r>
        <w:rPr>
          <w:rFonts w:ascii="Times New Roman;Times;serif" w:hAnsi="Times New Roman;Times;serif"/>
          <w:sz w:val="24"/>
        </w:rPr>
        <w:t xml:space="preserve">.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with respect to each Participant, and such Awards to individual Participants need not be the same in subsequent years.</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8.2</w:t>
      </w:r>
      <w:r>
        <w:rPr>
          <w:rFonts w:ascii="Times New Roman;Times;serif" w:hAnsi="Times New Roman;Times;serif"/>
          <w:sz w:val="24"/>
          <w:u w:val="single"/>
        </w:rPr>
        <w:t>Awards and Certificates</w:t>
      </w:r>
      <w:r>
        <w:rPr>
          <w:rFonts w:ascii="Times New Roman;Times;serif" w:hAnsi="Times New Roman;Times;serif"/>
          <w:sz w:val="24"/>
        </w:rPr>
        <w:t>.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Acceptance</w:t>
      </w:r>
      <w:r>
        <w:rPr>
          <w:rFonts w:ascii="Times New Roman;Times;serif" w:hAnsi="Times New Roman;Times;serif"/>
          <w:sz w:val="24"/>
        </w:rPr>
        <w:t>.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Legend</w:t>
      </w:r>
      <w:r>
        <w:rPr>
          <w:rFonts w:ascii="Times New Roman;Times;serif" w:hAnsi="Times New Roman;Times;serif"/>
          <w:sz w:val="24"/>
        </w:rPr>
        <w:t>.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pStyle w:val="TextBody"/>
        <w:bidi w:val="0"/>
        <w:spacing w:lineRule="auto" w:line="307" w:before="0" w:after="0"/>
        <w:ind w:left="1440" w:right="720" w:hanging="0"/>
        <w:jc w:val="both"/>
        <w:rPr>
          <w:rFonts w:ascii="Times New Roman;Times;serif" w:hAnsi="Times New Roman;Times;serif"/>
          <w:sz w:val="24"/>
        </w:rPr>
      </w:pPr>
      <w:r>
        <w:rPr>
          <w:rFonts w:ascii="Times New Roman;Times;serif" w:hAnsi="Times New Roman;Times;serif"/>
          <w:sz w:val="24"/>
        </w:rPr>
        <w:t>"The transferability of this certificate and the shares of stock represented hereby are subject to the terms and conditions (including forfeiture) of the UFP Industries, Inc. Long-Term Stock Incentive Plan and related Award Agreement entered into between the registered owner and the Company, dated ______________. Copies of such Plan and Agreement are on file in the offices of the Company, 2801 East Beltline NE, Grand Rapids, Michigan 49525."</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Custody</w:t>
      </w:r>
      <w:r>
        <w:rPr>
          <w:rFonts w:ascii="Times New Roman;Times;serif" w:hAnsi="Times New Roman;Times;serif"/>
          <w:sz w:val="24"/>
        </w:rPr>
        <w:t>.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8.3</w:t>
      </w:r>
      <w:r>
        <w:rPr>
          <w:rFonts w:ascii="Times New Roman;Times;serif" w:hAnsi="Times New Roman;Times;serif"/>
          <w:sz w:val="24"/>
          <w:u w:val="single"/>
        </w:rPr>
        <w:t>Restrictions and Conditions</w:t>
      </w:r>
      <w:r>
        <w:rPr>
          <w:rFonts w:ascii="Times New Roman;Times;serif" w:hAnsi="Times New Roman;Times;serif"/>
          <w:sz w:val="24"/>
        </w:rPr>
        <w:t>. The shares of Restricted Stock awarded pursuant to this Plan shall be subject to the following restrictions and conditions:</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Restriction Period</w:t>
      </w:r>
      <w:r>
        <w:rPr>
          <w:rFonts w:ascii="Times New Roman;Times;serif" w:hAnsi="Times New Roman;Times;serif"/>
          <w:sz w:val="24"/>
        </w:rPr>
        <w:t>.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Rights as Shareholder</w:t>
      </w:r>
      <w:r>
        <w:rPr>
          <w:rFonts w:ascii="Times New Roman;Times;serif" w:hAnsi="Times New Roman;Times;serif"/>
          <w:sz w:val="24"/>
        </w:rPr>
        <w:t xml:space="preserve">.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dividends or other distributions are paid in shares of Common Stock, such shares shall be subject to the same restrictions on transferability and forfeitability as the shares of Restricted Stock with respect to which they were paid.</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Termination of Employment</w:t>
      </w:r>
      <w:r>
        <w:rPr>
          <w:rFonts w:ascii="Times New Roman;Times;serif" w:hAnsi="Times New Roman;Times;serif"/>
          <w:sz w:val="24"/>
        </w:rPr>
        <w: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Lapse of Restrictions</w:t>
      </w:r>
      <w:r>
        <w:rPr>
          <w:rFonts w:ascii="Times New Roman;Times;serif" w:hAnsi="Times New Roman;Times;serif"/>
          <w:sz w:val="24"/>
        </w:rPr>
        <w:t>. If and when the Restriction Period expires without a prior forfeiture of the Restricted Stock, the certificates for such shares shall be delivered to the Participant.</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9</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PERFORMANCE SHARES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9.1</w:t>
      </w:r>
      <w:r>
        <w:rPr>
          <w:rFonts w:ascii="Times New Roman;Times;serif" w:hAnsi="Times New Roman;Times;serif"/>
          <w:sz w:val="24"/>
          <w:u w:val="single"/>
        </w:rPr>
        <w:t>Award of Performance Shares</w:t>
      </w:r>
      <w:r>
        <w:rPr>
          <w:rFonts w:ascii="Times New Roman;Times;serif" w:hAnsi="Times New Roman;Times;serif"/>
          <w:sz w:val="24"/>
        </w:rPr>
        <w:t>.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9.2</w:t>
      </w:r>
      <w:r>
        <w:rPr>
          <w:rFonts w:ascii="Times New Roman;Times;serif" w:hAnsi="Times New Roman;Times;serif"/>
          <w:sz w:val="24"/>
          <w:u w:val="single"/>
        </w:rPr>
        <w:t>Terms and Conditions</w:t>
      </w:r>
      <w:r>
        <w:rPr>
          <w:rFonts w:ascii="Times New Roman;Times;serif" w:hAnsi="Times New Roman;Times;serif"/>
          <w:sz w:val="24"/>
        </w:rPr>
        <w:t>. Performance Shares awarded pursuant to this Article 9 shall be subject to the following terms and conditions:</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Nontransferability</w:t>
      </w:r>
      <w:r>
        <w:rPr>
          <w:rFonts w:ascii="Times New Roman;Times;serif" w:hAnsi="Times New Roman;Times;serif"/>
          <w:sz w:val="24"/>
        </w:rPr>
        <w:t>.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Dividends</w:t>
      </w:r>
      <w:r>
        <w:rPr>
          <w:rFonts w:ascii="Times New Roman;Times;serif" w:hAnsi="Times New Roman;Times;serif"/>
          <w:sz w:val="24"/>
        </w:rPr>
        <w:t>.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Termination of Employment</w:t>
      </w:r>
      <w:r>
        <w:rPr>
          <w:rFonts w:ascii="Times New Roman;Times;serif" w:hAnsi="Times New Roman;Times;serif"/>
          <w:sz w:val="24"/>
        </w:rPr>
        <w: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Accelerated Vesting</w:t>
      </w:r>
      <w:r>
        <w:rPr>
          <w:rFonts w:ascii="Times New Roman;Times;serif" w:hAnsi="Times New Roman;Times;serif"/>
          <w:sz w:val="24"/>
        </w:rPr>
        <w:t>.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10</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OTHER STOCK-BASED AWARDS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10.1</w:t>
      </w:r>
      <w:r>
        <w:rPr>
          <w:rFonts w:ascii="Times New Roman;Times;serif" w:hAnsi="Times New Roman;Times;serif"/>
          <w:sz w:val="24"/>
          <w:u w:val="single"/>
        </w:rPr>
        <w:t>Other Awards</w:t>
      </w:r>
      <w:r>
        <w:rPr>
          <w:rFonts w:ascii="Times New Roman;Times;serif" w:hAnsi="Times New Roman;Times;serif"/>
          <w:sz w:val="24"/>
        </w:rPr>
        <w:t>.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10.2</w:t>
      </w:r>
      <w:r>
        <w:rPr>
          <w:rFonts w:ascii="Times New Roman;Times;serif" w:hAnsi="Times New Roman;Times;serif"/>
          <w:sz w:val="24"/>
          <w:u w:val="single"/>
        </w:rPr>
        <w:t>Terms and Conditions</w:t>
      </w:r>
      <w:r>
        <w:rPr>
          <w:rFonts w:ascii="Times New Roman;Times;serif" w:hAnsi="Times New Roman;Times;serif"/>
          <w:sz w:val="24"/>
        </w:rPr>
        <w:t>. Other Stock-Based Awards made pursuant to this Article 10 shall be set forth in an Award Agreement and shall be subject to the following terms and conditions:</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Nontransferability</w:t>
      </w:r>
      <w:r>
        <w:rPr>
          <w:rFonts w:ascii="Times New Roman;Times;serif" w:hAnsi="Times New Roman;Times;serif"/>
          <w:sz w:val="24"/>
        </w:rPr>
        <w:t>.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Dividends</w:t>
      </w:r>
      <w:r>
        <w:rPr>
          <w:rFonts w:ascii="Times New Roman;Times;serif" w:hAnsi="Times New Roman;Times;serif"/>
          <w:sz w:val="24"/>
        </w:rPr>
        <w:t>.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Vesting</w:t>
      </w:r>
      <w:r>
        <w:rPr>
          <w:rFonts w:ascii="Times New Roman;Times;serif" w:hAnsi="Times New Roman;Times;serif"/>
          <w:sz w:val="24"/>
        </w:rPr>
        <w:t>. Any Award under this Article 10 and any Common Stock covered by any such Award shall vest or be forfeited to the extent so provided in the Award Agreement, as determined by the Committee, in its sole discretion.</w:t>
      </w:r>
    </w:p>
    <w:p>
      <w:pPr>
        <w:pStyle w:val="TextBody"/>
        <w:bidi w:val="0"/>
        <w:spacing w:lineRule="auto" w:line="307" w:before="0" w:after="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Waiver of Limitation</w:t>
      </w:r>
      <w:r>
        <w:rPr>
          <w:rFonts w:ascii="Times New Roman;Times;serif" w:hAnsi="Times New Roman;Times;serif"/>
          <w:sz w:val="24"/>
        </w:rPr>
        <w:t>.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pStyle w:val="TextBody"/>
        <w:bidi w:val="0"/>
        <w:spacing w:lineRule="auto" w:line="307"/>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Price</w:t>
      </w:r>
      <w:r>
        <w:rPr>
          <w:rFonts w:ascii="Times New Roman;Times;serif" w:hAnsi="Times New Roman;Times;serif"/>
          <w:sz w:val="24"/>
        </w:rPr>
        <w:t>. Common Stock issued or sold under this Article 10 may be issued or sold for no cash consideration or such consideration as the Committee shall determine and specify in the Award Agreement.</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11</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TERMINATION OR AMENDMENT OF THE PLAN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firstLine="720"/>
        <w:jc w:val="both"/>
        <w:rPr>
          <w:rFonts w:ascii="Times New Roman;Times;serif" w:hAnsi="Times New Roman;Times;serif"/>
          <w:sz w:val="24"/>
        </w:rPr>
      </w:pPr>
      <w:r>
        <w:rPr>
          <w:rFonts w:ascii="Times New Roman;Times;serif" w:hAnsi="Times New Roman;Times;serif"/>
          <w:sz w:val="24"/>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Article 4 or by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12</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UNFUNDED PLAN</w:t>
      </w:r>
    </w:p>
    <w:p>
      <w:pPr>
        <w:pStyle w:val="TextBody"/>
        <w:bidi w:val="0"/>
        <w:spacing w:lineRule="auto" w:line="307" w:before="0" w:after="0"/>
        <w:ind w:left="0" w:right="0" w:firstLine="720"/>
        <w:jc w:val="both"/>
        <w:rPr>
          <w:rFonts w:ascii="Times New Roman;Times;serif" w:hAnsi="Times New Roman;Times;serif"/>
          <w:sz w:val="24"/>
        </w:rPr>
      </w:pPr>
      <w:r>
        <w:rPr>
          <w:rFonts w:ascii="Times New Roman;Times;serif" w:hAnsi="Times New Roman;Times;serif"/>
          <w:sz w:val="24"/>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13</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ADJUSTMENT PROVISIONS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13.1</w:t>
      </w:r>
      <w:r>
        <w:rPr>
          <w:rFonts w:ascii="Times New Roman;Times;serif" w:hAnsi="Times New Roman;Times;serif"/>
          <w:sz w:val="24"/>
          <w:u w:val="single"/>
        </w:rPr>
        <w:t>Antidilution</w:t>
      </w:r>
      <w:r>
        <w:rPr>
          <w:rFonts w:ascii="Times New Roman;Times;serif" w:hAnsi="Times New Roman;Times;serif"/>
          <w:sz w:val="24"/>
        </w:rPr>
        <w:t>.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13.2</w:t>
      </w:r>
      <w:r>
        <w:rPr>
          <w:rFonts w:ascii="Times New Roman;Times;serif" w:hAnsi="Times New Roman;Times;serif"/>
          <w:sz w:val="24"/>
          <w:u w:val="single"/>
        </w:rPr>
        <w:t>Change in Control</w:t>
      </w:r>
      <w:r>
        <w:rPr>
          <w:rFonts w:ascii="Times New Roman;Times;serif" w:hAnsi="Times New Roman;Times;serif"/>
          <w:sz w:val="24"/>
        </w:rPr>
        <w:t>.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13.3</w:t>
      </w:r>
      <w:r>
        <w:rPr>
          <w:rFonts w:ascii="Times New Roman;Times;serif" w:hAnsi="Times New Roman;Times;serif"/>
          <w:sz w:val="24"/>
          <w:u w:val="single"/>
        </w:rPr>
        <w:t>Adjustments by Committee</w:t>
      </w:r>
      <w:r>
        <w:rPr>
          <w:rFonts w:ascii="Times New Roman;Times;serif" w:hAnsi="Times New Roman;Times;serif"/>
          <w:sz w:val="24"/>
        </w:rPr>
        <w:t xml:space="preserve">. Any adjustments pursuant to this Article 13 will be made by the Committee, whose determination as to what adjustments will be made and the extent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both"/>
        <w:rPr>
          <w:rFonts w:ascii="Times New Roman;Times;serif" w:hAnsi="Times New Roman;Times;serif"/>
          <w:sz w:val="24"/>
        </w:rPr>
      </w:pPr>
      <w:r>
        <w:rPr>
          <w:rFonts w:ascii="Times New Roman;Times;serif" w:hAnsi="Times New Roman;Times;serif"/>
          <w:sz w:val="24"/>
        </w:rPr>
        <w:t>thereof will be final, binding, and conclusive. No fractional interest will be issued under the Plan on account of any such adjustments. Only cash payments will be made in lieu of fractional shares.</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ARTICLE 14</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GENERAL PROVISIONS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14.1</w:t>
      </w:r>
      <w:r>
        <w:rPr>
          <w:rFonts w:ascii="Times New Roman;Times;serif" w:hAnsi="Times New Roman;Times;serif"/>
          <w:sz w:val="24"/>
          <w:u w:val="single"/>
        </w:rPr>
        <w:t>Legend</w:t>
      </w:r>
      <w:r>
        <w:rPr>
          <w:rFonts w:ascii="Times New Roman;Times;serif" w:hAnsi="Times New Roman;Times;serif"/>
          <w:sz w:val="24"/>
        </w:rPr>
        <w:t>.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pStyle w:val="TextBody"/>
        <w:bidi w:val="0"/>
        <w:spacing w:lineRule="auto" w:line="307" w:before="0" w:after="0"/>
        <w:ind w:left="0" w:right="0" w:firstLine="720"/>
        <w:jc w:val="both"/>
        <w:rPr>
          <w:rFonts w:ascii="Times New Roman;Times;serif" w:hAnsi="Times New Roman;Times;serif"/>
          <w:sz w:val="24"/>
        </w:rPr>
      </w:pPr>
      <w:r>
        <w:rPr>
          <w:rFonts w:ascii="Times New Roman;Times;serif" w:hAnsi="Times New Roman;Times;serif"/>
          <w:sz w:val="24"/>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14.2</w:t>
      </w:r>
      <w:r>
        <w:rPr>
          <w:rFonts w:ascii="Times New Roman;Times;serif" w:hAnsi="Times New Roman;Times;serif"/>
          <w:sz w:val="24"/>
          <w:u w:val="single"/>
        </w:rPr>
        <w:t>No Right to Employment</w:t>
      </w:r>
      <w:r>
        <w:rPr>
          <w:rFonts w:ascii="Times New Roman;Times;serif" w:hAnsi="Times New Roman;Times;serif"/>
          <w:sz w:val="24"/>
        </w:rPr>
        <w: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14.3</w:t>
      </w:r>
      <w:r>
        <w:rPr>
          <w:rFonts w:ascii="Times New Roman;Times;serif" w:hAnsi="Times New Roman;Times;serif"/>
          <w:sz w:val="24"/>
          <w:u w:val="single"/>
        </w:rPr>
        <w:t>Withholding of Taxes</w:t>
      </w:r>
      <w:r>
        <w:rPr>
          <w:rFonts w:ascii="Times New Roman;Times;serif" w:hAnsi="Times New Roman;Times;serif"/>
          <w:sz w:val="24"/>
        </w:rPr>
        <w:t>.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 (b) authorizing the Company to withhold from the shares otherwise issuable to the Participant a number of shares having a Fair Market Value as of the "Tax Date", less than or equal to the amount of the withholding tax obligation; or (c) 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14.4</w:t>
      </w:r>
      <w:r>
        <w:rPr>
          <w:rFonts w:ascii="Times New Roman;Times;serif" w:hAnsi="Times New Roman;Times;serif"/>
          <w:sz w:val="24"/>
          <w:u w:val="single"/>
        </w:rPr>
        <w:t>No Assignment of Benefits</w:t>
      </w:r>
      <w:r>
        <w:rPr>
          <w:rFonts w:ascii="Times New Roman;Times;serif" w:hAnsi="Times New Roman;Times;serif"/>
          <w:sz w:val="24"/>
        </w:rPr>
        <w:t>.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14.5</w:t>
      </w:r>
      <w:r>
        <w:rPr>
          <w:rFonts w:ascii="Times New Roman;Times;serif" w:hAnsi="Times New Roman;Times;serif"/>
          <w:sz w:val="24"/>
          <w:u w:val="single"/>
        </w:rPr>
        <w:t>Governing Law</w:t>
      </w:r>
      <w:r>
        <w:rPr>
          <w:rFonts w:ascii="Times New Roman;Times;serif" w:hAnsi="Times New Roman;Times;serif"/>
          <w:sz w:val="24"/>
        </w:rPr>
        <w:t>. This Plan and actions taken in connection herewith shall be governed and construed in accordance with the laws and in the courts of the state of Michigan.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14.6</w:t>
      </w:r>
      <w:r>
        <w:rPr>
          <w:rFonts w:ascii="Times New Roman;Times;serif" w:hAnsi="Times New Roman;Times;serif"/>
          <w:sz w:val="24"/>
          <w:u w:val="single"/>
        </w:rPr>
        <w:t>Application of Funds</w:t>
      </w:r>
      <w:r>
        <w:rPr>
          <w:rFonts w:ascii="Times New Roman;Times;serif" w:hAnsi="Times New Roman;Times;serif"/>
          <w:sz w:val="24"/>
        </w:rPr>
        <w:t>. The proceeds received by the Company from the sale of shares of Common Stock pursuant to Awards granted under this Plan will be used for general corporate purposes.</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14.7</w:t>
      </w:r>
      <w:r>
        <w:rPr>
          <w:rFonts w:ascii="Times New Roman;Times;serif" w:hAnsi="Times New Roman;Times;serif"/>
          <w:sz w:val="24"/>
          <w:u w:val="single"/>
        </w:rPr>
        <w:t>Rights as a Shareholder</w:t>
      </w:r>
      <w:r>
        <w:rPr>
          <w:rFonts w:ascii="Times New Roman;Times;serif" w:hAnsi="Times New Roman;Times;serif"/>
          <w:sz w:val="24"/>
        </w:rPr>
        <w:t>. Except as otherwise provided in an Award Agreement, a Participant shall have no rights as a shareholder of the Company until he or she becomes the holder of record of Common Stock.</w:t>
      </w:r>
    </w:p>
    <w:p>
      <w:pPr>
        <w:pStyle w:val="TextBody"/>
        <w:bidi w:val="0"/>
        <w:spacing w:lineRule="auto" w:line="307"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21181499.1</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303" w:name="ufpi-20231230xex10dg.htm"/>
      <w:bookmarkStart w:id="304" w:name="ksufpi20231230xex10dg"/>
      <w:bookmarkEnd w:id="303"/>
      <w:bookmarkEnd w:id="304"/>
      <w:r>
        <w:rPr>
          <w:rFonts w:ascii="Times New Roman;Times;serif" w:hAnsi="Times New Roman;Times;serif"/>
          <w:b/>
          <w:sz w:val="24"/>
        </w:rPr>
        <w:t>Exhibit 10(g)</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UFP Industries,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Restricted Stock Grant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ourier New" w:hAnsi="Courier New"/>
          <w:sz w:val="22"/>
        </w:rPr>
      </w:pPr>
      <w:r>
        <w:rPr>
          <w:rFonts w:ascii="Times New Roman;Times;serif" w:hAnsi="Times New Roman;Times;serif"/>
          <w:sz w:val="22"/>
        </w:rPr>
        <w:t xml:space="preserve">THIS AGREEMENT is made effective as of the _____ day of _______________, 20___ between </w:t>
      </w:r>
      <w:r>
        <w:rPr>
          <w:rFonts w:ascii="Times New Roman;Times;serif" w:hAnsi="Times New Roman;Times;serif"/>
          <w:b/>
          <w:sz w:val="22"/>
        </w:rPr>
        <w:t>UFP Industries, Inc.</w:t>
      </w:r>
      <w:r>
        <w:rPr>
          <w:rFonts w:ascii="Times New Roman;Times;serif" w:hAnsi="Times New Roman;Times;serif"/>
          <w:sz w:val="22"/>
        </w:rPr>
        <w:t>, a Michigan corporation (the "Company"), and</w:t>
      </w:r>
      <w:r>
        <w:rPr>
          <w:rFonts w:ascii="Courier New" w:hAnsi="Courier New"/>
          <w:sz w:val="22"/>
        </w:rPr>
        <w:t xml:space="preserve"> </w:t>
      </w:r>
      <w:r>
        <w:rPr>
          <w:rFonts w:ascii="Times New Roman;Times;serif" w:hAnsi="Times New Roman;Times;serif"/>
          <w:b/>
          <w:sz w:val="22"/>
        </w:rPr>
        <w:t>«Name1»</w:t>
      </w:r>
      <w:r>
        <w:rPr>
          <w:rFonts w:ascii="Courier New" w:hAnsi="Courier New"/>
          <w:sz w:val="22"/>
        </w:rPr>
        <w:t xml:space="preserve"> </w:t>
      </w:r>
      <w:r>
        <w:rPr>
          <w:rFonts w:ascii="Times New Roman;Times;serif" w:hAnsi="Times New Roman;Times;serif"/>
          <w:sz w:val="22"/>
        </w:rPr>
        <w:t>(the "Employee").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RECITALS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The UFP Industries, Inc. Long-Term Stock Incentive Plan as amended and restated (the "Plan") authorizes the award of shares of restricted stock to key employees of the Company upon such terms and conditions as may be determined by the Committee (as defined in the Plan).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The Committee has approved a grant of restricted shares of Company stock to Employee upon the terms and conditions set forth in this agreement (the "Agreement").  This grant is being made in connection with Employee’s performance for the _____ fiscal year.  The Company and Employee desire to confirm in this Agreement the terms, conditions, and restrictions applicable to the grant of restricted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NOW, THEREFORE, intending to be bound, the parties agree as follows:</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i w:val="false"/>
          <w:caps w:val="false"/>
          <w:smallCaps w:val="false"/>
          <w:sz w:val="22"/>
        </w:rPr>
        <w:t>1.</w:t>
      </w:r>
      <w:r>
        <w:rPr>
          <w:rFonts w:ascii="Times New Roman;Times;serif" w:hAnsi="Times New Roman;Times;serif"/>
          <w:b/>
          <w:sz w:val="22"/>
        </w:rPr>
        <w:t>DEFINITIONS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1.1</w:t>
            </w:r>
          </w:p>
        </w:tc>
        <w:tc>
          <w:tcPr>
            <w:tcW w:w="98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2"/>
                <w:u w:val="single"/>
              </w:rPr>
              <w:t>Early Retirement</w:t>
            </w:r>
            <w:r>
              <w:rPr>
                <w:rFonts w:ascii="Times New Roman;Times;serif" w:hAnsi="Times New Roman;Times;serif"/>
                <w:b w:val="false"/>
                <w:i w:val="false"/>
                <w:caps w:val="false"/>
                <w:smallCaps w:val="false"/>
                <w:sz w:val="22"/>
              </w:rPr>
              <w:t>" means the termination of employment with the Company or a Subsidiary (as defined in the Plan) prior to Retirement (as defined in the Plan) and approved as early retirement in the sole discretion of the Committee (as defined in the Plan).</w:t>
            </w:r>
          </w:p>
        </w:tc>
      </w:tr>
    </w:tbl>
    <w:p>
      <w:pPr>
        <w:pStyle w:val="TextBody"/>
        <w:bidi w:val="0"/>
        <w:spacing w:before="0" w:after="0"/>
        <w:ind w:left="1440" w:right="0" w:hanging="0"/>
        <w:jc w:val="both"/>
        <w:rPr/>
      </w:pPr>
      <w:r>
        <w:rPr/>
        <w:t>​</w:t>
      </w:r>
    </w:p>
    <w:tbl>
      <w:tblPr>
        <w:tblW w:w="6198" w:type="dxa"/>
        <w:jc w:val="left"/>
        <w:tblInd w:w="0" w:type="dxa"/>
        <w:tblLayout w:type="fixed"/>
        <w:tblCellMar>
          <w:top w:w="0" w:type="dxa"/>
          <w:left w:w="0" w:type="dxa"/>
          <w:bottom w:w="0" w:type="dxa"/>
          <w:right w:w="0" w:type="dxa"/>
        </w:tblCellMar>
      </w:tblPr>
      <w:tblGrid>
        <w:gridCol w:w="23"/>
        <w:gridCol w:w="320"/>
        <w:gridCol w:w="58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w:t>
            </w:r>
          </w:p>
        </w:tc>
        <w:tc>
          <w:tcPr>
            <w:tcW w:w="58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2"/>
                <w:u w:val="single"/>
              </w:rPr>
              <w:t>Effective Date of this Agreement</w:t>
            </w:r>
            <w:r>
              <w:rPr>
                <w:rFonts w:ascii="Times New Roman;Times;serif" w:hAnsi="Times New Roman;Times;serif"/>
                <w:b w:val="false"/>
                <w:i w:val="false"/>
                <w:caps w:val="false"/>
                <w:smallCaps w:val="false"/>
                <w:sz w:val="22"/>
              </w:rPr>
              <w:t>" means _______________.</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w:t>
            </w:r>
          </w:p>
        </w:tc>
        <w:tc>
          <w:tcPr>
            <w:tcW w:w="986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2"/>
                <w:u w:val="single"/>
              </w:rPr>
              <w:t>Lack of Work Separation</w:t>
            </w:r>
            <w:r>
              <w:rPr>
                <w:caps w:val="false"/>
                <w:smallCaps w:val="false"/>
              </w:rPr>
              <w:t xml:space="preserve">” </w:t>
            </w:r>
            <w:r>
              <w:rPr>
                <w:rFonts w:ascii="Times New Roman;Times;serif" w:hAnsi="Times New Roman;Times;serif"/>
                <w:b w:val="false"/>
                <w:i w:val="false"/>
                <w:caps w:val="false"/>
                <w:smallCaps w:val="false"/>
                <w:sz w:val="22"/>
              </w:rPr>
              <w:t>means a separation of employment due to an elimination of Employee’s position or insufficient work available for the Employee, absent extenuating circumstances as determined by the Company.  By contrast, if Employee is offered a comparable position (as determined by the Company) and Employee rejects the offer, any resulting separation of employment will not be deemed a Lack of Work Separation.  </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1.4</w:t>
            </w:r>
          </w:p>
        </w:tc>
        <w:tc>
          <w:tcPr>
            <w:tcW w:w="98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2"/>
                <w:u w:val="single"/>
              </w:rPr>
              <w:t>Restricted Share</w:t>
            </w:r>
            <w:r>
              <w:rPr>
                <w:rFonts w:ascii="Times New Roman;Times;serif" w:hAnsi="Times New Roman;Times;serif"/>
                <w:b w:val="false"/>
                <w:i w:val="false"/>
                <w:caps w:val="false"/>
                <w:smallCaps w:val="false"/>
                <w:sz w:val="22"/>
              </w:rPr>
              <w:t>" means a Share which is subject to the restrictions on sale, pledge or other transfer imposed by Section 3.  </w:t>
            </w:r>
          </w:p>
        </w:tc>
      </w:tr>
    </w:tbl>
    <w:p>
      <w:pPr>
        <w:pStyle w:val="TextBody"/>
        <w:bidi w:val="0"/>
        <w:spacing w:before="0" w:after="0"/>
        <w:ind w:left="1440" w:right="0" w:hanging="0"/>
        <w:jc w:val="both"/>
        <w:rPr/>
      </w:pPr>
      <w:r>
        <w:rPr/>
        <w:t>​</w:t>
      </w:r>
    </w:p>
    <w:tbl>
      <w:tblPr>
        <w:tblW w:w="9198" w:type="dxa"/>
        <w:jc w:val="left"/>
        <w:tblInd w:w="0" w:type="dxa"/>
        <w:tblLayout w:type="fixed"/>
        <w:tblCellMar>
          <w:top w:w="0" w:type="dxa"/>
          <w:left w:w="0" w:type="dxa"/>
          <w:bottom w:w="0" w:type="dxa"/>
          <w:right w:w="0" w:type="dxa"/>
        </w:tblCellMar>
      </w:tblPr>
      <w:tblGrid>
        <w:gridCol w:w="23"/>
        <w:gridCol w:w="320"/>
        <w:gridCol w:w="88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1.5</w:t>
            </w:r>
          </w:p>
        </w:tc>
        <w:tc>
          <w:tcPr>
            <w:tcW w:w="88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2"/>
                <w:u w:val="single"/>
              </w:rPr>
              <w:t>Reverted Shares</w:t>
            </w:r>
            <w:r>
              <w:rPr>
                <w:rFonts w:ascii="Times New Roman;Times;serif" w:hAnsi="Times New Roman;Times;serif"/>
                <w:b w:val="false"/>
                <w:i w:val="false"/>
                <w:caps w:val="false"/>
                <w:smallCaps w:val="false"/>
                <w:sz w:val="22"/>
              </w:rPr>
              <w:t>" means Shares which have reverted to the Company pursuant to Section 5.2.</w:t>
            </w:r>
          </w:p>
        </w:tc>
      </w:tr>
    </w:tbl>
    <w:p>
      <w:pPr>
        <w:pStyle w:val="TextBody"/>
        <w:bidi w:val="0"/>
        <w:spacing w:before="0" w:after="0"/>
        <w:ind w:left="1440" w:right="0" w:hanging="0"/>
        <w:jc w:val="both"/>
        <w:rPr/>
      </w:pPr>
      <w:r>
        <w:rPr/>
        <w:t>​</w:t>
      </w:r>
    </w:p>
    <w:tbl>
      <w:tblPr>
        <w:tblW w:w="6783" w:type="dxa"/>
        <w:jc w:val="left"/>
        <w:tblInd w:w="0" w:type="dxa"/>
        <w:tblLayout w:type="fixed"/>
        <w:tblCellMar>
          <w:top w:w="0" w:type="dxa"/>
          <w:left w:w="0" w:type="dxa"/>
          <w:bottom w:w="0" w:type="dxa"/>
          <w:right w:w="0" w:type="dxa"/>
        </w:tblCellMar>
      </w:tblPr>
      <w:tblGrid>
        <w:gridCol w:w="23"/>
        <w:gridCol w:w="32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1.6</w:t>
            </w:r>
          </w:p>
        </w:tc>
        <w:tc>
          <w:tcPr>
            <w:tcW w:w="64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2"/>
                <w:u w:val="single"/>
              </w:rPr>
              <w:t>Vested Share</w:t>
            </w:r>
            <w:r>
              <w:rPr>
                <w:rFonts w:ascii="Times New Roman;Times;serif" w:hAnsi="Times New Roman;Times;serif"/>
                <w:b w:val="false"/>
                <w:i w:val="false"/>
                <w:caps w:val="false"/>
                <w:smallCaps w:val="false"/>
                <w:sz w:val="22"/>
              </w:rPr>
              <w:t>" means a Share which is no longer a Restricted Share.</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Other terms not specifically defined in this Agreement shall have the same meanings as defined in the Plan.</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i w:val="false"/>
          <w:caps w:val="false"/>
          <w:smallCaps w:val="false"/>
          <w:sz w:val="22"/>
        </w:rPr>
        <w:t>2.</w:t>
      </w:r>
      <w:r>
        <w:rPr>
          <w:rFonts w:ascii="Times New Roman;Times;serif" w:hAnsi="Times New Roman;Times;serif"/>
          <w:b/>
          <w:sz w:val="22"/>
        </w:rPr>
        <w:t>GRANT AND ACCEPTANCE OF AWARD; TAX ELECTION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2.1</w:t>
      </w:r>
      <w:r>
        <w:rPr>
          <w:rFonts w:ascii="Times New Roman;Times;serif" w:hAnsi="Times New Roman;Times;serif"/>
          <w:sz w:val="22"/>
          <w:u w:val="single"/>
        </w:rPr>
        <w:t>Grant</w:t>
      </w:r>
      <w:r>
        <w:rPr>
          <w:rFonts w:ascii="Times New Roman;Times;serif" w:hAnsi="Times New Roman;Times;serif"/>
          <w:sz w:val="22"/>
        </w:rPr>
        <w:t>.  The Company confirms the award to Employee of «Shares»</w:t>
      </w:r>
      <w:r>
        <w:rPr>
          <w:rFonts w:ascii="Courier New" w:hAnsi="Courier New"/>
          <w:sz w:val="22"/>
        </w:rPr>
        <w:t xml:space="preserve"> </w:t>
      </w:r>
      <w:r>
        <w:rPr>
          <w:rFonts w:ascii="Times New Roman;Times;serif" w:hAnsi="Times New Roman;Times;serif"/>
          <w:sz w:val="22"/>
        </w:rPr>
        <w:t>shares of Common Stock (the "Shares") as restricted stock, upon the terms, restrictions, and conditions of this Agreement and the Plan.  The award of Shares shall be effective as of the Effective Date of this Agreement.  </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2.2</w:t>
      </w:r>
      <w:r>
        <w:rPr>
          <w:rFonts w:ascii="Times New Roman;Times;serif" w:hAnsi="Times New Roman;Times;serif"/>
          <w:sz w:val="22"/>
          <w:u w:val="single"/>
        </w:rPr>
        <w:t>Acceptance</w:t>
      </w:r>
      <w:r>
        <w:rPr>
          <w:rFonts w:ascii="Times New Roman;Times;serif" w:hAnsi="Times New Roman;Times;serif"/>
          <w:sz w:val="22"/>
        </w:rPr>
        <w:t>.  Employee accepts this award of Shares and agrees to hold them subject to the terms, restrictions, and conditions of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2.3</w:t>
      </w:r>
      <w:r>
        <w:rPr>
          <w:rFonts w:ascii="Times New Roman;Times;serif" w:hAnsi="Times New Roman;Times;serif"/>
          <w:sz w:val="22"/>
          <w:u w:val="single"/>
        </w:rPr>
        <w:t>Tax Election</w:t>
      </w:r>
      <w:r>
        <w:rPr>
          <w:rFonts w:ascii="Times New Roman;Times;serif" w:hAnsi="Times New Roman;Times;serif"/>
          <w:sz w:val="22"/>
        </w:rPr>
        <w:t xml:space="preserve">.  Employee may elect to be taxed in _____ on the fair market value of the Shares awarded by signing an election to be so taxed under Section 83(b) of the Internal Revenue Code and filing such election with the Internal Revenue Service within thirty (30) days after the Effective Date of this Agreement.  If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Employee chooses not to make such an election, Employee will be taxed on the fair market value of the Shares in the year in which the Shares become Vested Shares.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2.4</w:t>
      </w:r>
      <w:r>
        <w:rPr>
          <w:rFonts w:ascii="Times New Roman;Times;serif" w:hAnsi="Times New Roman;Times;serif"/>
          <w:sz w:val="22"/>
          <w:u w:val="single"/>
        </w:rPr>
        <w:t>Withholding</w:t>
      </w:r>
      <w:r>
        <w:rPr>
          <w:rFonts w:ascii="Times New Roman;Times;serif" w:hAnsi="Times New Roman;Times;serif"/>
          <w:sz w:val="22"/>
        </w:rPr>
        <w:t>.  The parties agree that vesting of the Shares in accordance with this Agreement is subject to the satisfaction of applicable withholding tax or other withholding liabilities under federal, state, and local laws.</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i w:val="false"/>
          <w:caps w:val="false"/>
          <w:smallCaps w:val="false"/>
          <w:sz w:val="22"/>
        </w:rPr>
        <w:t>3.</w:t>
      </w:r>
      <w:r>
        <w:rPr>
          <w:rFonts w:ascii="Times New Roman;Times;serif" w:hAnsi="Times New Roman;Times;serif"/>
          <w:b/>
          <w:sz w:val="22"/>
        </w:rPr>
        <w:t>RESTRICTIONS ON TRANSFER OF SHARES; LAPSE OF RESTRICTIONS</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3.1</w:t>
      </w:r>
      <w:r>
        <w:rPr>
          <w:rFonts w:ascii="Times New Roman;Times;serif" w:hAnsi="Times New Roman;Times;serif"/>
          <w:sz w:val="22"/>
          <w:u w:val="single"/>
        </w:rPr>
        <w:t>Transfer Prohibitions</w:t>
      </w:r>
      <w:r>
        <w:rPr>
          <w:rFonts w:ascii="Times New Roman;Times;serif" w:hAnsi="Times New Roman;Times;serif"/>
          <w:sz w:val="22"/>
        </w:rPr>
        <w:t>.  Employee shall not sell, pledge, or otherwise assign or transfer any Share or any interest in any Share while such Share is a Restricted Share.  </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3.2</w:t>
      </w:r>
      <w:r>
        <w:rPr>
          <w:rFonts w:ascii="Times New Roman;Times;serif" w:hAnsi="Times New Roman;Times;serif"/>
          <w:sz w:val="22"/>
          <w:u w:val="single"/>
        </w:rPr>
        <w:t>Restricted Shares</w:t>
      </w:r>
      <w:r>
        <w:rPr>
          <w:rFonts w:ascii="Times New Roman;Times;serif" w:hAnsi="Times New Roman;Times;serif"/>
          <w:sz w:val="22"/>
        </w:rPr>
        <w:t xml:space="preserve">.  Every Share shall be a Restricted Share until the restrictions lapse in accordance with the vesting conditions set forth in Section 5.1 or Section 5.4 below. </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3.3</w:t>
      </w:r>
      <w:r>
        <w:rPr>
          <w:rFonts w:ascii="Times New Roman;Times;serif" w:hAnsi="Times New Roman;Times;serif"/>
          <w:sz w:val="22"/>
          <w:u w:val="single"/>
        </w:rPr>
        <w:t>Securities Law Compliance</w:t>
      </w:r>
      <w:r>
        <w:rPr>
          <w:rFonts w:ascii="Times New Roman;Times;serif" w:hAnsi="Times New Roman;Times;serif"/>
          <w:sz w:val="22"/>
        </w:rPr>
        <w:t>.  Employee shall not sell or transfer any Share or any interest in any Share, whether such Share is or is not a Restricted Share, unless either (a) the Company shall consent in writing to such transfer, or (b) the Company shall have received an opinion of counsel satisfactory to the Company to the effect that such transfer will not violate the registration requirements imposed by the Securities Act of 1933 or any other provision of law which the Company shall desire such opinion to cover.</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3.4</w:t>
      </w:r>
      <w:r>
        <w:rPr>
          <w:rFonts w:ascii="Times New Roman;Times;serif" w:hAnsi="Times New Roman;Times;serif"/>
          <w:sz w:val="22"/>
          <w:u w:val="single"/>
        </w:rPr>
        <w:t>Stop Transfer Instructions</w:t>
      </w:r>
      <w:r>
        <w:rPr>
          <w:rFonts w:ascii="Times New Roman;Times;serif" w:hAnsi="Times New Roman;Times;serif"/>
          <w:sz w:val="22"/>
        </w:rPr>
        <w:t>.  The Company shall have the right to issue instructions to the transfer agent for the shares of the Company, prohibiting transfer of any Shares except in accordance with the requirements of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3.5</w:t>
      </w:r>
      <w:r>
        <w:rPr>
          <w:rFonts w:ascii="Times New Roman;Times;serif" w:hAnsi="Times New Roman;Times;serif"/>
          <w:sz w:val="22"/>
          <w:u w:val="single"/>
        </w:rPr>
        <w:t>Rights as Shareholder</w:t>
      </w:r>
      <w:r>
        <w:rPr>
          <w:rFonts w:ascii="Times New Roman;Times;serif" w:hAnsi="Times New Roman;Times;serif"/>
          <w:sz w:val="22"/>
        </w:rPr>
        <w:t>.  Except for the restrictions imposed in this Section 3 and unless the Shares have reverted to the Company pursuant to Section 5.2 or Section 5.5 below, Employee shall have all the rights of a shareholder with respect to the Restricted Shares, including the right to vote and to receive any dividends declared and paid thereon.</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i w:val="false"/>
          <w:caps w:val="false"/>
          <w:smallCaps w:val="false"/>
          <w:sz w:val="22"/>
        </w:rPr>
        <w:t>4.</w:t>
      </w:r>
      <w:r>
        <w:rPr>
          <w:rFonts w:ascii="Times New Roman;Times;serif" w:hAnsi="Times New Roman;Times;serif"/>
          <w:b/>
          <w:sz w:val="22"/>
        </w:rPr>
        <w:t>ACQUISITION WARRANTIES BY EMPLOYEE.  </w:t>
      </w:r>
      <w:r>
        <w:rPr>
          <w:rFonts w:ascii="Times New Roman;Times;serif" w:hAnsi="Times New Roman;Times;serif"/>
          <w:sz w:val="22"/>
        </w:rPr>
        <w:t>In order to induce the Company to issue and deliver the Shares on the terms of this Agreement, Employee warrants to and agrees with the Company as follows:</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4.1</w:t>
      </w:r>
      <w:r>
        <w:rPr>
          <w:rFonts w:ascii="Times New Roman;Times;serif" w:hAnsi="Times New Roman;Times;serif"/>
          <w:sz w:val="22"/>
          <w:u w:val="single"/>
        </w:rPr>
        <w:t>No Participating Interest</w:t>
      </w:r>
      <w:r>
        <w:rPr>
          <w:rFonts w:ascii="Times New Roman;Times;serif" w:hAnsi="Times New Roman;Times;serif"/>
          <w:sz w:val="22"/>
        </w:rPr>
        <w:t>.  Employee is acquiring the Shares for Employee’s own account and has not made any arrangement to convey any interest in the Shares to any person, other than to transfer Reverted Shares to the Company pursuant to Section 5.2 or Section 5.5 below.</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4.2</w:t>
      </w:r>
      <w:r>
        <w:rPr>
          <w:rFonts w:ascii="Times New Roman;Times;serif" w:hAnsi="Times New Roman;Times;serif"/>
          <w:sz w:val="22"/>
          <w:u w:val="single"/>
        </w:rPr>
        <w:t>Ability to Evaluate</w:t>
      </w:r>
      <w:r>
        <w:rPr>
          <w:rFonts w:ascii="Times New Roman;Times;serif" w:hAnsi="Times New Roman;Times;serif"/>
          <w:sz w:val="22"/>
        </w:rPr>
        <w:t>.  Because of Employee’s knowledge of and experience in financial and business matters, Employee is capable of evaluating the merits and risks of acquiring the Shares under the conditions set forth in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4.3</w:t>
      </w:r>
      <w:r>
        <w:rPr>
          <w:rFonts w:ascii="Times New Roman;Times;serif" w:hAnsi="Times New Roman;Times;serif"/>
          <w:sz w:val="22"/>
          <w:u w:val="single"/>
        </w:rPr>
        <w:t>Familiarity with Company</w:t>
      </w:r>
      <w:r>
        <w:rPr>
          <w:rFonts w:ascii="Times New Roman;Times;serif" w:hAnsi="Times New Roman;Times;serif"/>
          <w:sz w:val="22"/>
        </w:rPr>
        <w:t>.  Employee is familiar with the business, financial condition, earnings, and prospects of the Company, and confirms that the Company has not made any representation regarding the foregoing matters or the merits of entering into this Agreement or as to the prospective value of the Shares.</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i w:val="false"/>
          <w:caps w:val="false"/>
          <w:smallCaps w:val="false"/>
          <w:sz w:val="22"/>
        </w:rPr>
        <w:t>5.</w:t>
      </w:r>
      <w:r>
        <w:rPr>
          <w:rFonts w:ascii="Times New Roman;Times;serif" w:hAnsi="Times New Roman;Times;serif"/>
          <w:b/>
          <w:sz w:val="22"/>
        </w:rPr>
        <w:t>VESTING AND REALLOCATION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Courier New" w:hAnsi="Courier New"/>
          <w:sz w:val="24"/>
        </w:rPr>
      </w:pPr>
      <w:r>
        <w:rPr>
          <w:rFonts w:ascii="Times New Roman;Times;serif" w:hAnsi="Times New Roman;Times;serif"/>
          <w:sz w:val="22"/>
        </w:rPr>
        <w:t>5.1</w:t>
      </w:r>
      <w:r>
        <w:rPr>
          <w:rFonts w:ascii="Times New Roman;Times;serif" w:hAnsi="Times New Roman;Times;serif"/>
          <w:sz w:val="22"/>
          <w:u w:val="single"/>
        </w:rPr>
        <w:t>Vesting of Shares</w:t>
      </w:r>
      <w:r>
        <w:rPr>
          <w:rFonts w:ascii="Times New Roman;Times;serif" w:hAnsi="Times New Roman;Times;serif"/>
          <w:sz w:val="22"/>
        </w:rPr>
        <w:t>.  All Shares issued hereunder that have not previously reverted to the Company shall become Vested Shares immediately upon the first to occur of the following:</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(a)Upon the death of Employee;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(b)Upon the Disability or Retirement of Employee (each as defined in the Plan);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(c)Upon the five (5) year anniversary of the Effective Date of this Agreement;</w:t>
      </w:r>
    </w:p>
    <w:p>
      <w:pPr>
        <w:pStyle w:val="TextBody"/>
        <w:bidi w:val="0"/>
        <w:spacing w:before="0" w:after="0"/>
        <w:ind w:left="0" w:right="0" w:firstLine="72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pBdr/>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 xml:space="preserve">(d) Upon Employee reaching the age of 67 if Employee has experienced an Early Retirement (as defined above) and Employee has fully complied with the covenants and obligations set forth in Section 5.5 and 5.6; or </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(e)Upon a Change in Control of the Company (as defined in the Plan).</w:t>
      </w:r>
    </w:p>
    <w:p>
      <w:pPr>
        <w:pStyle w:val="TextBody"/>
        <w:bidi w:val="0"/>
        <w:spacing w:before="0" w:after="0"/>
        <w:ind w:left="720" w:right="72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5.2</w:t>
      </w:r>
      <w:r>
        <w:rPr>
          <w:rFonts w:ascii="Times New Roman;Times;serif" w:hAnsi="Times New Roman;Times;serif"/>
          <w:sz w:val="22"/>
          <w:u w:val="single"/>
        </w:rPr>
        <w:t>Reversion</w:t>
      </w:r>
      <w:r>
        <w:rPr>
          <w:rFonts w:ascii="Times New Roman;Times;serif" w:hAnsi="Times New Roman;Times;serif"/>
          <w:sz w:val="22"/>
        </w:rPr>
        <w:t>.  All Shares that have not become Vested Shares shall automatically revert to the Company at any time Employee shall no longer be employed by the Company or a Subsidiary (as defined in the Plan) for any reason whatsoever, except as otherwise provided in Section 5.1 or Section 5.4 of this Agreement.  </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5.3</w:t>
      </w:r>
      <w:r>
        <w:rPr>
          <w:rFonts w:ascii="Times New Roman;Times;serif" w:hAnsi="Times New Roman;Times;serif"/>
          <w:sz w:val="22"/>
          <w:u w:val="single"/>
        </w:rPr>
        <w:t>Effect of Reversion</w:t>
      </w:r>
      <w:r>
        <w:rPr>
          <w:rFonts w:ascii="Times New Roman;Times;serif" w:hAnsi="Times New Roman;Times;serif"/>
          <w:sz w:val="22"/>
        </w:rPr>
        <w:t>.  Upon reversion of any Shares (a) absolute ownership thereof shall automatically revert to the Company at that time, (b) such Shares shall be deemed to be "Reverted Shares" for purposes of this Agreement, and (c) all of Employee’s rights and interests in the Shares shall cease at that time.  No compensation shall be payable to Employee for Shares which revert to the Company.</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5.4</w:t>
      </w:r>
      <w:r>
        <w:rPr>
          <w:rFonts w:ascii="Times New Roman;Times;serif" w:hAnsi="Times New Roman;Times;serif"/>
          <w:sz w:val="22"/>
          <w:u w:val="single"/>
        </w:rPr>
        <w:t>Early Retirement and Lack of Work Separation</w:t>
      </w:r>
      <w:r>
        <w:rPr>
          <w:rFonts w:ascii="Times New Roman;Times;serif" w:hAnsi="Times New Roman;Times;serif"/>
          <w:sz w:val="22"/>
        </w:rPr>
        <w:t xml:space="preserve">.  If Employee terminates employment with the Company or a Subsidiary due to an Early Retirement or due to a Lack of Work Separation, those Shares that have not become Vested Shares as of the date of Early Retirement or Lack of Work Separation shall not revert to the Company and shall remain subject to vesting in accordance with Section 5.1 provided that Employee fully complies with the covenants and obligations of Employee set forth in Sections 5.5 and 5.6 below at all times subsequent to and including the date of Early Retirement or Lack of Work Separation and until the date the Shares become Vested Shares in accordance with Section 5.1.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5.5</w:t>
      </w:r>
      <w:r>
        <w:rPr>
          <w:rFonts w:ascii="Times New Roman;Times;serif" w:hAnsi="Times New Roman;Times;serif"/>
          <w:sz w:val="22"/>
          <w:u w:val="single"/>
        </w:rPr>
        <w:t>Covenant Not to Compete; Non-Solicitation</w:t>
      </w:r>
      <w:r>
        <w:rPr>
          <w:rFonts w:ascii="Times New Roman;Times;serif" w:hAnsi="Times New Roman;Times;serif"/>
          <w:sz w:val="22"/>
        </w:rPr>
        <w:t>.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Restrictions</w:t>
      </w:r>
      <w:r>
        <w:rPr>
          <w:rFonts w:ascii="Times New Roman;Times;serif" w:hAnsi="Times New Roman;Times;serif"/>
          <w:sz w:val="22"/>
        </w:rPr>
        <w:t>.  Employee acknowledges Employee's potential to terminate employment with the Company or a Subsidiary due to Early Retirement or a Lack of Work Separation prior to the vesting date set forth in Section 5.1(c) and acknowledges and agrees further, that based upon Employee's current health, skills, connections and other factors, including the availability of alternative employment opportunities that may be competitive with the business of the Company, Employee's employment by a competitor of the Company would cause irreparable harm to the Company; consequently, Employee agrees to the following covenants and obligations, from and after the Effective Date of this Agreement until the vesting of the Shares under Section 5.1, as a condition to grant of the Shares under this Agreement:  </w:t>
      </w:r>
    </w:p>
    <w:p>
      <w:pPr>
        <w:pStyle w:val="TextBody"/>
        <w:bidi w:val="0"/>
        <w:spacing w:before="0" w:after="0"/>
        <w:ind w:left="720" w:right="0" w:firstLine="720"/>
        <w:jc w:val="both"/>
        <w:rPr/>
      </w:pPr>
      <w:r>
        <w:rPr/>
        <w:t>​</w:t>
      </w:r>
    </w:p>
    <w:p>
      <w:pPr>
        <w:pStyle w:val="TextBody"/>
        <w:bidi w:val="0"/>
        <w:spacing w:before="0" w:after="0"/>
        <w:ind w:left="0" w:right="0" w:firstLine="1440"/>
        <w:jc w:val="both"/>
        <w:rPr>
          <w:rFonts w:ascii="Times New Roman;Times;serif" w:hAnsi="Times New Roman;Times;serif"/>
          <w:sz w:val="22"/>
        </w:rPr>
      </w:pPr>
      <w:r>
        <w:rPr>
          <w:rFonts w:ascii="Times New Roman;Times;serif" w:hAnsi="Times New Roman;Times;serif"/>
          <w:sz w:val="22"/>
        </w:rPr>
        <w:t>Employee agrees that he/she will not, directly or indirectly, either alone or in association with others, for himself/herself or for any other person or entity, either as principal, agent, employee, director, officer, member, stockholder, or in any other capacity: (i) conduct, become engaged in, or interested in, any business that competes, directly or indirectly, with the business of the Company or any of its affiliates in any geographic area in which the Company or any of its affiliates does or has reasonably definitive plans to do a material amount of business, (ii) solicit, divert or take away or attempt to solicit, divert or take away, directly or indirectly, any of the Company's or its affiliates current, prior, or prospective customers; or (iii) solicit or attempt to solicit any person who is employed or engaged to perform services by the Company or its affiliates to leave his or his employment or engagement with Company or its affiliates.</w:t>
      </w:r>
    </w:p>
    <w:p>
      <w:pPr>
        <w:pStyle w:val="TextBody"/>
        <w:bidi w:val="0"/>
        <w:spacing w:before="0" w:after="0"/>
        <w:ind w:left="720" w:right="0" w:firstLine="720"/>
        <w:jc w:val="both"/>
        <w:rPr/>
      </w:pPr>
      <w:r>
        <w:rPr/>
        <w:t>​</w:t>
      </w:r>
    </w:p>
    <w:p>
      <w:pPr>
        <w:pStyle w:val="TextBody"/>
        <w:bidi w:val="0"/>
        <w:spacing w:before="0" w:after="0"/>
        <w:ind w:left="0" w:right="0" w:hanging="0"/>
        <w:jc w:val="both"/>
        <w:rPr>
          <w:rFonts w:ascii="Courier New" w:hAnsi="Courier New"/>
          <w:sz w:val="24"/>
        </w:rPr>
      </w:pPr>
      <w:r>
        <w:rPr>
          <w:rFonts w:ascii="Times New Roman;Times;serif" w:hAnsi="Times New Roman;Times;serif"/>
          <w:sz w:val="22"/>
        </w:rPr>
        <w:t>(b)</w:t>
      </w:r>
      <w:r>
        <w:rPr>
          <w:rFonts w:ascii="Times New Roman;Times;serif" w:hAnsi="Times New Roman;Times;serif"/>
          <w:sz w:val="22"/>
          <w:u w:val="single"/>
        </w:rPr>
        <w:t>Judicial Determination</w:t>
      </w:r>
      <w:r>
        <w:rPr>
          <w:rFonts w:ascii="Times New Roman;Times;serif" w:hAnsi="Times New Roman;Times;serif"/>
          <w:sz w:val="22"/>
        </w:rPr>
        <w:t>. The Company and Employee agree that the restrictions set forth in this Section 5.5 are reasonable in light of the nature of the parties’ relationship and are necessary to protect the business and goodwill of the Company.  However, should any court of competent jurisdiction determine that these restrictions are unreasonable, then the parties agree that the restrictions will, without further acts of the parties, be modified or amended to conform to the judgment of the court as to what would be reasonable, with the restrictions of this Section 5.5 to be limited in accordance with such judgment to the minimum extent determined to be necessary by the court.</w:t>
      </w:r>
    </w:p>
    <w:p>
      <w:pPr>
        <w:pStyle w:val="TextBody"/>
        <w:bidi w:val="0"/>
        <w:spacing w:before="0" w:after="0"/>
        <w:ind w:left="0" w:right="0" w:hanging="0"/>
        <w:jc w:val="both"/>
        <w:rPr/>
      </w:pPr>
      <w:r>
        <w:rPr/>
        <w:t>​</w:t>
      </w:r>
    </w:p>
    <w:p>
      <w:pPr>
        <w:pStyle w:val="TextBody"/>
        <w:bidi w:val="0"/>
        <w:spacing w:before="0" w:after="0"/>
        <w:ind w:left="0" w:right="0" w:hanging="0"/>
        <w:jc w:val="both"/>
        <w:rPr>
          <w:rFonts w:ascii="Courier New" w:hAnsi="Courier New"/>
          <w:sz w:val="24"/>
        </w:rPr>
      </w:pPr>
      <w:r>
        <w:rPr>
          <w:rFonts w:ascii="Times New Roman;Times;serif" w:hAnsi="Times New Roman;Times;serif"/>
          <w:sz w:val="22"/>
        </w:rPr>
        <w:t>(c)</w:t>
      </w:r>
      <w:r>
        <w:rPr>
          <w:rFonts w:ascii="Times New Roman;Times;serif" w:hAnsi="Times New Roman;Times;serif"/>
          <w:sz w:val="22"/>
          <w:u w:val="single"/>
        </w:rPr>
        <w:t>Remedies</w:t>
      </w:r>
      <w:r>
        <w:rPr>
          <w:rFonts w:ascii="Times New Roman;Times;serif" w:hAnsi="Times New Roman;Times;serif"/>
          <w:sz w:val="22"/>
        </w:rPr>
        <w:t>.  In the event of any breach of this Section 5.5 by Employee, the Company shall be entitled to injunctive relief and damages, together with any reasonable attorneys' fees or costs incurred as a result of such breach and awarded by the court and that the Shares subject to this Agreement shall immediately be forfeited and become Reverted Shares as provided in Section 5.3 hereof.</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Courier New" w:hAnsi="Courier New"/>
          <w:sz w:val="24"/>
        </w:rPr>
      </w:pPr>
      <w:r>
        <w:rPr>
          <w:rFonts w:ascii="Times New Roman;Times;serif" w:hAnsi="Times New Roman;Times;serif"/>
          <w:sz w:val="22"/>
        </w:rPr>
        <w:t>5.6</w:t>
      </w:r>
      <w:r>
        <w:rPr>
          <w:rFonts w:ascii="Times New Roman;Times;serif" w:hAnsi="Times New Roman;Times;serif"/>
          <w:sz w:val="22"/>
          <w:u w:val="single"/>
        </w:rPr>
        <w:t>Release of Claims</w:t>
      </w:r>
      <w:r>
        <w:rPr>
          <w:rFonts w:ascii="Times New Roman;Times;serif" w:hAnsi="Times New Roman;Times;serif"/>
          <w:sz w:val="22"/>
        </w:rPr>
        <w:t>.  In consideration of the benefits to Employee of the ability to continue to allow the Shares to become Vested Shares under Section 5.4 above, and as a condition to such benefits, as of the date of Early Retirement or Lack of Work Separation, as applicable, Employee releases and forever discharges the Company and its Subsidiaries and their respective directors, officers, managers, and agents (collectively, the "Released Parties") from any and all claims, suits, actions, causes of action, cross-claims, counter-claims, demands, debts, damages or liabilities of any nature whatsoever in law and in equity, both past and present and whether known or unknown, suspected, or claimed against the Company or any of the Released Parties which Employee has or may have and which arise out of or are connected with Employee's employment with, or separation or termination of service from, the Company or any Subsidiary under any federal, state or local civil or human rights law, or under any other local, state, or federal law, regulation or ordinance, or under any public policy, contract or tort, or under common law, or arising under any policies, practices or procedures of the Company or any Subsidiary, or any claim for wrongful discharge, retaliation, whistleblowers, breach of contract, or any claim for costs, fees, or other expenses, including attorneys' fees incurred in these matters.</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i w:val="false"/>
          <w:caps w:val="false"/>
          <w:smallCaps w:val="false"/>
          <w:sz w:val="22"/>
        </w:rPr>
        <w:t>6.</w:t>
      </w:r>
      <w:r>
        <w:rPr>
          <w:rFonts w:ascii="Times New Roman;Times;serif" w:hAnsi="Times New Roman;Times;serif"/>
          <w:b/>
          <w:sz w:val="22"/>
        </w:rPr>
        <w:t>GENERAL PROVISIONS</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6.1</w:t>
      </w:r>
      <w:r>
        <w:rPr>
          <w:rFonts w:ascii="Times New Roman;Times;serif" w:hAnsi="Times New Roman;Times;serif"/>
          <w:sz w:val="22"/>
          <w:u w:val="single"/>
        </w:rPr>
        <w:t>No Right to Employment</w:t>
      </w:r>
      <w:r>
        <w:rPr>
          <w:rFonts w:ascii="Times New Roman;Times;serif" w:hAnsi="Times New Roman;Times;serif"/>
          <w:sz w:val="22"/>
        </w:rPr>
        <w:t>.  This Agreement is not an employment contract.  Neither the Plan nor this Agreement or anything else changes the employment status of Employee.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6.2</w:t>
      </w:r>
      <w:r>
        <w:rPr>
          <w:rFonts w:ascii="Times New Roman;Times;serif" w:hAnsi="Times New Roman;Times;serif"/>
          <w:sz w:val="22"/>
          <w:u w:val="single"/>
        </w:rPr>
        <w:t>Spendthrift</w:t>
      </w:r>
      <w:r>
        <w:rPr>
          <w:rFonts w:ascii="Times New Roman;Times;serif" w:hAnsi="Times New Roman;Times;serif"/>
          <w:sz w:val="22"/>
        </w:rPr>
        <w:t>.  No benefit or interest hereunder is subject in any manner to anticipation, alienation, sale, transfer, assignment, pledge, encumbrance, attachment, or garnishment by creditors of Employee.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6.3</w:t>
      </w:r>
      <w:r>
        <w:rPr>
          <w:rFonts w:ascii="Times New Roman;Times;serif" w:hAnsi="Times New Roman;Times;serif"/>
          <w:sz w:val="22"/>
          <w:u w:val="single"/>
        </w:rPr>
        <w:t>Severability</w:t>
      </w:r>
      <w:r>
        <w:rPr>
          <w:rFonts w:ascii="Times New Roman;Times;serif" w:hAnsi="Times New Roman;Times;serif"/>
          <w:sz w:val="22"/>
        </w:rPr>
        <w:t>.  Whenever possible, each provision of this Agreement shall be interpreted in such manner as to be valid and enforceable, but if any provision of this Agreement shall be held to be prohibited or unenforceable under applicable law (a) such provision shall be deemed amended to accomplish the objectives of the provision as originally written to the fullest extent permitted by law, and (b) all other provisions of this Agreement shall remain in full force and effect.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6.4</w:t>
      </w:r>
      <w:r>
        <w:rPr>
          <w:rFonts w:ascii="Times New Roman;Times;serif" w:hAnsi="Times New Roman;Times;serif"/>
          <w:sz w:val="22"/>
          <w:u w:val="single"/>
        </w:rPr>
        <w:t>Captions</w:t>
      </w:r>
      <w:r>
        <w:rPr>
          <w:rFonts w:ascii="Times New Roman;Times;serif" w:hAnsi="Times New Roman;Times;serif"/>
          <w:sz w:val="22"/>
        </w:rPr>
        <w:t>.  The captions used in this Agreement are for convenience only, do not constitute a part of this Agreement, and all of the provisions of this Agreement shall be enforced and construed as if no captions had been used.</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6.5</w:t>
      </w:r>
      <w:r>
        <w:rPr>
          <w:rFonts w:ascii="Times New Roman;Times;serif" w:hAnsi="Times New Roman;Times;serif"/>
          <w:sz w:val="22"/>
          <w:u w:val="single"/>
        </w:rPr>
        <w:t>Complete Agreement</w:t>
      </w:r>
      <w:r>
        <w:rPr>
          <w:rFonts w:ascii="Times New Roman;Times;serif" w:hAnsi="Times New Roman;Times;serif"/>
          <w:sz w:val="22"/>
        </w:rPr>
        <w:t>.  This Agreement contains the complete agreement between the parties relating in any way to the subject matter of this Agreement, and supersedes any prior understandings, agreements, or representations, written or oral, which may have related to such subject matter in any way.</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6.6</w:t>
      </w:r>
      <w:r>
        <w:rPr>
          <w:rFonts w:ascii="Times New Roman;Times;serif" w:hAnsi="Times New Roman;Times;serif"/>
          <w:sz w:val="22"/>
          <w:u w:val="single"/>
        </w:rPr>
        <w:t>Notices</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Procedures Required</w:t>
      </w:r>
      <w:r>
        <w:rPr>
          <w:rFonts w:ascii="Times New Roman;Times;serif" w:hAnsi="Times New Roman;Times;serif"/>
          <w:sz w:val="22"/>
        </w:rPr>
        <w:t>.  Each communication given or delivered under this Agreement must be in writing and may be given by personal delivery or by certified mail.  A written communication shall be deemed to have been given on the date it shall be delivered to the address required by this Agreement.</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Communications to the Company</w:t>
      </w:r>
      <w:r>
        <w:rPr>
          <w:rFonts w:ascii="Times New Roman;Times;serif" w:hAnsi="Times New Roman;Times;serif"/>
          <w:sz w:val="22"/>
        </w:rPr>
        <w:t>.  Communications to the Company shall be addressed to it at the principal corporate headquarters and marked to the attention of the Company’s General Counsel.</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Communications to the Employee</w:t>
      </w:r>
      <w:r>
        <w:rPr>
          <w:rFonts w:ascii="Times New Roman;Times;serif" w:hAnsi="Times New Roman;Times;serif"/>
          <w:sz w:val="22"/>
        </w:rPr>
        <w:t>.  Every communication to Employee shall be addressed to Employee at the address given immediately below Employee’s signature to this Agreement, or to such other address as Employee shall specify to the Company.</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6.7</w:t>
      </w:r>
      <w:r>
        <w:rPr>
          <w:rFonts w:ascii="Times New Roman;Times;serif" w:hAnsi="Times New Roman;Times;serif"/>
          <w:sz w:val="22"/>
          <w:u w:val="single"/>
        </w:rPr>
        <w:t>Assignment</w:t>
      </w:r>
      <w:r>
        <w:rPr>
          <w:rFonts w:ascii="Times New Roman;Times;serif" w:hAnsi="Times New Roman;Times;serif"/>
          <w:sz w:val="22"/>
        </w:rPr>
        <w:t>.  This Agreement is not assignable by Employee during the Employee’s lifetime.  This Agreement shall be binding upon and inure to the benefit of (a) the successors and assigns of the Company, and (b) any person to whom Employee’s rights under this Agreement may pass by reason of Employee’s death.</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6.8</w:t>
      </w:r>
      <w:r>
        <w:rPr>
          <w:rFonts w:ascii="Times New Roman;Times;serif" w:hAnsi="Times New Roman;Times;serif"/>
          <w:sz w:val="22"/>
          <w:u w:val="single"/>
        </w:rPr>
        <w:t>Amendment</w:t>
      </w:r>
      <w:r>
        <w:rPr>
          <w:rFonts w:ascii="Times New Roman;Times;serif" w:hAnsi="Times New Roman;Times;serif"/>
          <w:sz w:val="22"/>
        </w:rPr>
        <w:t>.  This Agreement may be amended, modified, or terminated only by written agreement between the Company and Employee.</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6.9</w:t>
      </w:r>
      <w:r>
        <w:rPr>
          <w:rFonts w:ascii="Times New Roman;Times;serif" w:hAnsi="Times New Roman;Times;serif"/>
          <w:sz w:val="22"/>
          <w:u w:val="single"/>
        </w:rPr>
        <w:t>Waiver</w:t>
      </w:r>
      <w:r>
        <w:rPr>
          <w:rFonts w:ascii="Times New Roman;Times;serif" w:hAnsi="Times New Roman;Times;serif"/>
          <w:sz w:val="22"/>
        </w:rPr>
        <w:t xml:space="preserve">.  No delay or omission in exercising any right hereunder shall operate as a waiver of such right or of any other right hereunder.  A waiver upon any one occasion shall not be construed as a bar or waiver of any right or remedy on any other occasion.  All of the rights and remedies of the parties hereto, whether evidenced hereby or granted by law, shall be cumulative.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6.10</w:t>
      </w:r>
      <w:r>
        <w:rPr>
          <w:rFonts w:ascii="Times New Roman;Times;serif" w:hAnsi="Times New Roman;Times;serif"/>
          <w:sz w:val="22"/>
          <w:u w:val="single"/>
        </w:rPr>
        <w:t>Choice of Law</w:t>
      </w:r>
      <w:r>
        <w:rPr>
          <w:rFonts w:ascii="Times New Roman;Times;serif" w:hAnsi="Times New Roman;Times;serif"/>
          <w:sz w:val="22"/>
        </w:rPr>
        <w:t>.  This Agreement shall be deemed to be a contract made under the laws of the State of Michigan, and for all purposes shall be construed in accordance with and governed by the laws of the State of Michigan.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IN WITNESS WHEREOF, the parties hereto have executed this Agreement as of the Effective Date of this Agreement.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Courier New" w:hAnsi="Courier New"/>
          <w:sz w:val="22"/>
        </w:rPr>
      </w:pPr>
      <w:r>
        <w:rPr>
          <w:rFonts w:ascii="Times New Roman;Times;serif" w:hAnsi="Times New Roman;Times;serif"/>
          <w:b w:val="false"/>
          <w:i w:val="false"/>
          <w:caps w:val="false"/>
          <w:smallCaps w:val="false"/>
          <w:sz w:val="22"/>
        </w:rPr>
        <w:t>EMPLOYEE:</w:t>
      </w:r>
      <w:r>
        <w:rPr>
          <w:rFonts w:ascii="Times New Roman;Times;serif" w:hAnsi="Times New Roman;Times;serif"/>
          <w:sz w:val="22"/>
        </w:rPr>
        <w:t>UFP INDUSTRIES, INC.:</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u w:val="single"/>
        </w:rPr>
        <w:t>​ ​​ ​​ ​​ ​​ ​​ ​</w:t>
      </w:r>
      <w:r>
        <w:rPr>
          <w:rFonts w:ascii="Times New Roman;Times;serif" w:hAnsi="Times New Roman;Times;serif"/>
          <w:sz w:val="22"/>
        </w:rPr>
        <w:t>By</w:t>
      </w:r>
      <w:r>
        <w:rPr>
          <w:rFonts w:ascii="Courier New" w:hAnsi="Courier New"/>
          <w:sz w:val="24"/>
          <w:u w:val="single"/>
        </w:rPr>
        <w:t>​ ​​ ​​ ​​ ​​ ​​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«Name1»</w:t>
      </w:r>
    </w:p>
    <w:p>
      <w:pPr>
        <w:pStyle w:val="TextBody"/>
        <w:bidi w:val="0"/>
        <w:spacing w:before="0" w:after="0"/>
        <w:ind w:left="0" w:right="0" w:hanging="0"/>
        <w:jc w:val="both"/>
        <w:rPr>
          <w:rFonts w:ascii="Courier New" w:hAnsi="Courier New"/>
          <w:sz w:val="24"/>
        </w:rPr>
      </w:pPr>
      <w:r>
        <w:rPr>
          <w:rFonts w:ascii="Times New Roman;Times;serif" w:hAnsi="Times New Roman;Times;serif"/>
          <w:sz w:val="22"/>
        </w:rPr>
        <w:t>Its</w:t>
      </w:r>
      <w:r>
        <w:rPr>
          <w:rFonts w:ascii="Courier New" w:hAnsi="Courier New"/>
          <w:sz w:val="24"/>
          <w:u w:val="single"/>
        </w:rPr>
        <w:t>​ ​​ ​​ ​​ ​​ ​​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ADDRESS: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«Address1»</w:t>
      </w:r>
    </w:p>
    <w:p>
      <w:pPr>
        <w:pStyle w:val="TextBody"/>
        <w:bidi w:val="0"/>
        <w:spacing w:before="0" w:after="0"/>
        <w:ind w:left="0" w:right="0" w:hanging="0"/>
        <w:jc w:val="both"/>
        <w:rPr>
          <w:rFonts w:ascii="Courier New" w:hAnsi="Courier New"/>
          <w:sz w:val="22"/>
        </w:rPr>
      </w:pPr>
      <w:r>
        <w:rPr>
          <w:rFonts w:ascii="Times New Roman;Times;serif" w:hAnsi="Times New Roman;Times;serif"/>
          <w:b/>
          <w:sz w:val="22"/>
        </w:rPr>
        <w:t>«City», «StateProvince»</w:t>
      </w:r>
      <w:r>
        <w:rPr>
          <w:rFonts w:ascii="Courier New" w:hAnsi="Courier New"/>
          <w:sz w:val="22"/>
        </w:rPr>
        <w:t xml:space="preserve">  </w:t>
      </w:r>
      <w:r>
        <w:rPr>
          <w:rFonts w:ascii="Times New Roman;Times;serif" w:hAnsi="Times New Roman;Times;serif"/>
          <w:b/>
          <w:sz w:val="22"/>
        </w:rPr>
        <w:t>«Account_Number»</w:t>
      </w:r>
    </w:p>
    <w:p>
      <w:pPr>
        <w:pStyle w:val="TextBody"/>
        <w:bidi w:val="0"/>
        <w:spacing w:before="0" w:after="0"/>
        <w:ind w:left="0" w:right="0" w:hanging="0"/>
        <w:jc w:val="both"/>
        <w:rPr/>
      </w:pPr>
      <w:bookmarkStart w:id="305" w:name="QuickMark"/>
      <w:bookmarkEnd w:id="305"/>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22444696.2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306" w:name="ufpi-20231230xex10dh.htm"/>
      <w:bookmarkStart w:id="307" w:name="ksufpi20231230xex10dh"/>
      <w:bookmarkEnd w:id="306"/>
      <w:bookmarkEnd w:id="307"/>
      <w:r>
        <w:rPr>
          <w:rFonts w:ascii="Times New Roman;Times;serif" w:hAnsi="Times New Roman;Times;serif"/>
          <w:b/>
          <w:sz w:val="24"/>
        </w:rPr>
        <w:t>Exhibit 10(h)</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UFP INDUSTRIES, INC. LONG-TERM INCENTIVE PLAN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PERFORMANCE SHARE AWARD AGREEMENT</w:t>
      </w:r>
    </w:p>
    <w:p>
      <w:pPr>
        <w:pStyle w:val="TextBody"/>
        <w:bidi w:val="0"/>
        <w:spacing w:before="0" w:after="0"/>
        <w:ind w:left="0" w:right="0" w:firstLine="720"/>
        <w:jc w:val="center"/>
        <w:rPr/>
      </w:pPr>
      <w:r>
        <w:rPr/>
        <w:t>​</w:t>
      </w:r>
    </w:p>
    <w:p>
      <w:pPr>
        <w:pStyle w:val="TextBody"/>
        <w:bidi w:val="0"/>
        <w:spacing w:before="0" w:after="0"/>
        <w:ind w:left="0" w:right="0" w:firstLine="720"/>
        <w:jc w:val="center"/>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This certifies that UFP Industries, Inc. (the "Company") has on _______________, 20___ (the "Award Date"), granted to </w:t>
      </w:r>
      <w:r>
        <w:rPr>
          <w:rFonts w:ascii="Times New Roman;Times;serif" w:hAnsi="Times New Roman;Times;serif"/>
          <w:sz w:val="24"/>
          <w:u w:val="single"/>
        </w:rPr>
        <w:t>​ ​​ ​​ ​​ ​​ ​</w:t>
      </w:r>
      <w:r>
        <w:rPr>
          <w:rFonts w:ascii="Times New Roman;Times;serif" w:hAnsi="Times New Roman;Times;serif"/>
          <w:sz w:val="24"/>
        </w:rPr>
        <w:t xml:space="preserve"> (the "Participant") an award (the "Award") of ______________ Performance Shares (the "Target Performance Shares") pursuant to and under the UFP Industries, Inc. Long-Term Incentive Plan (the "Plan") and subject to the terms set forth in this agreement (the "Agreement").  The Plan is incorporated into this Agreement by reference, and in the event of any conflict between the terms of the Plan and this Agreement, the terms of the Plan will govern.  Any terms not defined herein will have the meaning set forth in the Plan.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1.</w:t>
      </w:r>
      <w:r>
        <w:rPr>
          <w:rFonts w:ascii="Times New Roman;Times;serif" w:hAnsi="Times New Roman;Times;serif"/>
          <w:caps/>
          <w:sz w:val="24"/>
          <w:u w:val="single"/>
        </w:rPr>
        <w:t>Definitions</w:t>
      </w:r>
      <w:r>
        <w:rPr>
          <w:rFonts w:ascii="Times New Roman;Times;serif" w:hAnsi="Times New Roman;Times;serif"/>
          <w:caps/>
          <w:sz w:val="24"/>
        </w:rPr>
        <w:t>.</w:t>
      </w:r>
    </w:p>
    <w:p>
      <w:pPr>
        <w:pStyle w:val="TextBody"/>
        <w:bidi w:val="0"/>
        <w:spacing w:before="0" w:after="0"/>
        <w:ind w:left="360" w:right="360" w:firstLine="720"/>
        <w:jc w:val="left"/>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(a)</w:t>
      </w:r>
      <w:r>
        <w:rPr>
          <w:rFonts w:ascii="Times New Roman;Times;serif" w:hAnsi="Times New Roman;Times;serif"/>
          <w:caps/>
          <w:sz w:val="24"/>
        </w:rPr>
        <w:t>"Actual Performance Shares" means the number of Performance Shares earned and vested in accordance with Section 2 and payable to the Participant under Section 4 of this Agreement.</w:t>
      </w:r>
    </w:p>
    <w:p>
      <w:pPr>
        <w:pStyle w:val="TextBody"/>
        <w:bidi w:val="0"/>
        <w:spacing w:before="0" w:after="0"/>
        <w:ind w:left="0" w:right="360" w:firstLine="720"/>
        <w:jc w:val="left"/>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(b)</w:t>
      </w:r>
      <w:r>
        <w:rPr>
          <w:rFonts w:ascii="Times New Roman;Times;serif" w:hAnsi="Times New Roman;Times;serif"/>
          <w:caps/>
          <w:sz w:val="24"/>
        </w:rPr>
        <w:t>"Common Stock" means the Company's, $1.00 par value per share.</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(c)</w:t>
      </w:r>
      <w:r>
        <w:rPr>
          <w:rFonts w:ascii="Times New Roman;Times;serif" w:hAnsi="Times New Roman;Times;serif"/>
          <w:caps/>
          <w:sz w:val="24"/>
        </w:rPr>
        <w:t>"Performance Period" means the period of three (3) consecutive fiscal Years including and from the Award Date (i.e., _____, _____ and _____).</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(d)</w:t>
      </w:r>
      <w:r>
        <w:rPr>
          <w:rFonts w:ascii="Times New Roman;Times;serif" w:hAnsi="Times New Roman;Times;serif"/>
          <w:caps/>
          <w:sz w:val="24"/>
        </w:rPr>
        <w:t>"Performance Share" means the right to receive one (1) share of Common Stock subject to certain restrictions and on the terms and conditions contained in this Agreement and the Plan.</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(e)</w:t>
      </w:r>
      <w:r>
        <w:rPr>
          <w:rFonts w:ascii="Times New Roman;Times;serif" w:hAnsi="Times New Roman;Times;serif"/>
          <w:caps/>
          <w:sz w:val="24"/>
        </w:rPr>
        <w:t>"Pre Bonus Operating Profit" ("PBOP") has the meaning set forth in the Company’s Performance Bonus Plan – Salaried (PPM 4751).</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(f)</w:t>
      </w:r>
      <w:r>
        <w:rPr>
          <w:rFonts w:ascii="Times New Roman;Times;serif" w:hAnsi="Times New Roman;Times;serif"/>
          <w:caps/>
          <w:sz w:val="24"/>
        </w:rPr>
        <w:t xml:space="preserve">"Pre Bonus Returns On Investment" ("PBROI") means the Company's annual Pre Bonus Operating Profit, divided by the average investment of the Company's business. </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(g)</w:t>
      </w:r>
      <w:r>
        <w:rPr>
          <w:rFonts w:ascii="Times New Roman;Times;serif" w:hAnsi="Times New Roman;Times;serif"/>
          <w:caps/>
          <w:sz w:val="24"/>
        </w:rPr>
        <w:t>"Target PBROI" means twelve percent (12.0%).</w:t>
      </w:r>
    </w:p>
    <w:p>
      <w:pPr>
        <w:pStyle w:val="TextBody"/>
        <w:bidi w:val="0"/>
        <w:spacing w:before="0" w:after="0"/>
        <w:ind w:left="0" w:right="360" w:firstLine="720"/>
        <w:jc w:val="both"/>
        <w:rPr>
          <w:caps/>
        </w:rPr>
      </w:pPr>
      <w:r>
        <w:rPr>
          <w: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Determination of Actual Performance Shares</w:t>
      </w:r>
      <w:r>
        <w:rPr>
          <w:rFonts w:ascii="Times New Roman;Times;serif" w:hAnsi="Times New Roman;Times;serif"/>
          <w:sz w:val="24"/>
        </w:rPr>
        <w:t>.  The Actual Performance Shares which may be earned and vested by Participant shall equal (a) the number of Target Performance Shares, multiplied by (b) the Earnout Percentage, as determined under this Section 2.</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(a)</w:t>
      </w:r>
      <w:r>
        <w:rPr>
          <w:rFonts w:ascii="Times New Roman;Times;serif" w:hAnsi="Times New Roman;Times;serif"/>
          <w:caps/>
          <w:sz w:val="24"/>
          <w:u w:val="single"/>
        </w:rPr>
        <w:t>Determination of PBOP and PBROI</w:t>
      </w:r>
      <w:r>
        <w:rPr>
          <w:rFonts w:ascii="Times New Roman;Times;serif" w:hAnsi="Times New Roman;Times;serif"/>
          <w:caps/>
          <w:sz w:val="24"/>
        </w:rPr>
        <w:t>.</w:t>
      </w:r>
    </w:p>
    <w:p>
      <w:pPr>
        <w:pStyle w:val="TextBody"/>
        <w:bidi w:val="0"/>
        <w:spacing w:before="0" w:after="0"/>
        <w:ind w:left="0" w:right="0" w:firstLine="720"/>
        <w:jc w:val="left"/>
        <w:rPr>
          <w:caps/>
        </w:rPr>
      </w:pPr>
      <w:r>
        <w:rPr>
          <w:caps/>
        </w:rPr>
        <w:t>​</w:t>
      </w:r>
    </w:p>
    <w:p>
      <w:pPr>
        <w:pStyle w:val="TextBody"/>
        <w:bidi w:val="0"/>
        <w:spacing w:before="0" w:after="0"/>
        <w:ind w:left="720" w:right="72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(i)</w:t>
      </w:r>
      <w:r>
        <w:rPr>
          <w:rFonts w:ascii="Times New Roman;Times;serif" w:hAnsi="Times New Roman;Times;serif"/>
          <w:caps/>
          <w:sz w:val="24"/>
          <w:u w:val="single"/>
        </w:rPr>
        <w:t>Determination of PBOP</w:t>
      </w:r>
      <w:r>
        <w:rPr>
          <w:rFonts w:ascii="Times New Roman;Times;serif" w:hAnsi="Times New Roman;Times;serif"/>
          <w:caps/>
          <w:sz w:val="24"/>
        </w:rPr>
        <w:t>.  Within sixty (60) days after the end of the Performance Period, the Committee will determine the Company's PBOP during the Performance Period (the "Performance Period PBOP").</w:t>
      </w:r>
    </w:p>
    <w:p>
      <w:pPr>
        <w:pStyle w:val="TextBody"/>
        <w:bidi w:val="0"/>
        <w:spacing w:before="0" w:after="0"/>
        <w:ind w:left="720" w:right="1080" w:firstLine="720"/>
        <w:jc w:val="both"/>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(ii)</w:t>
      </w:r>
      <w:r>
        <w:rPr>
          <w:rFonts w:ascii="Times New Roman;Times;serif" w:hAnsi="Times New Roman;Times;serif"/>
          <w:caps/>
          <w:sz w:val="24"/>
          <w:u w:val="single"/>
        </w:rPr>
        <w:t>Determination of PBROI</w:t>
      </w:r>
      <w:r>
        <w:rPr>
          <w:rFonts w:ascii="Times New Roman;Times;serif" w:hAnsi="Times New Roman;Times;serif"/>
          <w:caps/>
          <w:sz w:val="24"/>
        </w:rPr>
        <w:t>.  Within sixty (60) days after the end of the Performance Period, the Committee will determine the PBROI during the Performance Period (the "Performance Period PBROI").</w:t>
      </w:r>
    </w:p>
    <w:p>
      <w:pPr>
        <w:pStyle w:val="TextBody"/>
        <w:bidi w:val="0"/>
        <w:spacing w:before="0" w:after="0"/>
        <w:ind w:left="720" w:right="72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(b)</w:t>
      </w:r>
      <w:r>
        <w:rPr>
          <w:rFonts w:ascii="Times New Roman;Times;serif" w:hAnsi="Times New Roman;Times;serif"/>
          <w:caps/>
          <w:sz w:val="24"/>
          <w:u w:val="single"/>
        </w:rPr>
        <w:t>Calculation of Earnout Percentage</w:t>
      </w:r>
      <w:r>
        <w:rPr>
          <w:rFonts w:ascii="Times New Roman;Times;serif" w:hAnsi="Times New Roman;Times;serif"/>
          <w:caps/>
          <w:sz w:val="24"/>
        </w:rPr>
        <w:t>.  </w:t>
      </w:r>
    </w:p>
    <w:p>
      <w:pPr>
        <w:pStyle w:val="TextBody"/>
        <w:bidi w:val="0"/>
        <w:spacing w:before="0" w:after="0"/>
        <w:ind w:left="0" w:right="360" w:firstLine="720"/>
        <w:jc w:val="both"/>
        <w:rPr>
          <w:caps/>
        </w:rPr>
      </w:pPr>
      <w:r>
        <w:rPr>
          <w:caps/>
        </w:rPr>
        <w:t>​</w:t>
      </w:r>
    </w:p>
    <w:p>
      <w:pPr>
        <w:pStyle w:val="TextBody"/>
        <w:bidi w:val="0"/>
        <w:spacing w:before="0" w:after="0"/>
        <w:ind w:left="720" w:right="72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(i)</w:t>
      </w:r>
      <w:r>
        <w:rPr>
          <w:rFonts w:ascii="Times New Roman;Times;serif" w:hAnsi="Times New Roman;Times;serif"/>
          <w:caps/>
          <w:sz w:val="24"/>
        </w:rPr>
        <w:t xml:space="preserve">If the Performance Period PBROI is equal to or greater than Target PBROI, the Earnout Percentage shall be determined in accordance with the following: </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both"/>
        <w:rPr>
          <w:rFonts w:ascii="Times New Roman;Times;serif" w:hAnsi="Times New Roman;Times;serif"/>
          <w:caps/>
          <w:sz w:val="24"/>
        </w:rPr>
      </w:pPr>
      <w:r>
        <w:rPr>
          <w:rFonts w:ascii="Times New Roman;Times;serif" w:hAnsi="Times New Roman;Times;serif"/>
          <w:caps/>
          <w:sz w:val="24"/>
        </w:rPr>
        <w:t>If the Company's PerformanceThe Earnout</w:t>
      </w:r>
    </w:p>
    <w:p>
      <w:pPr>
        <w:pStyle w:val="TextBody"/>
        <w:bidi w:val="0"/>
        <w:spacing w:before="0" w:after="0"/>
        <w:ind w:left="0" w:right="360" w:hanging="0"/>
        <w:jc w:val="both"/>
        <w:rPr>
          <w:rFonts w:ascii="Times New Roman;Times;serif" w:hAnsi="Times New Roman;Times;serif"/>
          <w:caps/>
          <w:sz w:val="24"/>
          <w:u w:val="single"/>
        </w:rPr>
      </w:pPr>
      <w:r>
        <w:rPr>
          <w:rFonts w:ascii="Times New Roman;Times;serif" w:hAnsi="Times New Roman;Times;serif"/>
          <w:caps/>
          <w:sz w:val="24"/>
          <w:u w:val="single"/>
        </w:rPr>
        <w:t>Period PBOP is:Percentage is:</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both"/>
        <w:rPr/>
      </w:pPr>
      <w:r>
        <w:rPr>
          <w:rFonts w:ascii="Times New Roman;Times;serif" w:hAnsi="Times New Roman;Times;serif"/>
          <w:caps/>
          <w:sz w:val="24"/>
        </w:rPr>
        <w:t>Equal to or greater than $</w:t>
      </w:r>
      <w:bookmarkStart w:id="308" w:name="_Hlk129151937"/>
      <w:bookmarkEnd w:id="308"/>
      <w:r>
        <w:rPr>
          <w:rFonts w:ascii="Times New Roman;Times;serif" w:hAnsi="Times New Roman;Times;serif"/>
          <w:caps/>
          <w:sz w:val="24"/>
        </w:rPr>
        <w:t>_______________</w:t>
      </w:r>
      <w:r>
        <w:rPr>
          <w:rFonts w:ascii="Times New Roman;Times;serif" w:hAnsi="Times New Roman;Times;serif"/>
          <w:caps/>
          <w:sz w:val="18"/>
        </w:rPr>
        <w:t>(</w:t>
      </w:r>
      <w:hyperlink w:anchor="footnote-2">
        <w:r>
          <w:rPr>
            <w:rStyle w:val="InternetLink"/>
            <w:rFonts w:ascii="Times New Roman;Times;serif" w:hAnsi="Times New Roman;Times;serif"/>
            <w:caps/>
            <w:sz w:val="18"/>
          </w:rPr>
          <w:t>1</w:t>
        </w:r>
      </w:hyperlink>
      <w:r>
        <w:rPr>
          <w:rFonts w:ascii="Times New Roman;Times;serif" w:hAnsi="Times New Roman;Times;serif"/>
          <w:caps/>
          <w:sz w:val="18"/>
        </w:rPr>
        <w:t>)</w:t>
      </w:r>
      <w:r>
        <w:rPr>
          <w:rFonts w:ascii="Times New Roman;Times;serif" w:hAnsi="Times New Roman;Times;serif"/>
          <w:caps/>
          <w:sz w:val="24"/>
        </w:rPr>
        <w:t>200%</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both"/>
        <w:rPr>
          <w:rFonts w:ascii="Times New Roman;Times;serif" w:hAnsi="Times New Roman;Times;serif"/>
          <w:caps/>
          <w:sz w:val="24"/>
        </w:rPr>
      </w:pPr>
      <w:r>
        <w:rPr>
          <w:rFonts w:ascii="Times New Roman;Times;serif" w:hAnsi="Times New Roman;Times;serif"/>
          <w:caps/>
          <w:sz w:val="24"/>
        </w:rPr>
        <w:t>Less than $_______________  but equal to or100%</w:t>
      </w:r>
    </w:p>
    <w:p>
      <w:pPr>
        <w:pStyle w:val="TextBody"/>
        <w:bidi w:val="0"/>
        <w:spacing w:before="0" w:after="0"/>
        <w:ind w:left="0" w:right="360" w:hanging="0"/>
        <w:jc w:val="both"/>
        <w:rPr/>
      </w:pPr>
      <w:r>
        <w:rPr>
          <w:rFonts w:ascii="Times New Roman;Times;serif" w:hAnsi="Times New Roman;Times;serif"/>
          <w:caps/>
          <w:sz w:val="24"/>
        </w:rPr>
        <w:t>greater than $_______________</w:t>
      </w:r>
      <w:r>
        <w:rPr>
          <w:rFonts w:ascii="Times New Roman;Times;serif" w:hAnsi="Times New Roman;Times;serif"/>
          <w:caps/>
          <w:sz w:val="18"/>
        </w:rPr>
        <w:t>(</w:t>
      </w:r>
      <w:hyperlink w:anchor="footnote-3">
        <w:r>
          <w:rPr>
            <w:rStyle w:val="InternetLink"/>
            <w:rFonts w:ascii="Times New Roman;Times;serif" w:hAnsi="Times New Roman;Times;serif"/>
            <w:caps/>
            <w:sz w:val="18"/>
          </w:rPr>
          <w:t>2</w:t>
        </w:r>
      </w:hyperlink>
      <w:r>
        <w:rPr>
          <w:rFonts w:ascii="Times New Roman;Times;serif" w:hAnsi="Times New Roman;Times;serif"/>
          <w:caps/>
          <w:sz w:val="18"/>
        </w:rPr>
        <w:t>)</w:t>
      </w:r>
      <w:r>
        <w:rPr>
          <w:rFonts w:ascii="Arial;Helvetica;sans-serif" w:hAnsi="Arial;Helvetica;sans-serif"/>
          <w:caps/>
          <w:sz w:val="24"/>
        </w:rPr>
        <w:t xml:space="preserve"> </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both"/>
        <w:rPr>
          <w:rFonts w:ascii="Arial;Helvetica;sans-serif" w:hAnsi="Arial;Helvetica;sans-serif"/>
          <w:caps/>
          <w:sz w:val="24"/>
        </w:rPr>
      </w:pPr>
      <w:r>
        <w:rPr>
          <w:rFonts w:ascii="Times New Roman;Times;serif" w:hAnsi="Times New Roman;Times;serif"/>
          <w:caps/>
          <w:sz w:val="24"/>
        </w:rPr>
        <w:t xml:space="preserve">Less than </w:t>
      </w:r>
      <w:bookmarkStart w:id="309" w:name="_Hlk129164032"/>
      <w:bookmarkEnd w:id="309"/>
      <w:r>
        <w:rPr>
          <w:rFonts w:ascii="Times New Roman;Times;serif" w:hAnsi="Times New Roman;Times;serif"/>
          <w:caps/>
          <w:sz w:val="24"/>
        </w:rPr>
        <w:t>$_______________ but equal to or                   Actual Period PBOP/</w:t>
      </w:r>
    </w:p>
    <w:p>
      <w:pPr>
        <w:pStyle w:val="TextBody"/>
        <w:bidi w:val="0"/>
        <w:spacing w:before="0" w:after="0"/>
        <w:ind w:left="0" w:right="360" w:hanging="0"/>
        <w:jc w:val="both"/>
        <w:rPr/>
      </w:pPr>
      <w:r>
        <w:rPr>
          <w:rFonts w:ascii="Times New Roman;Times;serif" w:hAnsi="Times New Roman;Times;serif"/>
          <w:caps/>
          <w:sz w:val="24"/>
        </w:rPr>
        <w:t>greater than $_______________</w:t>
      </w:r>
      <w:r>
        <w:rPr>
          <w:rFonts w:ascii="Times New Roman;Times;serif" w:hAnsi="Times New Roman;Times;serif"/>
          <w:caps/>
          <w:sz w:val="18"/>
        </w:rPr>
        <w:t>(</w:t>
      </w:r>
      <w:hyperlink w:anchor="footnote-4">
        <w:r>
          <w:rPr>
            <w:rStyle w:val="InternetLink"/>
            <w:rFonts w:ascii="Times New Roman;Times;serif" w:hAnsi="Times New Roman;Times;serif"/>
            <w:caps/>
            <w:sz w:val="18"/>
          </w:rPr>
          <w:t>3</w:t>
        </w:r>
      </w:hyperlink>
      <w:r>
        <w:rPr>
          <w:rFonts w:ascii="Times New Roman;Times;serif" w:hAnsi="Times New Roman;Times;serif"/>
          <w:caps/>
          <w:sz w:val="18"/>
        </w:rPr>
        <w:t>)</w:t>
      </w:r>
      <w:r>
        <w:rPr>
          <w:rFonts w:ascii="Arial;Helvetica;sans-serif" w:hAnsi="Arial;Helvetica;sans-serif"/>
          <w:caps/>
          <w:sz w:val="24"/>
        </w:rPr>
        <w:t xml:space="preserve">                           </w:t>
      </w:r>
      <w:r>
        <w:rPr>
          <w:rFonts w:ascii="Times New Roman;Times;serif" w:hAnsi="Times New Roman;Times;serif"/>
          <w:caps/>
          <w:sz w:val="24"/>
        </w:rPr>
        <w:t>$</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both"/>
        <w:rPr>
          <w:rFonts w:ascii="Arial;Helvetica;sans-serif" w:hAnsi="Arial;Helvetica;sans-serif"/>
          <w:caps/>
          <w:sz w:val="24"/>
        </w:rPr>
      </w:pPr>
      <w:r>
        <w:rPr>
          <w:rFonts w:ascii="Times New Roman;Times;serif" w:hAnsi="Times New Roman;Times;serif"/>
          <w:caps/>
          <w:sz w:val="24"/>
        </w:rPr>
        <w:t>Less than $_______________</w:t>
      </w:r>
      <w:r>
        <w:rPr>
          <w:rFonts w:ascii="Times New Roman;Times;serif" w:hAnsi="Times New Roman;Times;serif"/>
          <w:caps/>
          <w:sz w:val="18"/>
        </w:rPr>
        <w:t>(3)</w:t>
      </w:r>
      <w:r>
        <w:rPr>
          <w:rFonts w:ascii="Arial;Helvetica;sans-serif" w:hAnsi="Arial;Helvetica;sans-serif"/>
          <w:caps/>
          <w:sz w:val="24"/>
        </w:rPr>
        <w:t xml:space="preserve">    </w:t>
      </w:r>
      <w:r>
        <w:rPr>
          <w:rFonts w:ascii="Times New Roman;Times;serif" w:hAnsi="Times New Roman;Times;serif"/>
          <w:caps/>
          <w:sz w:val="24"/>
        </w:rPr>
        <w:t>0%</w:t>
      </w:r>
    </w:p>
    <w:p>
      <w:pPr>
        <w:pStyle w:val="TextBody"/>
        <w:bidi w:val="0"/>
        <w:spacing w:before="0" w:after="0"/>
        <w:ind w:left="0" w:right="360" w:firstLine="720"/>
        <w:jc w:val="both"/>
        <w:rPr>
          <w:caps/>
        </w:rPr>
      </w:pPr>
      <w:r>
        <w:rPr>
          <w:caps/>
        </w:rPr>
        <w:t>​</w:t>
      </w:r>
    </w:p>
    <w:p>
      <w:pPr>
        <w:pStyle w:val="TextBody"/>
        <w:bidi w:val="0"/>
        <w:spacing w:before="0" w:after="0"/>
        <w:ind w:left="720" w:right="72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(ii)</w:t>
      </w:r>
      <w:r>
        <w:rPr>
          <w:rFonts w:ascii="Times New Roman;Times;serif" w:hAnsi="Times New Roman;Times;serif"/>
          <w:caps/>
          <w:sz w:val="24"/>
        </w:rPr>
        <w:t>If the Performance Period PBROI is less than Target PBROI, the Earnout Percentage shall be 0%.</w:t>
      </w:r>
    </w:p>
    <w:p>
      <w:pPr>
        <w:pStyle w:val="TextBody"/>
        <w:bidi w:val="0"/>
        <w:spacing w:before="0" w:after="0"/>
        <w:ind w:left="0" w:right="360" w:firstLine="720"/>
        <w:jc w:val="both"/>
        <w:rPr>
          <w:caps/>
        </w:rPr>
      </w:pPr>
      <w:r>
        <w:rPr>
          <w:caps/>
        </w:rPr>
        <w:t>​</w:t>
      </w:r>
    </w:p>
    <w:p>
      <w:pPr>
        <w:pStyle w:val="TextBody"/>
        <w:bidi w:val="0"/>
        <w:spacing w:before="0" w:after="0"/>
        <w:ind w:left="0" w:right="360" w:firstLine="720"/>
        <w:jc w:val="both"/>
        <w:rPr>
          <w:rFonts w:ascii="Times New Roman;Times;serif" w:hAnsi="Times New Roman;Times;serif"/>
          <w:caps/>
          <w:sz w:val="24"/>
        </w:rPr>
      </w:pPr>
      <w:r>
        <w:rPr>
          <w:rFonts w:ascii="Times New Roman;Times;serif" w:hAnsi="Times New Roman;Times;serif"/>
          <w:caps/>
          <w:sz w:val="24"/>
        </w:rPr>
        <w:t xml:space="preserve">The Earnout Percentage between the above performance levels shall be determined based on straight line interpolation. </w:t>
      </w:r>
    </w:p>
    <w:p>
      <w:pPr>
        <w:pStyle w:val="TextBody"/>
        <w:bidi w:val="0"/>
        <w:spacing w:before="0" w:after="0"/>
        <w:ind w:left="0" w:right="36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(c)</w:t>
      </w:r>
      <w:r>
        <w:rPr>
          <w:rFonts w:ascii="Times New Roman;Times;serif" w:hAnsi="Times New Roman;Times;serif"/>
          <w:caps/>
          <w:sz w:val="24"/>
          <w:u w:val="single"/>
        </w:rPr>
        <w:t>Calculation of Actual Performance Shares after a Change in Control</w:t>
      </w:r>
      <w:r>
        <w:rPr>
          <w:rFonts w:ascii="Times New Roman;Times;serif" w:hAnsi="Times New Roman;Times;serif"/>
          <w:caps/>
          <w:sz w:val="24"/>
        </w:rPr>
        <w:t>.  If a Change in Control occurs during the Performance Period, the Earnout Percentage shall be 200%</w:t>
      </w:r>
      <w:r>
        <w:rPr>
          <w:rFonts w:ascii="Arial;Helvetica;sans-serif" w:hAnsi="Arial;Helvetica;sans-serif"/>
          <w:caps/>
          <w:sz w:val="24"/>
        </w:rPr>
        <w:t>.</w:t>
      </w:r>
    </w:p>
    <w:p>
      <w:pPr>
        <w:pStyle w:val="TextBody"/>
        <w:bidi w:val="0"/>
        <w:spacing w:before="0" w:after="0"/>
        <w:ind w:left="0" w:right="720" w:firstLine="720"/>
        <w:jc w:val="both"/>
        <w:rPr>
          <w:caps/>
        </w:rPr>
      </w:pPr>
      <w:r>
        <w:rPr>
          <w:caps/>
        </w:rPr>
        <w:t>​</w:t>
      </w:r>
    </w:p>
    <w:p>
      <w:pPr>
        <w:pStyle w:val="TextBody"/>
        <w:bidi w:val="0"/>
        <w:spacing w:before="0" w:after="0"/>
        <w:ind w:left="0" w:right="360" w:hanging="0"/>
        <w:jc w:val="left"/>
        <w:rPr>
          <w:rFonts w:ascii="Arial;Helvetica;sans-serif" w:hAnsi="Arial;Helvetica;sans-serif"/>
          <w:caps/>
          <w:sz w:val="24"/>
        </w:rPr>
      </w:pPr>
      <w:r>
        <w:rPr>
          <w:rFonts w:ascii="Times New Roman;Times;serif" w:hAnsi="Times New Roman;Times;serif"/>
          <w:b w:val="false"/>
          <w:i w:val="false"/>
          <w:caps w:val="false"/>
          <w:smallCaps w:val="false"/>
          <w:sz w:val="24"/>
        </w:rPr>
        <w:t>(d)</w:t>
      </w:r>
      <w:r>
        <w:rPr>
          <w:rFonts w:ascii="Times New Roman;Times;serif" w:hAnsi="Times New Roman;Times;serif"/>
          <w:caps/>
          <w:sz w:val="24"/>
          <w:u w:val="single"/>
        </w:rPr>
        <w:t>Certification</w:t>
      </w:r>
      <w:r>
        <w:rPr>
          <w:rFonts w:ascii="Times New Roman;Times;serif" w:hAnsi="Times New Roman;Times;serif"/>
          <w:caps/>
          <w:sz w:val="24"/>
        </w:rPr>
        <w:t xml:space="preserve">.  Not later than sixty (60) days after the end of the Performance Period, the Committee shall determine the Actual Performance Shares and shall certify such finding to the Company and the Participant. </w:t>
      </w:r>
    </w:p>
    <w:p>
      <w:pPr>
        <w:pStyle w:val="TextBody"/>
        <w:bidi w:val="0"/>
        <w:spacing w:before="0" w:after="0"/>
        <w:ind w:left="0" w:right="720" w:firstLine="720"/>
        <w:jc w:val="both"/>
        <w:rPr>
          <w:caps/>
        </w:rPr>
      </w:pPr>
      <w:r>
        <w:rPr>
          <w: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Adjustments to Actual Performance Shares Following Termination of Employment</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Termination Due to Death or Disability</w:t>
      </w:r>
      <w:r>
        <w:rPr>
          <w:rFonts w:ascii="Times New Roman;Times;serif" w:hAnsi="Times New Roman;Times;serif"/>
          <w:sz w:val="24"/>
        </w:rPr>
        <w:t>.  In the event that the Participant's employment with the Company or a Subsidiary terminates prior to the end of the Performance Period due to:</w:t>
      </w:r>
    </w:p>
    <w:p>
      <w:pPr>
        <w:pStyle w:val="TextBody"/>
        <w:bidi w:val="0"/>
        <w:spacing w:before="0" w:after="0"/>
        <w:ind w:left="0" w:right="0" w:hanging="0"/>
        <w:jc w:val="left"/>
        <w:rPr>
          <w:rFonts w:ascii="Times New Roman;Times;serif" w:hAnsi="Times New Roman;Times;serif"/>
          <w:sz w:val="20"/>
        </w:rPr>
      </w:pPr>
      <w:bookmarkStart w:id="310" w:name="footnote-21"/>
      <w:bookmarkEnd w:id="310"/>
      <w:r>
        <w:rPr>
          <w:rFonts w:ascii="Times New Roman;Times;serif" w:hAnsi="Times New Roman;Times;serif"/>
          <w:sz w:val="15"/>
        </w:rPr>
        <w:t>(1)</w:t>
      </w:r>
      <w:r>
        <w:rPr>
          <w:rFonts w:ascii="Times New Roman;Times;serif" w:hAnsi="Times New Roman;Times;serif"/>
          <w:sz w:val="20"/>
        </w:rPr>
        <w:t xml:space="preserve"> 1.5x Budget</w:t>
      </w:r>
    </w:p>
    <w:p>
      <w:pPr>
        <w:pStyle w:val="TextBody"/>
        <w:bidi w:val="0"/>
        <w:spacing w:before="0" w:after="0"/>
        <w:ind w:left="0" w:right="0" w:hanging="0"/>
        <w:jc w:val="left"/>
        <w:rPr>
          <w:rFonts w:ascii="Times New Roman;Times;serif" w:hAnsi="Times New Roman;Times;serif"/>
          <w:sz w:val="20"/>
        </w:rPr>
      </w:pPr>
      <w:bookmarkStart w:id="311" w:name="footnote-31"/>
      <w:bookmarkEnd w:id="311"/>
      <w:r>
        <w:rPr>
          <w:rFonts w:ascii="Times New Roman;Times;serif" w:hAnsi="Times New Roman;Times;serif"/>
          <w:sz w:val="15"/>
        </w:rPr>
        <w:t>(2)</w:t>
      </w:r>
      <w:r>
        <w:rPr>
          <w:rFonts w:ascii="Times New Roman;Times;serif" w:hAnsi="Times New Roman;Times;serif"/>
          <w:sz w:val="20"/>
        </w:rPr>
        <w:t xml:space="preserve"> Three-Year Budget PBOP ("Budget")</w:t>
      </w:r>
    </w:p>
    <w:p>
      <w:pPr>
        <w:pStyle w:val="TextBody"/>
        <w:bidi w:val="0"/>
        <w:spacing w:before="0" w:after="0"/>
        <w:ind w:left="0" w:right="0" w:hanging="0"/>
        <w:jc w:val="left"/>
        <w:rPr>
          <w:rFonts w:ascii="Times New Roman;Times;serif" w:hAnsi="Times New Roman;Times;serif"/>
          <w:sz w:val="20"/>
        </w:rPr>
      </w:pPr>
      <w:bookmarkStart w:id="312" w:name="footnote-41"/>
      <w:bookmarkEnd w:id="312"/>
      <w:r>
        <w:rPr>
          <w:rFonts w:ascii="Times New Roman;Times;serif" w:hAnsi="Times New Roman;Times;serif"/>
          <w:sz w:val="15"/>
        </w:rPr>
        <w:t>(3)</w:t>
      </w:r>
      <w:r>
        <w:rPr>
          <w:rFonts w:ascii="Times New Roman;Times;serif" w:hAnsi="Times New Roman;Times;serif"/>
          <w:sz w:val="20"/>
        </w:rPr>
        <w:t xml:space="preserve"> .5x Budget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w:t>
      </w:r>
    </w:p>
    <w:p>
      <w:pPr>
        <w:pStyle w:val="TextBody"/>
        <w:bidi w:val="0"/>
        <w:spacing w:before="0" w:after="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Death; or</w:t>
      </w:r>
    </w:p>
    <w:p>
      <w:pPr>
        <w:pStyle w:val="TextBody"/>
        <w:bidi w:val="0"/>
        <w:spacing w:before="0" w:after="0"/>
        <w:ind w:left="720" w:right="720" w:firstLine="720"/>
        <w:jc w:val="both"/>
        <w:rPr/>
      </w:pPr>
      <w:r>
        <w:rPr/>
        <w:t>​</w:t>
      </w:r>
    </w:p>
    <w:p>
      <w:pPr>
        <w:pStyle w:val="TextBody"/>
        <w:bidi w:val="0"/>
        <w:spacing w:before="0" w:after="0"/>
        <w:ind w:left="72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Disability,</w:t>
      </w:r>
    </w:p>
    <w:p>
      <w:pPr>
        <w:pStyle w:val="TextBody"/>
        <w:bidi w:val="0"/>
        <w:spacing w:before="0" w:after="0"/>
        <w:ind w:left="720" w:right="360" w:firstLine="720"/>
        <w:jc w:val="both"/>
        <w:rPr/>
      </w:pPr>
      <w:r>
        <w:rPr/>
        <w:t>​</w:t>
      </w:r>
    </w:p>
    <w:p>
      <w:pPr>
        <w:pStyle w:val="TextBody"/>
        <w:bidi w:val="0"/>
        <w:spacing w:before="0" w:after="0"/>
        <w:ind w:left="720" w:right="360" w:hanging="0"/>
        <w:jc w:val="both"/>
        <w:rPr>
          <w:rFonts w:ascii="Times New Roman;Times;serif" w:hAnsi="Times New Roman;Times;serif"/>
          <w:sz w:val="24"/>
        </w:rPr>
      </w:pPr>
      <w:r>
        <w:rPr>
          <w:rFonts w:ascii="Times New Roman;Times;serif" w:hAnsi="Times New Roman;Times;serif"/>
          <w:sz w:val="24"/>
        </w:rPr>
        <w:t>the Participant's Actual Performance Shares will equal the Actual Performance Shares determined under Section 2 multiplied by a fraction, the numerator of which is the number of full calendar months, beginning on the first day of the Performance Period and ending on the date of the Participant's termination of employment, and the denominator of which is 36.</w:t>
      </w:r>
    </w:p>
    <w:p>
      <w:pPr>
        <w:pStyle w:val="TextBody"/>
        <w:bidi w:val="0"/>
        <w:spacing w:before="0" w:after="0"/>
        <w:ind w:left="0" w:right="36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Termination Due to Retirement</w:t>
      </w:r>
      <w:r>
        <w:rPr>
          <w:rFonts w:ascii="Times New Roman;Times;serif" w:hAnsi="Times New Roman;Times;serif"/>
          <w:sz w:val="24"/>
        </w:rPr>
        <w:t>.  In the event the Participant terminates employment with the Company or a Subsidiary during the Performance Period due to Retirement, no adjustment to the Actual Performance Shares shall be made.</w:t>
      </w:r>
    </w:p>
    <w:p>
      <w:pPr>
        <w:pStyle w:val="TextBody"/>
        <w:bidi w:val="0"/>
        <w:spacing w:before="0" w:after="0"/>
        <w:ind w:left="0" w:right="36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Termination of Employment for Other Reasons</w:t>
      </w:r>
      <w:r>
        <w:rPr>
          <w:rFonts w:ascii="Times New Roman;Times;serif" w:hAnsi="Times New Roman;Times;serif"/>
          <w:sz w:val="24"/>
        </w:rPr>
        <w:t>.  In the event that the Participant's employment with the Company or a Subsidiary terminates prior to the end of the Performance Period for any reason other than Death, Disability or Retirement, then Participant's rights to all of the Target Performance Shares granted in this Award will be immediately and irrevocably forfeited upon such termination of employment.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Rights of the Participant with Respect to Performance Shares</w:t>
      </w:r>
      <w:r>
        <w:rPr>
          <w:rFonts w:ascii="Times New Roman;Times;serif" w:hAnsi="Times New Roman;Times;serif"/>
          <w:sz w:val="24"/>
        </w:rPr>
        <w:t>.</w:t>
      </w:r>
    </w:p>
    <w:p>
      <w:pPr>
        <w:pStyle w:val="TextBody"/>
        <w:bidi w:val="0"/>
        <w:spacing w:before="0" w:after="0"/>
        <w:ind w:left="0" w:right="72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No Shareholder Rights</w:t>
      </w:r>
      <w:r>
        <w:rPr>
          <w:rFonts w:ascii="Times New Roman;Times;serif" w:hAnsi="Times New Roman;Times;serif"/>
          <w:sz w:val="24"/>
        </w:rPr>
        <w:t>.  The Performance Shares granted pursuant to this Award do not and will not entitle Participant to any rights of a shareholder of Common Stock, including the right to receive dividends, except as provided in Section 4(b) below.  The rights of the Participant with respect to the Performance Shares will remain forfeitable at all times prior to the end of the Performance Period and as otherwise provided in the Plan.  Prior to conversion of Performance Shares into Common Stock, such Performance Shares will represent only an unsecured obligation of the Company.</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Conversion of Performance Shares; Issuance of Common Stock</w:t>
      </w:r>
      <w:r>
        <w:rPr>
          <w:rFonts w:ascii="Times New Roman;Times;serif" w:hAnsi="Times New Roman;Times;serif"/>
          <w:sz w:val="24"/>
        </w:rPr>
        <w:t xml:space="preserve">.  No shares of Common Stock will be issued to Participant prior to the date on which the Performance Shares vest and become Actual Performance Shares under the provisions of Section 2 of this Agreement.  At the time of issuance of any actual Performance Shares, Participant shall be credited with and paid the aggregate amount of dividends declared and paid per share of Company common stock from the Award Date through the date of issuance of the Actual Performance Shares, multiplied by the number of Actual Performance Shares issued.  Neither this subsection (b) nor any action taken pursuant to or in accordance with this subsection (b) will be construed to create a trust of any kind.  After any Performance Shares vest and become Actual Performance Shares and any tax withholding obligations related to such Actual Performance Shares have been satisfied pursuant to Section 7, the Company will, within 60 days thereafter, cause to be issued to the Participant or the Participant's legal representatives, beneficiaries or heirs, as the case may be, a stock certificate or book entry representing the number of shares of Common Stock in payment of such vested whole Actual Performance Shares.  The value of any fractional Performance Share will be paid in cash at the time certificates are delivered to Participant in payment of the Actual Performance Shares based on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360" w:hanging="0"/>
        <w:jc w:val="both"/>
        <w:rPr>
          <w:rFonts w:ascii="Times New Roman;Times;serif" w:hAnsi="Times New Roman;Times;serif"/>
          <w:sz w:val="24"/>
        </w:rPr>
      </w:pPr>
      <w:r>
        <w:rPr>
          <w:rFonts w:ascii="Times New Roman;Times;serif" w:hAnsi="Times New Roman;Times;serif"/>
          <w:sz w:val="24"/>
        </w:rPr>
        <w:t>the Fair Market Value of a share of Common Stock on the day preceding the date of distribution.</w:t>
      </w:r>
    </w:p>
    <w:p>
      <w:pPr>
        <w:pStyle w:val="TextBody"/>
        <w:bidi w:val="0"/>
        <w:spacing w:before="0" w:after="0"/>
        <w:ind w:left="0" w:right="36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Restriction on Transfer</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Performance Shares and any rights under this Award may not be sold, assigned, transferred, pledged, hypothecated or otherwise disposed of by Participant otherwise than by will or by the laws of descent and distribution, and any such purported sale, assignment, transfer, pledge, hypothecation or other disposition will be void and unenforceable against the Company.  Notwithstanding the foregoing, Participant may, in the manner established by the Committee, designate a beneficiary or beneficiaries to exercise the rights of Participant and receive any property distributable with respect to the Performance Shares upon the death of Participant.</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No transfer by will or the applicable laws of descent and distribution of any Performance Shares that vest by reason of Participant's death will be effective to bind the Company unless the Committee will have been furnished with written notice of such transfer and a copy of the will or such other evidence as the Committee may deem necessary to establish the validity of the transfer.</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Adjustments to Performance Shares for Certain Corporate Transactions</w:t>
      </w:r>
      <w:r>
        <w:rPr>
          <w:rFonts w:ascii="Times New Roman;Times;serif" w:hAnsi="Times New Roman;Times;serif"/>
          <w:sz w:val="24"/>
        </w:rPr>
        <w:t>.  Adjustments to Performance Shares will be determined in accordance with this Section 6.</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Committee will make an appropriate and proportionate adjustment to the number of Target Performance Shares granted under this Award if:</w:t>
      </w:r>
    </w:p>
    <w:p>
      <w:pPr>
        <w:pStyle w:val="TextBody"/>
        <w:bidi w:val="0"/>
        <w:spacing w:before="0" w:after="0"/>
        <w:ind w:left="0" w:right="360" w:firstLine="720"/>
        <w:jc w:val="both"/>
        <w:rPr/>
      </w:pPr>
      <w:r>
        <w:rPr/>
        <w:t>​</w:t>
      </w:r>
    </w:p>
    <w:p>
      <w:pPr>
        <w:pStyle w:val="TextBody"/>
        <w:bidi w:val="0"/>
        <w:spacing w:before="0" w:after="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outstanding shares of Common Stock are increased or decreased, as a result of merger, consolidation, sale of all or substantially all of the assets of the Company, reclassification, stock dividend, stock split, reverse stock split with respect to such shares of Common Stock or other securities, or</w:t>
      </w:r>
    </w:p>
    <w:p>
      <w:pPr>
        <w:pStyle w:val="TextBody"/>
        <w:bidi w:val="0"/>
        <w:spacing w:before="0" w:after="0"/>
        <w:ind w:left="720" w:right="720" w:firstLine="720"/>
        <w:jc w:val="both"/>
        <w:rPr/>
      </w:pPr>
      <w:r>
        <w:rPr/>
        <w:t>​</w:t>
      </w:r>
    </w:p>
    <w:p>
      <w:pPr>
        <w:pStyle w:val="TextBody"/>
        <w:bidi w:val="0"/>
        <w:spacing w:before="0" w:after="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Additional shares or new or different shares or other securities are distributed with respect to such shares of Common Stock or other securities or exchanged for a different number or kind of shares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w:t>
      </w:r>
    </w:p>
    <w:p>
      <w:pPr>
        <w:pStyle w:val="TextBody"/>
        <w:bidi w:val="0"/>
        <w:spacing w:before="0" w:after="0"/>
        <w:ind w:left="0" w:right="72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Committee may make an appropriate and proportionate adjustment in the number of Target Performance Shares granted under this Award if the outstanding shares of Common Stock are increased or decreased as a result of a recapitalization or reorganization not included within subsection (a) above.</w:t>
      </w:r>
    </w:p>
    <w:p>
      <w:pPr>
        <w:pStyle w:val="TextBody"/>
        <w:bidi w:val="0"/>
        <w:spacing w:before="0" w:after="0"/>
        <w:ind w:left="0" w:right="360" w:firstLine="72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Tax Withholding</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order to comply with all applicable federal, state, and local tax withholding laws or regulations, the Company may take such action as it deems appropriate to ensure that all applicable federal, state, and local payroll, withholding, income or other taxes, which are the sole and absolute responsibility of Participant, are withheld or collected from Participant.</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In accordance with the terms of the Plan, and such rules as may be adopted by the Committee under the Plan, Participant may elect to satisfy Participant's federal, state, and local tax obligations arising from the receipt of, or the lapse of restrictions relating to, the Performance Shares, by any of the following means or by a combination of such means set forth below.  If the Participant fails to notify the Company of his or her election, the Company will withhold shares of Common Stock as described in paragraph (ii), below.  </w:t>
      </w:r>
    </w:p>
    <w:p>
      <w:pPr>
        <w:pStyle w:val="TextBody"/>
        <w:bidi w:val="0"/>
        <w:spacing w:before="0" w:after="0"/>
        <w:ind w:left="0" w:right="360" w:firstLine="720"/>
        <w:jc w:val="both"/>
        <w:rPr/>
      </w:pPr>
      <w:r>
        <w:rPr/>
        <w:t>​</w:t>
      </w:r>
    </w:p>
    <w:p>
      <w:pPr>
        <w:pStyle w:val="TextBody"/>
        <w:bidi w:val="0"/>
        <w:spacing w:before="0" w:after="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Tendering a payment to the Company in the form of cash, check (bank check, certified check or personal check) or money order payable to the Company;</w:t>
      </w:r>
    </w:p>
    <w:p>
      <w:pPr>
        <w:pStyle w:val="TextBody"/>
        <w:bidi w:val="0"/>
        <w:spacing w:before="0" w:after="0"/>
        <w:ind w:left="720" w:right="720" w:firstLine="720"/>
        <w:jc w:val="both"/>
        <w:rPr/>
      </w:pPr>
      <w:r>
        <w:rPr/>
        <w:t>​</w:t>
      </w:r>
    </w:p>
    <w:p>
      <w:pPr>
        <w:pStyle w:val="TextBody"/>
        <w:bidi w:val="0"/>
        <w:spacing w:before="0" w:after="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Authorizing the Company to withhold from the shares of Common Stock otherwise to be delivered to the Participant a number of such shares having a Fair Market Value as of the date that the amount of the tax to be withheld is to be determined (the "Tax Date) less than or equal to the minimum amount of the Company's withholding tax obligation; or</w:t>
      </w:r>
    </w:p>
    <w:p>
      <w:pPr>
        <w:pStyle w:val="TextBody"/>
        <w:bidi w:val="0"/>
        <w:spacing w:before="0" w:after="0"/>
        <w:ind w:left="720" w:right="720" w:firstLine="720"/>
        <w:jc w:val="both"/>
        <w:rPr/>
      </w:pPr>
      <w:r>
        <w:rPr/>
        <w:t>​</w:t>
      </w:r>
    </w:p>
    <w:p>
      <w:pPr>
        <w:pStyle w:val="TextBody"/>
        <w:bidi w:val="0"/>
        <w:spacing w:before="0" w:after="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(iii)</w:t>
      </w:r>
      <w:r>
        <w:rPr>
          <w:rFonts w:ascii="Times New Roman;Times;serif" w:hAnsi="Times New Roman;Times;serif"/>
          <w:sz w:val="24"/>
        </w:rPr>
        <w:t>Delivering to the Company unencumbered shares of Common Stock already owned by Participant having a Fair Market Value, as of the Tax Date, less than or equal to the minimum amount of the Company's withholding tax obligation.  Any shares of Common Stock already owned by Participant referred to in this paragraph (iii) must have been owned by Participant for no less than six (6) months prior to the date delivered to the Company if such shares of Common Stock were acquired upon the exercise of an Option or upon the vesting of Restricted Stock or other Restricted Stock Units.</w:t>
      </w:r>
    </w:p>
    <w:p>
      <w:pPr>
        <w:pStyle w:val="TextBody"/>
        <w:bidi w:val="0"/>
        <w:spacing w:before="0" w:after="0"/>
        <w:ind w:left="0" w:right="720" w:firstLine="720"/>
        <w:jc w:val="both"/>
        <w:rPr/>
      </w:pPr>
      <w:r>
        <w:rPr/>
        <w:t>​</w:t>
      </w:r>
    </w:p>
    <w:p>
      <w:pPr>
        <w:pStyle w:val="TextBody"/>
        <w:bidi w:val="0"/>
        <w:spacing w:before="0" w:after="0"/>
        <w:ind w:left="0" w:right="360" w:firstLine="720"/>
        <w:jc w:val="both"/>
        <w:rPr>
          <w:rFonts w:ascii="Times New Roman;Times;serif" w:hAnsi="Times New Roman;Times;serif"/>
          <w:sz w:val="24"/>
        </w:rPr>
      </w:pPr>
      <w:r>
        <w:rPr>
          <w:rFonts w:ascii="Times New Roman;Times;serif" w:hAnsi="Times New Roman;Times;serif"/>
          <w:sz w:val="24"/>
        </w:rPr>
        <w:t>The Company will not deliver any fractional share of Common Stock but will pay, in lieu thereof, will round the number of shares up or down to the nearest number of full shares.  Participant's election must be made on or before the Tax Date.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Neither this Award Agreement nor the Plan confers on Participant any right with respect to the continuance of employment by the Company or any Subsidiary, nor will there be a limitation in any way on the right of the Company or any Subsidiary by which Participant is employed to terminate his or her employment at any time.</w:t>
      </w:r>
    </w:p>
    <w:p>
      <w:pPr>
        <w:pStyle w:val="TextBody"/>
        <w:bidi w:val="0"/>
        <w:spacing w:before="0" w:after="0"/>
        <w:ind w:left="0" w:right="36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In the event of a restatement of the Company's consolidated financial statements for any interim or annual period ("Restatement"), the Committee may determine that the Award exceeds the amount that would have been awarded or received had the Restatement been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360" w:hanging="0"/>
        <w:jc w:val="both"/>
        <w:rPr>
          <w:rFonts w:ascii="Times New Roman;Times;serif" w:hAnsi="Times New Roman;Times;serif"/>
          <w:sz w:val="24"/>
        </w:rPr>
      </w:pPr>
      <w:r>
        <w:rPr>
          <w:rFonts w:ascii="Times New Roman;Times;serif" w:hAnsi="Times New Roman;Times;serif"/>
          <w:sz w:val="24"/>
        </w:rPr>
        <w:t xml:space="preserve">known at the time of the original Award or at the time of vesting of any Actual Performance Shares. In the event that the Committee makes such a determination, the Company shall have the right: (i) in the instance of a Participant whose misconduct or violation of a Company policy causes such Restatement ("Cause"), to terminate, require forfeiture of, or adjust any Awards made to Participant and to require the repayment of any gain on any Award or on any Actual Performance Shares, realized within twelve (12) months of the Restatement and; (ii) in the instance where a Participant is an officer subject to Section 16 of the Securities and Exchange Act of 1934, and without regard to whether such Participant caused the Restatement, to adjust any vested or unvested Award made during the period covered by the Restatement to reflect the impact of the Restatement. Both cause and the amount of adjustment and/or repayment shall be determined by the Committee in its sole discretion and its decision shall be final and binding upon the Participant(s). </w:t>
      </w:r>
    </w:p>
    <w:p>
      <w:pPr>
        <w:pStyle w:val="TextBody"/>
        <w:bidi w:val="0"/>
        <w:spacing w:before="0" w:after="0"/>
        <w:ind w:left="0" w:right="36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Company will not be required to deliver any shares of Common Stock upon vesting of any Actual Performance Shares until the requirements of any federal or state securities laws, rules or regulations or other laws or rules (including the rules of any securities exchange) as may be determined by the Company to be applicable are satisfied.</w:t>
      </w:r>
    </w:p>
    <w:p>
      <w:pPr>
        <w:pStyle w:val="TextBody"/>
        <w:bidi w:val="0"/>
        <w:spacing w:before="0" w:after="0"/>
        <w:ind w:left="0" w:right="360" w:firstLine="720"/>
        <w:jc w:val="both"/>
        <w:rPr/>
      </w:pPr>
      <w:r>
        <w:rPr/>
        <w:t>​</w:t>
      </w:r>
    </w:p>
    <w:p>
      <w:pPr>
        <w:pStyle w:val="TextBody"/>
        <w:bidi w:val="0"/>
        <w:spacing w:before="0" w:after="0"/>
        <w:ind w:left="0" w:right="36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An original record of this Award and of the Participant's acceptance and acknowledgement will be held on file by the Company. This Agreement and the Participant's acknowledgement may be made by either paper or electronic format as specified by the Company. To the extent there is any conflict between the terms contained in this Agreement and the terms contained in the original held by the Company, the terms of the original held by the Company will control.</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4"/>
        </w:rPr>
      </w:pPr>
      <w:r>
        <w:rPr>
          <w:rFonts w:ascii="Times New Roman;Times;serif" w:hAnsi="Times New Roman;Times;serif"/>
          <w:b/>
          <w:sz w:val="24"/>
        </w:rPr>
        <w:t>UFP INDUSTRIES, INC.</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 ​​ ​​ ​​ ​​ ​​ ​​ ​</w:t>
      </w:r>
    </w:p>
    <w:p>
      <w:pPr>
        <w:pStyle w:val="TextBody"/>
        <w:bidi w:val="0"/>
        <w:spacing w:before="0" w:after="0"/>
        <w:ind w:left="0" w:right="0" w:firstLine="720"/>
        <w:jc w:val="both"/>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 xml:space="preserve">Its </w:t>
      </w:r>
      <w:r>
        <w:rPr>
          <w:rFonts w:ascii="Times New Roman;Times;serif" w:hAnsi="Times New Roman;Times;serif"/>
          <w:sz w:val="24"/>
          <w:u w:val="single"/>
        </w:rPr>
        <w:t>​ ​​ ​​ ​​ ​​ ​​ ​</w:t>
      </w:r>
    </w:p>
    <w:p>
      <w:pPr>
        <w:pStyle w:val="TextBody"/>
        <w:bidi w:val="0"/>
        <w:spacing w:before="0" w:after="0"/>
        <w:ind w:left="0" w:right="0" w:firstLine="720"/>
        <w:jc w:val="both"/>
        <w:rPr/>
      </w:pPr>
      <w:r>
        <w:rPr/>
        <w:t>​</w:t>
      </w:r>
    </w:p>
    <w:p>
      <w:pPr>
        <w:pStyle w:val="TextBody"/>
        <w:bidi w:val="0"/>
        <w:spacing w:before="0" w:after="0"/>
        <w:ind w:left="0" w:right="0" w:firstLine="72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ACCEPTANCE AND ACKNOWLEDGEMENT</w:t>
      </w:r>
    </w:p>
    <w:p>
      <w:pPr>
        <w:pStyle w:val="TextBody"/>
        <w:bidi w:val="0"/>
        <w:spacing w:before="0" w:after="0"/>
        <w:ind w:left="0" w:right="0" w:firstLine="720"/>
        <w:jc w:val="center"/>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I accept the Award described herein, acknowledge receipt of a copy of this Agreement and acknowledge that I have read it carefully and that I fully understand its contents.</w:t>
      </w:r>
    </w:p>
    <w:p>
      <w:pPr>
        <w:pStyle w:val="TextBody"/>
        <w:bidi w:val="0"/>
        <w:spacing w:before="0" w:after="0"/>
        <w:ind w:left="0" w:right="0" w:firstLine="720"/>
        <w:jc w:val="both"/>
        <w:rPr/>
      </w:pPr>
      <w:r>
        <w:rPr/>
        <w:t>​</w:t>
      </w:r>
    </w:p>
    <w:p>
      <w:pPr>
        <w:pStyle w:val="TextBody"/>
        <w:bidi w:val="0"/>
        <w:spacing w:before="0" w:after="0"/>
        <w:ind w:left="4320" w:right="0" w:hanging="0"/>
        <w:jc w:val="both"/>
        <w:rPr>
          <w:rFonts w:ascii="Times New Roman;Times;serif" w:hAnsi="Times New Roman;Times;serif"/>
          <w:b/>
          <w:sz w:val="24"/>
        </w:rPr>
      </w:pPr>
      <w:r>
        <w:rPr>
          <w:rFonts w:ascii="Times New Roman;Times;serif" w:hAnsi="Times New Roman;Times;serif"/>
          <w:b/>
          <w:sz w:val="24"/>
        </w:rPr>
        <w:t>PARTICIPANT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Dated </w:t>
      </w:r>
      <w:r>
        <w:rPr>
          <w:rFonts w:ascii="Times New Roman;Times;serif" w:hAnsi="Times New Roman;Times;serif"/>
          <w:sz w:val="24"/>
          <w:u w:val="single"/>
        </w:rPr>
        <w:t>​ ​​ ​​ ​​ ​​ ​​ ​​ ​​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22444951</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bookmarkStart w:id="313" w:name="ufpi-20231230xex13.htm"/>
        <w:bookmarkStart w:id="314" w:name="ksufpi20231230xex13"/>
        <w:bookmarkEnd w:id="313"/>
        <w:bookmarkEnd w:id="314"/>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13</w:t>
      </w:r>
    </w:p>
    <w:p>
      <w:pPr>
        <w:pStyle w:val="TextBody"/>
        <w:bidi w:val="0"/>
        <w:spacing w:before="0" w:after="0"/>
        <w:ind w:left="0" w:right="0" w:hanging="0"/>
        <w:jc w:val="center"/>
        <w:rPr>
          <w:rFonts w:ascii="Times New Roman;Times;serif" w:hAnsi="Times New Roman;Times;serif"/>
          <w:b/>
          <w:sz w:val="20"/>
        </w:rPr>
      </w:pPr>
      <w:bookmarkStart w:id="315" w:name="_524b17f5_f9b5_4f2c_8159_0993ee128085"/>
      <w:bookmarkEnd w:id="315"/>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INFORMATION</w:t>
      </w:r>
    </w:p>
    <w:p>
      <w:pPr>
        <w:pStyle w:val="TextBody"/>
        <w:bidi w:val="0"/>
        <w:spacing w:before="0" w:after="240"/>
        <w:ind w:left="0" w:right="0" w:hanging="0"/>
        <w:jc w:val="center"/>
        <w:rPr>
          <w:rFonts w:ascii="Times New Roman;Times;serif" w:hAnsi="Times New Roman;Times;serif"/>
          <w:b/>
          <w:sz w:val="20"/>
        </w:rPr>
      </w:pPr>
      <w:bookmarkStart w:id="316" w:name="TOC2"/>
      <w:bookmarkEnd w:id="31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809"/>
        <w:gridCol w:w="396"/>
      </w:tblGrid>
      <w:tr>
        <w:trPr/>
        <w:tc>
          <w:tcPr>
            <w:tcW w:w="98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r>
      <w:tr>
        <w:trPr/>
        <w:tc>
          <w:tcPr>
            <w:tcW w:w="9809" w:type="dxa"/>
            <w:tcBorders/>
            <w:vAlign w:val="center"/>
          </w:tcPr>
          <w:p>
            <w:pPr>
              <w:pStyle w:val="TableContents"/>
              <w:pBdr/>
              <w:bidi w:val="0"/>
              <w:spacing w:before="40" w:after="40"/>
              <w:ind w:left="0" w:right="0" w:hanging="0"/>
              <w:jc w:val="left"/>
              <w:rPr/>
            </w:pPr>
            <w:hyperlink w:anchor="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IndependentAuditorReport1">
              <w:r>
                <w:rPr>
                  <w:rStyle w:val="InternetLink"/>
                  <w:rFonts w:ascii="Times New Roman;Times;serif" w:hAnsi="Times New Roman;Times;serif"/>
                  <w:b w:val="false"/>
                  <w:i w:val="false"/>
                  <w:caps w:val="false"/>
                  <w:smallCaps w:val="false"/>
                  <w:sz w:val="20"/>
                </w:rPr>
                <w:t>Report of Independent Registered Public Accounting Firm – Opinion on Internal Control over Financial Reporting</w:t>
              </w:r>
            </w:hyperlink>
            <w:r>
              <w:rPr>
                <w:rFonts w:ascii="Times New Roman;Times;serif" w:hAnsi="Times New Roman;Times;serif"/>
                <w:sz w:val="20"/>
              </w:rPr>
              <w:t xml:space="preserve"> (PCAOB ID 34)</w:t>
            </w:r>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IndependentAuditorReport2">
              <w:r>
                <w:rPr>
                  <w:rStyle w:val="InternetLink"/>
                  <w:rFonts w:ascii="Times New Roman;Times;serif" w:hAnsi="Times New Roman;Times;serif"/>
                  <w:b w:val="false"/>
                  <w:i w:val="false"/>
                  <w:caps w:val="false"/>
                  <w:smallCaps w:val="false"/>
                  <w:sz w:val="20"/>
                </w:rPr>
                <w:t>Report of Independent Registered Public Accounting Firm – Opinion on the Financial Statements</w:t>
              </w:r>
            </w:hyperlink>
            <w:r>
              <w:rPr>
                <w:rFonts w:ascii="Times New Roman;Times;serif" w:hAnsi="Times New Roman;Times;serif"/>
                <w:sz w:val="20"/>
              </w:rPr>
              <w:t xml:space="preserve"> (PCAOB ID 34)</w:t>
            </w:r>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_CONSOLIDATED_BALANCE_SHEETS">
              <w:r>
                <w:rPr>
                  <w:rStyle w:val="InternetLink"/>
                  <w:rFonts w:ascii="Times New Roman;Times;serif" w:hAnsi="Times New Roman;Times;serif"/>
                  <w:b w:val="false"/>
                  <w:i w:val="false"/>
                  <w:caps w:val="false"/>
                  <w:smallCaps w:val="false"/>
                  <w:sz w:val="20"/>
                </w:rPr>
                <w:t>Consolidated Balance Sheets as of December 30, 2023 and December 31, 2022</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_CONSOLIDATED_STATEMENTS_OF">
              <w:r>
                <w:rPr>
                  <w:rStyle w:val="InternetLink"/>
                  <w:rFonts w:ascii="Times New Roman;Times;serif" w:hAnsi="Times New Roman;Times;serif"/>
                  <w:b w:val="false"/>
                  <w:i w:val="false"/>
                  <w:caps w:val="false"/>
                  <w:smallCaps w:val="false"/>
                  <w:sz w:val="20"/>
                </w:rPr>
                <w:t>Consolidated Statements of Earnings and Comprehensive Income for the Years Ended December 30, 2023, December 31, 2022, and December 25, 2021</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_CONSOLIDATED_STATEMENTS_OF_1">
              <w:r>
                <w:rPr>
                  <w:rStyle w:val="InternetLink"/>
                  <w:rFonts w:ascii="Times New Roman;Times;serif" w:hAnsi="Times New Roman;Times;serif"/>
                  <w:b w:val="false"/>
                  <w:i w:val="false"/>
                  <w:caps w:val="false"/>
                  <w:smallCaps w:val="false"/>
                  <w:sz w:val="20"/>
                </w:rPr>
                <w:t>Consolidated Statements of Shareholders’ Equity for the Years Ended December 30, 2023, December 31, 2022, and December 25, 2021</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_CONSOLIDATED_STATEMENTS_OF_2">
              <w:r>
                <w:rPr>
                  <w:rStyle w:val="InternetLink"/>
                  <w:rFonts w:ascii="Times New Roman;Times;serif" w:hAnsi="Times New Roman;Times;serif"/>
                  <w:b w:val="false"/>
                  <w:i w:val="false"/>
                  <w:caps w:val="false"/>
                  <w:smallCaps w:val="false"/>
                  <w:sz w:val="20"/>
                </w:rPr>
                <w:t>Consolidated Statements of Cash Flows for the Years Ended December 30, 2023, December 31, 2022, and December 25, 2021</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NOTESTOCONSOLIDATEDFINANCIALSTATEMENTS_5">
              <w:r>
                <w:rPr>
                  <w:rStyle w:val="InternetLink"/>
                  <w:rFonts w:ascii="Times New Roman;Times;serif" w:hAnsi="Times New Roman;Times;serif"/>
                  <w:b w:val="false"/>
                  <w:i w:val="false"/>
                  <w:caps w:val="false"/>
                  <w:smallCaps w:val="false"/>
                  <w:sz w:val="20"/>
                </w:rPr>
                <w:t>Notes to Consolidated Financial Statements</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 xml:space="preserve">29 </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PRICERANGEOFCOMMONSTOCKANDDIVIDENDS_5875">
              <w:r>
                <w:rPr>
                  <w:rStyle w:val="InternetLink"/>
                  <w:rFonts w:ascii="Times New Roman;Times;serif" w:hAnsi="Times New Roman;Times;serif"/>
                  <w:b w:val="false"/>
                  <w:i w:val="false"/>
                  <w:caps w:val="false"/>
                  <w:smallCaps w:val="false"/>
                  <w:sz w:val="20"/>
                </w:rPr>
                <w:t>Market Information for our Common Stock</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STOCKPERFORMANCEGRAPH_977661">
              <w:r>
                <w:rPr>
                  <w:rStyle w:val="InternetLink"/>
                  <w:rFonts w:ascii="Times New Roman;Times;serif" w:hAnsi="Times New Roman;Times;serif"/>
                  <w:b w:val="false"/>
                  <w:i w:val="false"/>
                  <w:caps w:val="false"/>
                  <w:smallCaps w:val="false"/>
                  <w:sz w:val="20"/>
                </w:rPr>
                <w:t>Stock Performance Graph</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DirectorsandExecutiveOfficers_472146">
              <w:r>
                <w:rPr>
                  <w:rStyle w:val="InternetLink"/>
                  <w:rFonts w:ascii="Times New Roman;Times;serif" w:hAnsi="Times New Roman;Times;serif"/>
                  <w:b w:val="false"/>
                  <w:i w:val="false"/>
                  <w:caps w:val="false"/>
                  <w:smallCaps w:val="false"/>
                  <w:sz w:val="20"/>
                </w:rPr>
                <w:t>Directors and Executive Officers</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809" w:type="dxa"/>
            <w:tcBorders/>
            <w:vAlign w:val="center"/>
          </w:tcPr>
          <w:p>
            <w:pPr>
              <w:pStyle w:val="TableContents"/>
              <w:bidi w:val="0"/>
              <w:spacing w:before="40" w:after="40"/>
              <w:ind w:left="0" w:right="0" w:hanging="0"/>
              <w:jc w:val="left"/>
              <w:rPr/>
            </w:pPr>
            <w:r>
              <w:rPr/>
              <w:t>​</w:t>
            </w:r>
          </w:p>
        </w:tc>
        <w:tc>
          <w:tcPr>
            <w:tcW w:w="396" w:type="dxa"/>
            <w:tcBorders/>
            <w:vAlign w:val="center"/>
          </w:tcPr>
          <w:p>
            <w:pPr>
              <w:pStyle w:val="TableContents"/>
              <w:bidi w:val="0"/>
              <w:spacing w:before="40" w:after="40"/>
              <w:ind w:left="0" w:right="0" w:hanging="0"/>
              <w:jc w:val="right"/>
              <w:rPr/>
            </w:pPr>
            <w:r>
              <w:rPr/>
              <w:t>​</w:t>
            </w:r>
          </w:p>
        </w:tc>
      </w:tr>
      <w:tr>
        <w:trPr/>
        <w:tc>
          <w:tcPr>
            <w:tcW w:w="9809" w:type="dxa"/>
            <w:tcBorders/>
            <w:vAlign w:val="center"/>
          </w:tcPr>
          <w:p>
            <w:pPr>
              <w:pStyle w:val="TableContents"/>
              <w:pBdr/>
              <w:bidi w:val="0"/>
              <w:spacing w:before="40" w:after="40"/>
              <w:ind w:left="0" w:right="0" w:hanging="0"/>
              <w:jc w:val="left"/>
              <w:rPr/>
            </w:pPr>
            <w:hyperlink w:anchor="ShareholderInformation_580747">
              <w:r>
                <w:rPr>
                  <w:rStyle w:val="InternetLink"/>
                  <w:rFonts w:ascii="Times New Roman;Times;serif" w:hAnsi="Times New Roman;Times;serif"/>
                  <w:b w:val="false"/>
                  <w:i w:val="false"/>
                  <w:caps w:val="false"/>
                  <w:smallCaps w:val="false"/>
                  <w:sz w:val="20"/>
                </w:rPr>
                <w:t>Shareholder Information</w:t>
              </w:r>
            </w:hyperlink>
          </w:p>
        </w:tc>
        <w:tc>
          <w:tcPr>
            <w:tcW w:w="396" w:type="dxa"/>
            <w:tcBorders/>
            <w:vAlign w:val="center"/>
          </w:tcPr>
          <w:p>
            <w:pPr>
              <w:pStyle w:val="TableContents"/>
              <w:bidi w:val="0"/>
              <w:spacing w:before="40" w:after="40"/>
              <w:ind w:left="0" w:right="0"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sz w:val="20"/>
        </w:rPr>
      </w:pPr>
      <w:bookmarkStart w:id="317" w:name="MDA"/>
      <w:bookmarkStart w:id="318" w:name="_4c049121_080b_435d_aef6_25a14381c344"/>
      <w:bookmarkEnd w:id="317"/>
      <w:bookmarkEnd w:id="318"/>
      <w:r>
        <w:rPr>
          <w:rFonts w:ascii="Times New Roman;Times;serif" w:hAnsi="Times New Roman;Times;serif"/>
          <w:sz w:val="20"/>
        </w:rPr>
        <w:t>UFP Industries, Inc. is a holding company with subsidiaries throughout North America, Europe, Asia, and Australia that design, manufacture, and supply products made from wood, wood and non-wood composites, and other materials to three markets: retail, packaging, and construction. We are headquartered in Grand Rapids, Mich. For more information about UFP Industries, Inc., or its affiliated operations, go to www.ufpi.com.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costs associated with product liability, casualty, manufacturing and construction defects, and other claims; and potential pandemics. Certain of these risk factors as well as other risk factors and additional information are included in our reports on Form 10-K and 10-Q on file with the Securities and Exchange Commission. We are pleased to present this overview of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results for 2023 were impacted by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sales decreased 25% compared to 2022, which was comprised of a 16% decrease in selling prices and a 9% decrease in unit sales. The overall decrease in our selling prices is primarily due to lower lumber prices and a more competitive pricing environment in certain of our business units. The overall unit decline consists of a 6% decrease in our retail segment, a 6% decrease in our packaging segment, and a 13% decrease in our construction segment. Acquired businesses contributed 2% unit growth in our packaging segment.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profits decreased by $370.5 million, or 20.7%, compared to last year, exceeding our 9% decline in unit sales. By segment, gross profits decreased by $203 million in Construction and $171 million in Packaging, while Retail experienced a $33 million increase in gross profits. The overall decrease in our gross profits is primarily due to the decline in unit sales, unfavorable cost variances as a result of fixed manufacturing costs, and more competitive pricing in certain business units. These unfavorable factors were partially offset by more favorable lumber price trends in 2023 on products sold in our Retail segment that are based on variable selling prices. The remaining decline in our gross profits is primarily due to our International segment, which is presented under “All Other” in the segment reporting tables below.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profits decreased $304 million, or 32.0%, compared to last year. The overall decrease is a result of the decline in gross profits mentioned above offset by a $65 million decrease in selling, general, and administrative (“SG&amp;A”) expenses. Our SG&amp;A declined primarily due to our incentive compensation plans which are tied to profitability and return on investment. More specifically, our sales incentive expense declined by $30 million to approximately $59 million for the year and bonus expense declined by $54 million to $175 million for the year. Our decremental operating margin comparing our decrease in operating profits relative to our decrease in net sales was 12.6%.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flows from operations in 2023 was $959.9 million compared to $831.6 million in 2022. The $128 million improvement resulted from the change in our investment in net working capital, which was $300 million lower in 2023 than it was in 2022 resulting in an increase in operating cash flows, offset by a $172 million decrease in net earnings and non-cash expenses compared to the prior year. Our investment in net working capital has declined primarily due to a decline in market demand in the industries we serve as well a decline in the cost of lumber.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invested $180.4 million in capital expenditures to support and grow our existing businesses and invested $52.4 million in an acquired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returned $68.2 million to our shareholders through dividends and repurchased approximately 975,000 shares of our common stock for $82.1 million, at an average price of $84.27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surplus cash (cash less debt and cash overdraft) at the end of 2023 was $841.9 million compared to $281.4 million at the end of 2022. Our unused borrowing capacity under our revolving credit facility and a shelf agreement with certain lenders along with our cash surplus resulted in total liquidity of approximately $2.4 billion at the end of December 2023. We plan to continue to pursue a balanced and return driven approach to capital allocation focused on continuing to increase our dividend at a rate that is aligned with our anticipated long-term earnings growth rate, repurchasing our common stock to offset dilution from issuances under our equity-based compensation programs, making capital investments needed to execute our organic growth and operating improvement strategies, and completing business acquisitions that complement our existing businesses and provide new avenues for growth.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HISTORICAL LUMBER PRICES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Random Lengths framing lumber composite price.</w:t>
      </w:r>
    </w:p>
    <w:tbl>
      <w:tblPr>
        <w:tblW w:w="5349" w:type="dxa"/>
        <w:jc w:val="left"/>
        <w:tblInd w:w="0" w:type="dxa"/>
        <w:tblLayout w:type="fixed"/>
        <w:tblCellMar>
          <w:top w:w="0" w:type="dxa"/>
          <w:left w:w="0" w:type="dxa"/>
          <w:bottom w:w="0" w:type="dxa"/>
          <w:right w:w="0" w:type="dxa"/>
        </w:tblCellMar>
      </w:tblPr>
      <w:tblGrid>
        <w:gridCol w:w="2686"/>
        <w:gridCol w:w="326"/>
        <w:gridCol w:w="245"/>
        <w:gridCol w:w="611"/>
        <w:gridCol w:w="379"/>
        <w:gridCol w:w="245"/>
        <w:gridCol w:w="666"/>
        <w:gridCol w:w="1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705610" cy="175260"/>
                      <wp:effectExtent l="0" t="0" r="0" b="0"/>
                      <wp:wrapNone/>
                      <wp:docPr id="129" name="Frame12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5575" cy="175260"/>
                      <wp:effectExtent l="0" t="0" r="0" b="0"/>
                      <wp:wrapNone/>
                      <wp:docPr id="131" name="Frame13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7985" cy="175260"/>
                      <wp:effectExtent l="0" t="0" r="0" b="0"/>
                      <wp:wrapNone/>
                      <wp:docPr id="132" name="Frame13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0665" cy="175260"/>
                      <wp:effectExtent l="0" t="0" r="0" b="0"/>
                      <wp:wrapNone/>
                      <wp:docPr id="133" name="Frame13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5575" cy="175260"/>
                      <wp:effectExtent l="0" t="0" r="0" b="0"/>
                      <wp:wrapNone/>
                      <wp:docPr id="134" name="Frame13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2910" cy="175260"/>
                      <wp:effectExtent l="0" t="0" r="0" b="0"/>
                      <wp:wrapNone/>
                      <wp:docPr id="135" name="Frame135"/>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1285" cy="175260"/>
                      <wp:effectExtent l="0" t="0" r="0" b="0"/>
                      <wp:wrapNone/>
                      <wp:docPr id="136" name="Frame1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Random Lengths Composite</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$/MBF</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9" w:type="dxa"/>
            <w:tcBorders/>
            <w:vAlign w:val="center"/>
          </w:tcPr>
          <w:p>
            <w:pPr>
              <w:pStyle w:val="TableContents"/>
              <w:bidi w:val="0"/>
              <w:spacing w:before="0" w:after="0"/>
              <w:ind w:left="0" w:right="0" w:hanging="0"/>
              <w:jc w:val="left"/>
              <w:rPr/>
            </w:pPr>
            <w:r>
              <w:rPr/>
              <w:t>    </w:t>
            </w:r>
          </w:p>
        </w:tc>
        <w:tc>
          <w:tcPr>
            <w:tcW w:w="91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Year-to-date average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Year-to-date percentage change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5"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 Southern Yellow Pine (“SYP”) composite price, which we prepare and use, is presented below. Our purchases of this species comprise almost two-thirds of our total lumber purchases.</w:t>
      </w:r>
    </w:p>
    <w:tbl>
      <w:tblPr>
        <w:tblW w:w="5108" w:type="dxa"/>
        <w:jc w:val="left"/>
        <w:tblInd w:w="0" w:type="dxa"/>
        <w:tblLayout w:type="fixed"/>
        <w:tblCellMar>
          <w:top w:w="0" w:type="dxa"/>
          <w:left w:w="0" w:type="dxa"/>
          <w:bottom w:w="0" w:type="dxa"/>
          <w:right w:w="0" w:type="dxa"/>
        </w:tblCellMar>
      </w:tblPr>
      <w:tblGrid>
        <w:gridCol w:w="2686"/>
        <w:gridCol w:w="326"/>
        <w:gridCol w:w="211"/>
        <w:gridCol w:w="586"/>
        <w:gridCol w:w="326"/>
        <w:gridCol w:w="211"/>
        <w:gridCol w:w="571"/>
        <w:gridCol w:w="1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05610" cy="175260"/>
                      <wp:effectExtent l="0" t="0" r="0" b="0"/>
                      <wp:wrapNone/>
                      <wp:docPr id="137" name="Frame13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72110" cy="175260"/>
                      <wp:effectExtent l="0" t="0" r="0" b="0"/>
                      <wp:wrapNone/>
                      <wp:docPr id="140" name="Frame14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43" name="Frame1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1285" cy="175260"/>
                      <wp:effectExtent l="0" t="0" r="0" b="0"/>
                      <wp:wrapNone/>
                      <wp:docPr id="144" name="Frame1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Southern Yellow Pine</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$/MBF</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Year-to-date average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Year-to-date percentage 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Lower overall lumber prices in 2023 compared to 2022 is primarily due to increased capacity of the supply of lumber in North America combined with an increase in imports from other countries while demand for lumber has declined. A change in lumber prices impacts our profitability of products sold with fixed and variable prices, as discussed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IMPACT OF THE LUMBER MARKET ON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including plywood and other panel products, were 43.5% and 49.6% of our net sales in 2023 and 2022,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is a general description of the primary ways in which our products are priced.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fixed selling prices.</w:t>
            </w:r>
            <w:r>
              <w:rPr>
                <w:caps w:val="false"/>
                <w:smallCaps w:val="false"/>
              </w:rPr>
              <w:t xml:space="preserve"> </w:t>
            </w:r>
            <w:r>
              <w:rPr>
                <w:rFonts w:ascii="Times New Roman;Times;serif" w:hAnsi="Times New Roman;Times;serif"/>
                <w:b w:val="false"/>
                <w:i w:val="false"/>
                <w:caps w:val="false"/>
                <w:smallCaps w:val="false"/>
                <w:sz w:val="20"/>
              </w:rPr>
              <w:t>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selling prices indexed to the reported Lumber Market with a fixed dollar "adder" to cover conversion costs and profits.</w:t>
            </w:r>
            <w:r>
              <w:rPr>
                <w:caps w:val="false"/>
                <w:smallCaps w:val="false"/>
              </w:rPr>
              <w:t xml:space="preserve"> </w:t>
            </w:r>
            <w:r>
              <w:rPr>
                <w:rFonts w:ascii="Times New Roman;Times;serif" w:hAnsi="Times New Roman;Times;serif"/>
                <w:b w:val="false"/>
                <w:i w:val="false"/>
                <w:caps w:val="false"/>
                <w:smallCaps w:val="false"/>
                <w:sz w:val="20"/>
              </w:rPr>
              <w:t>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each of the product pricing categories above, our margins are exposed to changes in the trend of lumber prices. As a result of the balance in our net sales of each category we believe our gross profits are more stable than those of our competitors who are less diversified.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greatest risk associated with changes in the trend of lumber prices is on the following products: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significant inventory levels with low turnover rates, whose selling prices are indexed to the Lumber Market.</w:t>
            </w:r>
            <w:r>
              <w:rPr>
                <w:caps w:val="false"/>
                <w:smallCaps w:val="false"/>
              </w:rPr>
              <w:t xml:space="preserve"> </w:t>
            </w:r>
            <w:r>
              <w:rPr>
                <w:rFonts w:ascii="Times New Roman;Times;serif" w:hAnsi="Times New Roman;Times;serif"/>
                <w:b w:val="false"/>
                <w:i w:val="false"/>
                <w:caps w:val="false"/>
                <w:smallCaps w:val="false"/>
                <w:sz w:val="20"/>
              </w:rPr>
              <w:t>In other words, the longer the period of time these products remain in inventory, the greater the exposure to changes in the price of lumber. This would include treated lumber, which comprises approximately 21% of our total net sales in 2023.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We estimate that 18% of our total purchases for 2023 were completed under these programs. (</w:t>
            </w:r>
            <w:r>
              <w:rPr>
                <w:rFonts w:ascii="Times New Roman;Times;serif" w:hAnsi="Times New Roman;Times;serif"/>
                <w:b w:val="false"/>
                <w:i/>
                <w:sz w:val="20"/>
              </w:rPr>
              <w:t>Please refer to the “Risk Factors” section of our annual report on form 10-K, filed with the United States Securities and Exchange Commission.</w:t>
            </w:r>
            <w:r>
              <w:rPr>
                <w:rFonts w:ascii="Times New Roman;Times;serif" w:hAnsi="Times New Roman;Times;serif"/>
                <w:b w:val="false"/>
                <w:i w:val="false"/>
                <w:caps w:val="false"/>
                <w:smallCaps w:val="false"/>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Products with fixed selling prices sold under long-term supply arrangements, particularly those involving multi-family construction projects.</w:t>
            </w:r>
            <w:r>
              <w:rPr>
                <w:caps w:val="false"/>
                <w:smallCaps w:val="false"/>
              </w:rPr>
              <w:t xml:space="preserve"> </w:t>
            </w:r>
            <w:r>
              <w:rPr>
                <w:rFonts w:ascii="Times New Roman;Times;serif" w:hAnsi="Times New Roman;Times;serif"/>
                <w:b w:val="false"/>
                <w:i w:val="false"/>
                <w:caps w:val="false"/>
                <w:smallCaps w:val="false"/>
                <w:sz w:val="20"/>
              </w:rPr>
              <w:t>We attempt to mitigate this risk through our purchasing practices and longer vendor commitments.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tbl>
      <w:tblPr>
        <w:tblW w:w="3886" w:type="dxa"/>
        <w:jc w:val="left"/>
        <w:tblInd w:w="0" w:type="dxa"/>
        <w:tblLayout w:type="fixed"/>
        <w:tblCellMar>
          <w:top w:w="0" w:type="dxa"/>
          <w:left w:w="0" w:type="dxa"/>
          <w:bottom w:w="0" w:type="dxa"/>
          <w:right w:w="0" w:type="dxa"/>
        </w:tblCellMar>
      </w:tblPr>
      <w:tblGrid>
        <w:gridCol w:w="1441"/>
        <w:gridCol w:w="326"/>
        <w:gridCol w:w="224"/>
        <w:gridCol w:w="497"/>
        <w:gridCol w:w="361"/>
        <w:gridCol w:w="224"/>
        <w:gridCol w:w="497"/>
        <w:gridCol w:w="31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15035" cy="175260"/>
                      <wp:effectExtent l="0" t="0" r="0" b="0"/>
                      <wp:wrapNone/>
                      <wp:docPr id="145" name="Frame145"/>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2240" cy="175260"/>
                      <wp:effectExtent l="0" t="0" r="0" b="0"/>
                      <wp:wrapNone/>
                      <wp:docPr id="147" name="Frame14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15595" cy="175260"/>
                      <wp:effectExtent l="0" t="0" r="0" b="0"/>
                      <wp:wrapNone/>
                      <wp:docPr id="148" name="Frame14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2240" cy="175260"/>
                      <wp:effectExtent l="0" t="0" r="0" b="0"/>
                      <wp:wrapNone/>
                      <wp:docPr id="150" name="Frame15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15595" cy="175260"/>
                      <wp:effectExtent l="0" t="0" r="0" b="0"/>
                      <wp:wrapNone/>
                      <wp:docPr id="151" name="Frame15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0660" cy="175260"/>
                      <wp:effectExtent l="0" t="0" r="0" b="0"/>
                      <wp:wrapNone/>
                      <wp:docPr id="152" name="Frame1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1</w:t>
            </w:r>
          </w:p>
        </w:tc>
        <w:tc>
          <w:tcPr>
            <w:tcW w:w="361"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2</w:t>
            </w:r>
          </w:p>
        </w:tc>
        <w:tc>
          <w:tcPr>
            <w:tcW w:w="316" w:type="dxa"/>
            <w:tcBorders/>
            <w:vAlign w:val="center"/>
          </w:tcPr>
          <w:p>
            <w:pPr>
              <w:pStyle w:val="TableContents"/>
              <w:bidi w:val="0"/>
              <w:spacing w:before="0" w:after="0"/>
              <w:ind w:left="0" w:right="0" w:hanging="0"/>
              <w:jc w:val="center"/>
              <w:rPr/>
            </w:pPr>
            <w:r>
              <w:rPr/>
              <w:t> </w:t>
            </w:r>
          </w:p>
        </w:tc>
      </w:tr>
      <w:tr>
        <w:trPr/>
        <w:tc>
          <w:tcPr>
            <w:tcW w:w="1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Lumber cost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61"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cost</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Product cost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Adder</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Sell price</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61"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4"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sold with our change in gross profits, selling, general, and administrative expenses, and operating profits as presented in the following table.</w:t>
      </w:r>
    </w:p>
    <w:tbl>
      <w:tblPr>
        <w:tblW w:w="6750" w:type="dxa"/>
        <w:jc w:val="left"/>
        <w:tblInd w:w="0" w:type="dxa"/>
        <w:tblLayout w:type="fixed"/>
        <w:tblCellMar>
          <w:top w:w="0" w:type="dxa"/>
          <w:left w:w="0" w:type="dxa"/>
          <w:bottom w:w="0" w:type="dxa"/>
          <w:right w:w="0" w:type="dxa"/>
        </w:tblCellMar>
      </w:tblPr>
      <w:tblGrid>
        <w:gridCol w:w="3781"/>
        <w:gridCol w:w="326"/>
        <w:gridCol w:w="692"/>
        <w:gridCol w:w="426"/>
        <w:gridCol w:w="385"/>
        <w:gridCol w:w="609"/>
        <w:gridCol w:w="53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00935" cy="175260"/>
                      <wp:effectExtent l="0" t="0" r="0" b="0"/>
                      <wp:wrapNone/>
                      <wp:docPr id="153" name="Frame153"/>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9420" cy="175260"/>
                      <wp:effectExtent l="0" t="0" r="0" b="0"/>
                      <wp:wrapNone/>
                      <wp:docPr id="155" name="Frame155"/>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70510" cy="175260"/>
                      <wp:effectExtent l="0" t="0" r="0" b="0"/>
                      <wp:wrapNone/>
                      <wp:docPr id="156" name="Frame156"/>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4475" cy="175260"/>
                      <wp:effectExtent l="0" t="0" r="0" b="0"/>
                      <wp:wrapNone/>
                      <wp:docPr id="157" name="Frame15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86715" cy="175260"/>
                      <wp:effectExtent l="0" t="0" r="0" b="0"/>
                      <wp:wrapNone/>
                      <wp:docPr id="158" name="Frame158"/>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37185" cy="175260"/>
                      <wp:effectExtent l="0" t="0" r="0" b="0"/>
                      <wp:wrapNone/>
                      <wp:docPr id="159" name="Frame15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Annual Percentage Change from</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Year Ended</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85"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5" w:type="dxa"/>
            <w:tcBorders/>
            <w:vAlign w:val="center"/>
          </w:tcPr>
          <w:p>
            <w:pPr>
              <w:pStyle w:val="TableContents"/>
              <w:bidi w:val="0"/>
              <w:spacing w:before="0" w:after="1"/>
              <w:ind w:left="0" w:right="0" w:hanging="0"/>
              <w:jc w:val="left"/>
              <w:rPr/>
            </w:pPr>
            <w:r>
              <w:rPr/>
              <w:t>    </w:t>
            </w:r>
          </w:p>
        </w:tc>
        <w:tc>
          <w:tcPr>
            <w:tcW w:w="114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Units sold</w:t>
            </w:r>
          </w:p>
        </w:tc>
        <w:tc>
          <w:tcPr>
            <w:tcW w:w="326"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85"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42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53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42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53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2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42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53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It is our long-term goal to increase our gross profits and earnings from operations at a rate of growth that exceeds our unit sales growth, or in other words, increase our profit per unit sold. We also have a long-term goal of improving our efficiencies and leveraging the fixed costs in our selling, general, and administrative expenses as we grow, which would result in a rate of growth of these expenses which is less than our unit sales growth resulting in a lower cost per unit.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BUSINESS COMBINATIONS AND ASSET PURCHASES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completed one business acquisition during 2023 and four during 2022. The annual historical sales attributable to acquisitions in 2023 and 2022 were approximately $38.0 million and $177.8 million, respectively. These business combinations were not significant to our operating results individually or in aggregate; consequently pro forma results for 2023 and 2022 are not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Notes to Consolidated Financial Statements, Note C, "Business Combinations"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for the periods indicated, the components of our Consolidated Statements of Earnings as a percentage of net sales. See “Impact of the Lumber Market on our Operating Results”.</w:t>
      </w:r>
    </w:p>
    <w:tbl>
      <w:tblPr>
        <w:tblW w:w="7560" w:type="dxa"/>
        <w:jc w:val="left"/>
        <w:tblInd w:w="0" w:type="dxa"/>
        <w:tblLayout w:type="fixed"/>
        <w:tblCellMar>
          <w:top w:w="0" w:type="dxa"/>
          <w:left w:w="0" w:type="dxa"/>
          <w:bottom w:w="0" w:type="dxa"/>
          <w:right w:w="0" w:type="dxa"/>
        </w:tblCellMar>
      </w:tblPr>
      <w:tblGrid>
        <w:gridCol w:w="4636"/>
        <w:gridCol w:w="1096"/>
        <w:gridCol w:w="326"/>
        <w:gridCol w:w="1096"/>
        <w:gridCol w:w="40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943860" cy="175260"/>
                      <wp:effectExtent l="0" t="0" r="0" b="0"/>
                      <wp:wrapNone/>
                      <wp:docPr id="160" name="Frame160"/>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5960" cy="175260"/>
                      <wp:effectExtent l="0" t="0" r="0" b="0"/>
                      <wp:wrapNone/>
                      <wp:docPr id="161" name="Frame16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5960" cy="175260"/>
                      <wp:effectExtent l="0" t="0" r="0" b="0"/>
                      <wp:wrapNone/>
                      <wp:docPr id="163" name="Frame1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57810" cy="175260"/>
                      <wp:effectExtent l="0" t="0" r="0" b="0"/>
                      <wp:wrapNone/>
                      <wp:docPr id="164" name="Frame1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1"/>
              <w:ind w:left="0" w:right="0" w:hanging="0"/>
              <w:jc w:val="left"/>
              <w:rPr/>
            </w:pPr>
            <w:r>
              <w:rPr/>
              <w:t>​</w:t>
            </w:r>
          </w:p>
        </w:tc>
        <w:tc>
          <w:tcPr>
            <w:tcW w:w="2924"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63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vAlign w:val="center"/>
          </w:tcPr>
          <w:p>
            <w:pPr>
              <w:pStyle w:val="TableContents"/>
              <w:bidi w:val="0"/>
              <w:spacing w:before="0" w:after="1"/>
              <w:ind w:left="0" w:right="0" w:hanging="0"/>
              <w:jc w:val="left"/>
              <w:rPr/>
            </w:pPr>
            <w:r>
              <w:rPr/>
              <w:t>​</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losses (gains), net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vAlign w:val="center"/>
          </w:tcPr>
          <w:p>
            <w:pPr>
              <w:pStyle w:val="TableContents"/>
              <w:bidi w:val="0"/>
              <w:spacing w:before="0" w:after="1"/>
              <w:ind w:left="0" w:right="0" w:hanging="0"/>
              <w:jc w:val="lef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earnings attributable to noncontrolling interest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attributable to controlling interest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120" w:after="240"/>
        <w:ind w:left="0" w:right="0" w:hanging="0"/>
        <w:jc w:val="both"/>
        <w:rPr>
          <w:rFonts w:ascii="Times New Roman;Times;serif" w:hAnsi="Times New Roman;Times;serif"/>
          <w:sz w:val="16"/>
        </w:rPr>
      </w:pPr>
      <w:r>
        <w:rPr>
          <w:rFonts w:ascii="Times New Roman;Times;serif" w:hAnsi="Times New Roman;Times;serif"/>
          <w:sz w:val="16"/>
        </w:rPr>
        <w:t>Note: Actual percentages are calculated and may not sum to total due to rounding.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for the periods indicated, our selling, general, and administrative (SG&amp;A) costs as a percentage of gross profit. We believe this ratio provides an enhanced view of our effectiveness in managing these costs given our strategies to enhance our capabilities and improve our value-added product offering and recognizing the higher relative level of SG&amp;A these strategies require, and mitigates the impact of changing lumber prices.</w:t>
      </w:r>
    </w:p>
    <w:tbl>
      <w:tblPr>
        <w:tblW w:w="6779" w:type="dxa"/>
        <w:jc w:val="left"/>
        <w:tblInd w:w="0" w:type="dxa"/>
        <w:tblLayout w:type="fixed"/>
        <w:tblCellMar>
          <w:top w:w="0" w:type="dxa"/>
          <w:left w:w="0" w:type="dxa"/>
          <w:bottom w:w="0" w:type="dxa"/>
          <w:right w:w="0" w:type="dxa"/>
        </w:tblCellMar>
      </w:tblPr>
      <w:tblGrid>
        <w:gridCol w:w="3781"/>
        <w:gridCol w:w="326"/>
        <w:gridCol w:w="1096"/>
        <w:gridCol w:w="109"/>
        <w:gridCol w:w="326"/>
        <w:gridCol w:w="114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400935" cy="175260"/>
                      <wp:effectExtent l="0" t="0" r="0" b="0"/>
                      <wp:wrapNone/>
                      <wp:docPr id="165" name="Frame165"/>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5960" cy="175260"/>
                      <wp:effectExtent l="0" t="0" r="0" b="0"/>
                      <wp:wrapNone/>
                      <wp:docPr id="167" name="Frame16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24535" cy="175260"/>
                      <wp:effectExtent l="0" t="0" r="0" b="0"/>
                      <wp:wrapNone/>
                      <wp:docPr id="170" name="Frame1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72" w:type="dxa"/>
            <w:gridSpan w:val="4"/>
            <w:tcBorders/>
            <w:vAlign w:val="center"/>
          </w:tcPr>
          <w:p>
            <w:pPr>
              <w:pStyle w:val="TableContents"/>
              <w:bidi w:val="0"/>
              <w:spacing w:before="0" w:after="1"/>
              <w:ind w:left="0" w:right="0" w:hanging="0"/>
              <w:jc w:val="center"/>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299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1,418,938</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1,789,461</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766,633</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832,079</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SG&amp;A as percentage of gross profit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increase in the ratio above is primarily due to a combination of fixed SG&amp;A costs and more competitive pricing in certain business units as the markets we serve have declined from peak levels experienced during and shortly after the pandemic. For comparison purposes, our SG&amp;A costs as a percentage of gross profits in 2019 (immediately prior to the pandemic) was 64%.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RESULTS BY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segments consist of UFP Retail Solutions (“Retail”), UFP Packaging (“Packaging” and formerly known as UFP Industrial) and UFP Construction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our operating results by segment for December 30, 2023 and December 31, 2022.</w:t>
      </w:r>
    </w:p>
    <w:tbl>
      <w:tblPr>
        <w:tblW w:w="10205" w:type="dxa"/>
        <w:jc w:val="left"/>
        <w:tblInd w:w="0" w:type="dxa"/>
        <w:tblLayout w:type="fixed"/>
        <w:tblCellMar>
          <w:top w:w="0" w:type="dxa"/>
          <w:left w:w="0" w:type="dxa"/>
          <w:bottom w:w="0" w:type="dxa"/>
          <w:right w:w="0" w:type="dxa"/>
        </w:tblCellMar>
      </w:tblPr>
      <w:tblGrid>
        <w:gridCol w:w="3046"/>
        <w:gridCol w:w="109"/>
        <w:gridCol w:w="211"/>
        <w:gridCol w:w="931"/>
        <w:gridCol w:w="109"/>
        <w:gridCol w:w="211"/>
        <w:gridCol w:w="931"/>
        <w:gridCol w:w="109"/>
        <w:gridCol w:w="211"/>
        <w:gridCol w:w="931"/>
        <w:gridCol w:w="109"/>
        <w:gridCol w:w="211"/>
        <w:gridCol w:w="781"/>
        <w:gridCol w:w="109"/>
        <w:gridCol w:w="211"/>
        <w:gridCol w:w="688"/>
        <w:gridCol w:w="109"/>
        <w:gridCol w:w="211"/>
        <w:gridCol w:w="977"/>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34210" cy="175260"/>
                      <wp:effectExtent l="0" t="0" r="0" b="0"/>
                      <wp:wrapNone/>
                      <wp:docPr id="171" name="Frame171"/>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91185" cy="175260"/>
                      <wp:effectExtent l="0" t="0" r="0" b="0"/>
                      <wp:wrapNone/>
                      <wp:docPr id="174" name="Frame1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91185" cy="175260"/>
                      <wp:effectExtent l="0" t="0" r="0" b="0"/>
                      <wp:wrapNone/>
                      <wp:docPr id="177" name="Frame1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1185" cy="175260"/>
                      <wp:effectExtent l="0" t="0" r="0" b="0"/>
                      <wp:wrapNone/>
                      <wp:docPr id="180"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3"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6880" cy="175260"/>
                      <wp:effectExtent l="0" t="0" r="0" b="0"/>
                      <wp:wrapNone/>
                      <wp:docPr id="186" name="Frame186"/>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20395" cy="175260"/>
                      <wp:effectExtent l="0" t="0" r="0" b="0"/>
                      <wp:wrapNone/>
                      <wp:docPr id="189" name="Frame189"/>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50"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30, 2023</w:t>
            </w:r>
          </w:p>
        </w:tc>
      </w:tr>
      <w:tr>
        <w:trPr/>
        <w:tc>
          <w:tcPr>
            <w:tcW w:w="30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8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88" w:type="dxa"/>
            <w:gridSpan w:val="2"/>
            <w:tcBorders/>
            <w:vAlign w:val="center"/>
          </w:tcPr>
          <w:p>
            <w:pPr>
              <w:pStyle w:val="TableContents"/>
              <w:bidi w:val="0"/>
              <w:spacing w:before="0" w:after="1"/>
              <w:ind w:left="0" w:right="0" w:hanging="0"/>
              <w:jc w:val="center"/>
              <w:rPr/>
            </w:pPr>
            <w:r>
              <w:rPr/>
              <w:t>​</w: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1"/>
              <w:ind w:left="0" w:right="0" w:hanging="0"/>
              <w:jc w:val="center"/>
              <w:rPr/>
            </w:pPr>
            <w:r>
              <w:rPr/>
              <w:t>​</w:t>
            </w:r>
          </w:p>
        </w:tc>
        <w:tc>
          <w:tcPr>
            <w:tcW w:w="899"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11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2,886,515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1,838,200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2,161,059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7,218,384</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2,508,513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1,422,940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1,637,329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240,106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5,799,446</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415,260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523,730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1,418,938</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209,182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279,107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55,654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766,633</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5,771</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168,063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1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646,534</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48"/>
        <w:gridCol w:w="109"/>
        <w:gridCol w:w="211"/>
        <w:gridCol w:w="931"/>
        <w:gridCol w:w="109"/>
        <w:gridCol w:w="211"/>
        <w:gridCol w:w="931"/>
        <w:gridCol w:w="109"/>
        <w:gridCol w:w="211"/>
        <w:gridCol w:w="931"/>
        <w:gridCol w:w="109"/>
        <w:gridCol w:w="211"/>
        <w:gridCol w:w="781"/>
        <w:gridCol w:w="109"/>
        <w:gridCol w:w="211"/>
        <w:gridCol w:w="686"/>
        <w:gridCol w:w="109"/>
        <w:gridCol w:w="211"/>
        <w:gridCol w:w="977"/>
      </w:tblGrid>
      <w:tr>
        <w:trPr/>
        <w:tc>
          <w:tcPr>
            <w:tcW w:w="3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935480" cy="175260"/>
                      <wp:effectExtent l="0" t="0" r="0" b="0"/>
                      <wp:wrapNone/>
                      <wp:docPr id="190" name="Frame190"/>
                      <a:graphic xmlns:a="http://schemas.openxmlformats.org/drawingml/2006/main">
                        <a:graphicData uri="http://schemas.microsoft.com/office/word/2010/wordprocessingShape">
                          <wps:wsp>
                            <wps:cNvSpPr txBox="1"/>
                            <wps:spPr>
                              <a:xfrm>
                                <a:off x="0" y="0"/>
                                <a:ext cx="193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185" cy="175260"/>
                      <wp:effectExtent l="0" t="0" r="0" b="0"/>
                      <wp:wrapNone/>
                      <wp:docPr id="193" name="Frame1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1185" cy="175260"/>
                      <wp:effectExtent l="0" t="0" r="0" b="0"/>
                      <wp:wrapNone/>
                      <wp:docPr id="196" name="Frame1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91185" cy="175260"/>
                      <wp:effectExtent l="0" t="0" r="0" b="0"/>
                      <wp:wrapNone/>
                      <wp:docPr id="199" name="Frame1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95935" cy="175260"/>
                      <wp:effectExtent l="0" t="0" r="0" b="0"/>
                      <wp:wrapNone/>
                      <wp:docPr id="202"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5610" cy="175260"/>
                      <wp:effectExtent l="0" t="0" r="0" b="0"/>
                      <wp:wrapNone/>
                      <wp:docPr id="205" name="Frame20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20395" cy="175260"/>
                      <wp:effectExtent l="0" t="0" r="0" b="0"/>
                      <wp:wrapNone/>
                      <wp:docPr id="208" name="Frame208"/>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48"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r>
      <w:tr>
        <w:trPr/>
        <w:tc>
          <w:tcPr>
            <w:tcW w:w="304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88" w:type="dxa"/>
            <w:gridSpan w:val="2"/>
            <w:tcBorders/>
            <w:vAlign w:val="center"/>
          </w:tcPr>
          <w:p>
            <w:pPr>
              <w:pStyle w:val="TableContents"/>
              <w:bidi w:val="0"/>
              <w:spacing w:before="0" w:after="1"/>
              <w:ind w:left="0" w:right="0" w:hanging="0"/>
              <w:jc w:val="center"/>
              <w:rPr/>
            </w:pPr>
            <w:r>
              <w:rPr/>
              <w:t>​</w:t>
            </w:r>
          </w:p>
        </w:tc>
      </w:tr>
      <w:tr>
        <w:trPr/>
        <w:tc>
          <w:tcPr>
            <w:tcW w:w="30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1"/>
              <w:ind w:left="0" w:right="0" w:hanging="0"/>
              <w:jc w:val="center"/>
              <w:rPr/>
            </w:pPr>
            <w:r>
              <w:rPr/>
              <w:t>​</w:t>
            </w:r>
          </w:p>
        </w:tc>
        <w:tc>
          <w:tcPr>
            <w:tcW w:w="89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11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3,650,639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2,394,681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3,143,868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9,626,739</w:t>
            </w:r>
          </w:p>
        </w:tc>
      </w:tr>
      <w:tr>
        <w:trPr/>
        <w:tc>
          <w:tcPr>
            <w:tcW w:w="30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3,306,112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1,808,449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2,417,212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300,307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7,837,278</w:t>
            </w:r>
          </w:p>
        </w:tc>
      </w:tr>
      <w:tr>
        <w:trPr/>
        <w:tc>
          <w:tcPr>
            <w:tcW w:w="30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586,232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726,656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1,789,461</w:t>
            </w:r>
          </w:p>
        </w:tc>
      </w:tr>
      <w:tr>
        <w:trPr/>
        <w:tc>
          <w:tcPr>
            <w:tcW w:w="30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193,383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328,125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66,745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832,079</w:t>
            </w:r>
          </w:p>
        </w:tc>
      </w:tr>
      <w:tr>
        <w:trPr/>
        <w:tc>
          <w:tcPr>
            <w:tcW w:w="30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7"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7,198</w:t>
            </w:r>
          </w:p>
        </w:tc>
      </w:tr>
      <w:tr>
        <w:trPr/>
        <w:tc>
          <w:tcPr>
            <w:tcW w:w="30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150,327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335,245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397,434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1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950,184</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components of our operating results as a percentage of net sales by segment for December 30, 2023 and December 31, 2022.</w:t>
      </w:r>
    </w:p>
    <w:tbl>
      <w:tblPr>
        <w:tblW w:w="10205" w:type="dxa"/>
        <w:jc w:val="left"/>
        <w:tblInd w:w="0" w:type="dxa"/>
        <w:tblLayout w:type="fixed"/>
        <w:tblCellMar>
          <w:top w:w="0" w:type="dxa"/>
          <w:left w:w="0" w:type="dxa"/>
          <w:bottom w:w="0" w:type="dxa"/>
          <w:right w:w="0" w:type="dxa"/>
        </w:tblCellMar>
      </w:tblPr>
      <w:tblGrid>
        <w:gridCol w:w="3389"/>
        <w:gridCol w:w="326"/>
        <w:gridCol w:w="615"/>
        <w:gridCol w:w="326"/>
        <w:gridCol w:w="871"/>
        <w:gridCol w:w="326"/>
        <w:gridCol w:w="1051"/>
        <w:gridCol w:w="271"/>
        <w:gridCol w:w="791"/>
        <w:gridCol w:w="271"/>
        <w:gridCol w:w="871"/>
        <w:gridCol w:w="109"/>
        <w:gridCol w:w="615"/>
        <w:gridCol w:w="373"/>
      </w:tblGrid>
      <w:tr>
        <w:trPr/>
        <w:tc>
          <w:tcPr>
            <w:tcW w:w="3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52015" cy="175260"/>
                      <wp:effectExtent l="0" t="0" r="0" b="0"/>
                      <wp:wrapNone/>
                      <wp:docPr id="209" name="Frame209"/>
                      <a:graphic xmlns:a="http://schemas.openxmlformats.org/drawingml/2006/main">
                        <a:graphicData uri="http://schemas.microsoft.com/office/word/2010/wordprocessingShape">
                          <wps:wsp>
                            <wps:cNvSpPr txBox="1"/>
                            <wps:spPr>
                              <a:xfrm>
                                <a:off x="0" y="0"/>
                                <a:ext cx="2152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90525" cy="175260"/>
                      <wp:effectExtent l="0" t="0" r="0" b="0"/>
                      <wp:wrapNone/>
                      <wp:docPr id="211" name="Frame21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53085" cy="175260"/>
                      <wp:effectExtent l="0" t="0" r="0" b="0"/>
                      <wp:wrapNone/>
                      <wp:docPr id="213" name="Frame21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7385" cy="175260"/>
                      <wp:effectExtent l="0" t="0" r="0" b="0"/>
                      <wp:wrapNone/>
                      <wp:docPr id="215" name="Frame21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2085" cy="175260"/>
                      <wp:effectExtent l="0" t="0" r="0" b="0"/>
                      <wp:wrapNone/>
                      <wp:docPr id="216" name="Frame21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02285" cy="175260"/>
                      <wp:effectExtent l="0" t="0" r="0" b="0"/>
                      <wp:wrapNone/>
                      <wp:docPr id="217" name="Frame21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72085" cy="175260"/>
                      <wp:effectExtent l="0" t="0" r="0" b="0"/>
                      <wp:wrapNone/>
                      <wp:docPr id="218" name="Frame2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53085" cy="175260"/>
                      <wp:effectExtent l="0" t="0" r="0" b="0"/>
                      <wp:wrapNone/>
                      <wp:docPr id="219" name="Frame21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90525" cy="175260"/>
                      <wp:effectExtent l="0" t="0" r="0" b="0"/>
                      <wp:wrapNone/>
                      <wp:docPr id="221" name="Frame22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36855" cy="175260"/>
                      <wp:effectExtent l="0" t="0" r="0" b="0"/>
                      <wp:wrapNone/>
                      <wp:docPr id="222" name="Frame22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17"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30, 2023</w:t>
            </w:r>
          </w:p>
        </w:tc>
        <w:tc>
          <w:tcPr>
            <w:tcW w:w="37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3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center"/>
              <w:rPr/>
            </w:pPr>
            <w:r>
              <w:rPr/>
              <w:t>​</w:t>
            </w:r>
          </w:p>
        </w:tc>
        <w:tc>
          <w:tcPr>
            <w:tcW w:w="373" w:type="dxa"/>
            <w:tcBorders/>
            <w:vAlign w:val="center"/>
          </w:tcPr>
          <w:p>
            <w:pPr>
              <w:pStyle w:val="TableContents"/>
              <w:bidi w:val="0"/>
              <w:spacing w:before="0" w:after="1"/>
              <w:ind w:left="0" w:right="0" w:hanging="0"/>
              <w:jc w:val="left"/>
              <w:rPr/>
            </w:pPr>
            <w:r>
              <w:rPr/>
              <w:t>    </w:t>
            </w:r>
          </w:p>
        </w:tc>
      </w:tr>
      <w:tr>
        <w:trPr/>
        <w:tc>
          <w:tcPr>
            <w:tcW w:w="3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center"/>
              <w:rPr/>
            </w:pPr>
            <w:r>
              <w:rPr/>
              <w:t>​</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71"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73" w:type="dxa"/>
            <w:tcBorders/>
            <w:vAlign w:val="center"/>
          </w:tcPr>
          <w:p>
            <w:pPr>
              <w:pStyle w:val="TableContents"/>
              <w:bidi w:val="0"/>
              <w:spacing w:before="0" w:after="1"/>
              <w:ind w:left="0" w:right="0" w:hanging="0"/>
              <w:jc w:val="center"/>
              <w:rPr/>
            </w:pPr>
            <w:r>
              <w:rPr/>
              <w:t>​</w:t>
            </w:r>
          </w:p>
        </w:tc>
      </w:tr>
      <w:tr>
        <w:trPr/>
        <w:tc>
          <w:tcPr>
            <w:tcW w:w="3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86.9 </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77.4 </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75.8 </w:t>
            </w:r>
          </w:p>
        </w:tc>
        <w:tc>
          <w:tcPr>
            <w:tcW w:w="271" w:type="dxa"/>
            <w:tcBorders/>
            <w:vAlign w:val="center"/>
          </w:tcPr>
          <w:p>
            <w:pPr>
              <w:pStyle w:val="TableContents"/>
              <w:bidi w:val="0"/>
              <w:spacing w:before="0" w:after="1"/>
              <w:ind w:left="0" w:right="0" w:hanging="0"/>
              <w:jc w:val="left"/>
              <w:rPr/>
            </w:pPr>
            <w:r>
              <w:rPr/>
              <w:t>​</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73.0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80.3 </w:t>
            </w:r>
          </w:p>
        </w:tc>
        <w:tc>
          <w:tcPr>
            <w:tcW w:w="373" w:type="dxa"/>
            <w:tcBorders/>
            <w:vAlign w:val="center"/>
          </w:tcPr>
          <w:p>
            <w:pPr>
              <w:pStyle w:val="TableContents"/>
              <w:bidi w:val="0"/>
              <w:spacing w:before="0" w:after="1"/>
              <w:ind w:left="0" w:right="0" w:hanging="0"/>
              <w:jc w:val="left"/>
              <w:rPr/>
            </w:pPr>
            <w:r>
              <w:rPr/>
              <w:t>​</w:t>
            </w:r>
          </w:p>
        </w:tc>
      </w:tr>
      <w:tr>
        <w:trPr/>
        <w:tc>
          <w:tcPr>
            <w:tcW w:w="3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13.1 </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22.6 </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24.2 </w:t>
            </w:r>
          </w:p>
        </w:tc>
        <w:tc>
          <w:tcPr>
            <w:tcW w:w="27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27.0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19.7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3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7.2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11.9 </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12.9 </w:t>
            </w:r>
          </w:p>
        </w:tc>
        <w:tc>
          <w:tcPr>
            <w:tcW w:w="27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16.9 </w:t>
            </w:r>
          </w:p>
        </w:tc>
        <w:tc>
          <w:tcPr>
            <w:tcW w:w="27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10.6 </w:t>
            </w:r>
          </w:p>
        </w:tc>
        <w:tc>
          <w:tcPr>
            <w:tcW w:w="373" w:type="dxa"/>
            <w:tcBorders/>
            <w:vAlign w:val="center"/>
          </w:tcPr>
          <w:p>
            <w:pPr>
              <w:pStyle w:val="TableContents"/>
              <w:bidi w:val="0"/>
              <w:spacing w:before="0" w:after="1"/>
              <w:ind w:left="0" w:right="0" w:hanging="0"/>
              <w:jc w:val="left"/>
              <w:rPr/>
            </w:pPr>
            <w:r>
              <w:rPr/>
              <w:t>​</w:t>
            </w:r>
          </w:p>
        </w:tc>
      </w:tr>
      <w:tr>
        <w:trPr/>
        <w:tc>
          <w:tcPr>
            <w:tcW w:w="3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271" w:type="dxa"/>
            <w:tcBorders/>
            <w:shd w:fill="CCEEFF" w:val="clear"/>
            <w:vAlign w:val="center"/>
          </w:tcPr>
          <w:p>
            <w:pPr>
              <w:pStyle w:val="TableContents"/>
              <w:bidi w:val="0"/>
              <w:spacing w:before="0" w:after="1"/>
              <w:ind w:left="0" w:right="0" w:hanging="0"/>
              <w:jc w:val="left"/>
              <w:rPr/>
            </w:pPr>
            <w:r>
              <w:rPr/>
              <w:t>​</w:t>
            </w:r>
          </w:p>
        </w:tc>
        <w:tc>
          <w:tcPr>
            <w:tcW w:w="79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3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26"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5.8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10.7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11.3 </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8.7 </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9.0 </w:t>
            </w:r>
          </w:p>
        </w:tc>
        <w:tc>
          <w:tcPr>
            <w:tcW w:w="3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120" w:after="240"/>
        <w:ind w:left="0" w:right="0" w:hanging="0"/>
        <w:jc w:val="both"/>
        <w:rPr>
          <w:rFonts w:ascii="Times New Roman;Times;serif" w:hAnsi="Times New Roman;Times;serif"/>
          <w:sz w:val="16"/>
          <w:shd w:fill="FFFFFF" w:val="clear"/>
        </w:rPr>
      </w:pPr>
      <w:r>
        <w:rPr>
          <w:rFonts w:ascii="Times New Roman;Times;serif" w:hAnsi="Times New Roman;Times;serif"/>
          <w:sz w:val="16"/>
          <w:shd w:fill="FFFFFF" w:val="clear"/>
        </w:rPr>
        <w:t>Note: Actual percentages are calculated and may not sum to total due to rounding.</w:t>
      </w:r>
    </w:p>
    <w:tbl>
      <w:tblPr>
        <w:tblW w:w="10205" w:type="dxa"/>
        <w:jc w:val="left"/>
        <w:tblInd w:w="0" w:type="dxa"/>
        <w:tblLayout w:type="fixed"/>
        <w:tblCellMar>
          <w:top w:w="0" w:type="dxa"/>
          <w:left w:w="0" w:type="dxa"/>
          <w:bottom w:w="0" w:type="dxa"/>
          <w:right w:w="0" w:type="dxa"/>
        </w:tblCellMar>
      </w:tblPr>
      <w:tblGrid>
        <w:gridCol w:w="3389"/>
        <w:gridCol w:w="326"/>
        <w:gridCol w:w="615"/>
        <w:gridCol w:w="326"/>
        <w:gridCol w:w="871"/>
        <w:gridCol w:w="326"/>
        <w:gridCol w:w="1051"/>
        <w:gridCol w:w="271"/>
        <w:gridCol w:w="791"/>
        <w:gridCol w:w="271"/>
        <w:gridCol w:w="871"/>
        <w:gridCol w:w="109"/>
        <w:gridCol w:w="615"/>
        <w:gridCol w:w="373"/>
      </w:tblGrid>
      <w:tr>
        <w:trPr/>
        <w:tc>
          <w:tcPr>
            <w:tcW w:w="3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52015" cy="175260"/>
                      <wp:effectExtent l="0" t="0" r="0" b="0"/>
                      <wp:wrapNone/>
                      <wp:docPr id="223" name="Frame223"/>
                      <a:graphic xmlns:a="http://schemas.openxmlformats.org/drawingml/2006/main">
                        <a:graphicData uri="http://schemas.microsoft.com/office/word/2010/wordprocessingShape">
                          <wps:wsp>
                            <wps:cNvSpPr txBox="1"/>
                            <wps:spPr>
                              <a:xfrm>
                                <a:off x="0" y="0"/>
                                <a:ext cx="2152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90525" cy="175260"/>
                      <wp:effectExtent l="0" t="0" r="0" b="0"/>
                      <wp:wrapNone/>
                      <wp:docPr id="225" name="Frame225"/>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53085" cy="175260"/>
                      <wp:effectExtent l="0" t="0" r="0" b="0"/>
                      <wp:wrapNone/>
                      <wp:docPr id="227" name="Frame22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67385" cy="175260"/>
                      <wp:effectExtent l="0" t="0" r="0" b="0"/>
                      <wp:wrapNone/>
                      <wp:docPr id="229" name="Frame2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72085" cy="175260"/>
                      <wp:effectExtent l="0" t="0" r="0" b="0"/>
                      <wp:wrapNone/>
                      <wp:docPr id="230" name="Frame23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02285" cy="175260"/>
                      <wp:effectExtent l="0" t="0" r="0" b="0"/>
                      <wp:wrapNone/>
                      <wp:docPr id="231" name="Frame23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2085" cy="175260"/>
                      <wp:effectExtent l="0" t="0" r="0" b="0"/>
                      <wp:wrapNone/>
                      <wp:docPr id="232" name="Frame23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53085" cy="175260"/>
                      <wp:effectExtent l="0" t="0" r="0" b="0"/>
                      <wp:wrapNone/>
                      <wp:docPr id="233" name="Frame23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90525" cy="175260"/>
                      <wp:effectExtent l="0" t="0" r="0" b="0"/>
                      <wp:wrapNone/>
                      <wp:docPr id="235" name="Frame235"/>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36855" cy="175260"/>
                      <wp:effectExtent l="0" t="0" r="0" b="0"/>
                      <wp:wrapNone/>
                      <wp:docPr id="236" name="Frame23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17"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c>
          <w:tcPr>
            <w:tcW w:w="37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center"/>
              <w:rPr/>
            </w:pPr>
            <w:r>
              <w:rPr/>
              <w:t>​</w:t>
            </w:r>
          </w:p>
        </w:tc>
        <w:tc>
          <w:tcPr>
            <w:tcW w:w="373" w:type="dxa"/>
            <w:tcBorders/>
            <w:vAlign w:val="center"/>
          </w:tcPr>
          <w:p>
            <w:pPr>
              <w:pStyle w:val="TableContents"/>
              <w:bidi w:val="0"/>
              <w:spacing w:before="0" w:after="1"/>
              <w:ind w:left="0" w:right="0" w:hanging="0"/>
              <w:jc w:val="left"/>
              <w:rPr/>
            </w:pPr>
            <w:r>
              <w:rPr/>
              <w:t>    </w:t>
            </w:r>
          </w:p>
        </w:tc>
      </w:tr>
      <w:tr>
        <w:trPr/>
        <w:tc>
          <w:tcPr>
            <w:tcW w:w="3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center"/>
              <w:rPr/>
            </w:pPr>
            <w:r>
              <w:rPr/>
              <w:t>​</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71" w:type="dxa"/>
            <w:tcBorders/>
            <w:vAlign w:val="center"/>
          </w:tcPr>
          <w:p>
            <w:pPr>
              <w:pStyle w:val="TableContents"/>
              <w:bidi w:val="0"/>
              <w:spacing w:before="0" w:after="1"/>
              <w:ind w:left="0" w:right="0" w:hanging="0"/>
              <w:jc w:val="center"/>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1"/>
              <w:ind w:left="0" w:right="0" w:hanging="0"/>
              <w:jc w:val="center"/>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73" w:type="dxa"/>
            <w:tcBorders/>
            <w:vAlign w:val="center"/>
          </w:tcPr>
          <w:p>
            <w:pPr>
              <w:pStyle w:val="TableContents"/>
              <w:bidi w:val="0"/>
              <w:spacing w:before="0" w:after="1"/>
              <w:ind w:left="0" w:right="0" w:hanging="0"/>
              <w:jc w:val="center"/>
              <w:rPr/>
            </w:pPr>
            <w:r>
              <w:rPr/>
              <w:t>​</w:t>
            </w:r>
          </w:p>
        </w:tc>
      </w:tr>
      <w:tr>
        <w:trPr/>
        <w:tc>
          <w:tcPr>
            <w:tcW w:w="3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90.6 </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75.5 </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76.9 </w:t>
            </w:r>
          </w:p>
        </w:tc>
        <w:tc>
          <w:tcPr>
            <w:tcW w:w="271" w:type="dxa"/>
            <w:tcBorders/>
            <w:vAlign w:val="center"/>
          </w:tcPr>
          <w:p>
            <w:pPr>
              <w:pStyle w:val="TableContents"/>
              <w:bidi w:val="0"/>
              <w:spacing w:before="0" w:after="1"/>
              <w:ind w:left="0" w:right="0" w:hanging="0"/>
              <w:jc w:val="left"/>
              <w:rPr/>
            </w:pPr>
            <w:r>
              <w:rPr/>
              <w:t>​</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69.6 </w:t>
            </w:r>
          </w:p>
        </w:tc>
        <w:tc>
          <w:tcPr>
            <w:tcW w:w="271" w:type="dxa"/>
            <w:tcBorders/>
            <w:vAlign w:val="center"/>
          </w:tcPr>
          <w:p>
            <w:pPr>
              <w:pStyle w:val="TableContents"/>
              <w:bidi w:val="0"/>
              <w:spacing w:before="0" w:after="1"/>
              <w:ind w:left="0" w:right="0" w:hanging="0"/>
              <w:jc w:val="left"/>
              <w:rPr/>
            </w:pPr>
            <w:r>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81.4 </w:t>
            </w:r>
          </w:p>
        </w:tc>
        <w:tc>
          <w:tcPr>
            <w:tcW w:w="373" w:type="dxa"/>
            <w:tcBorders/>
            <w:vAlign w:val="center"/>
          </w:tcPr>
          <w:p>
            <w:pPr>
              <w:pStyle w:val="TableContents"/>
              <w:bidi w:val="0"/>
              <w:spacing w:before="0" w:after="1"/>
              <w:ind w:left="0" w:right="0" w:hanging="0"/>
              <w:jc w:val="left"/>
              <w:rPr/>
            </w:pPr>
            <w:r>
              <w:rPr/>
              <w:t>​</w:t>
            </w:r>
          </w:p>
        </w:tc>
      </w:tr>
      <w:tr>
        <w:trPr/>
        <w:tc>
          <w:tcPr>
            <w:tcW w:w="3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9.4 </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24.5 </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23.1 </w:t>
            </w:r>
          </w:p>
        </w:tc>
        <w:tc>
          <w:tcPr>
            <w:tcW w:w="27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30.4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18.6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3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5.3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10.5 </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10.4 </w:t>
            </w:r>
          </w:p>
        </w:tc>
        <w:tc>
          <w:tcPr>
            <w:tcW w:w="27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15.5 </w:t>
            </w:r>
          </w:p>
        </w:tc>
        <w:tc>
          <w:tcPr>
            <w:tcW w:w="27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8.6 </w:t>
            </w:r>
          </w:p>
        </w:tc>
        <w:tc>
          <w:tcPr>
            <w:tcW w:w="373" w:type="dxa"/>
            <w:tcBorders/>
            <w:vAlign w:val="center"/>
          </w:tcPr>
          <w:p>
            <w:pPr>
              <w:pStyle w:val="TableContents"/>
              <w:bidi w:val="0"/>
              <w:spacing w:before="0" w:after="1"/>
              <w:ind w:left="0" w:right="0" w:hanging="0"/>
              <w:jc w:val="left"/>
              <w:rPr/>
            </w:pPr>
            <w:r>
              <w:rPr/>
              <w:t>​</w:t>
            </w:r>
          </w:p>
        </w:tc>
      </w:tr>
      <w:tr>
        <w:trPr/>
        <w:tc>
          <w:tcPr>
            <w:tcW w:w="3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79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 </w:t>
            </w:r>
          </w:p>
        </w:tc>
        <w:tc>
          <w:tcPr>
            <w:tcW w:w="271"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3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operations</w:t>
            </w:r>
          </w:p>
        </w:tc>
        <w:tc>
          <w:tcPr>
            <w:tcW w:w="326"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4.1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14.0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12.6 </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13.6 </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9.9 </w:t>
            </w:r>
          </w:p>
        </w:tc>
        <w:tc>
          <w:tcPr>
            <w:tcW w:w="3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120" w:after="0"/>
        <w:ind w:left="0" w:right="0" w:hanging="0"/>
        <w:jc w:val="both"/>
        <w:rPr>
          <w:rFonts w:ascii="Times New Roman;Times;serif" w:hAnsi="Times New Roman;Times;serif"/>
          <w:sz w:val="16"/>
          <w:shd w:fill="FFFFFF" w:val="clear"/>
        </w:rPr>
      </w:pPr>
      <w:r>
        <w:rPr>
          <w:rFonts w:ascii="Times New Roman;Times;serif" w:hAnsi="Times New Roman;Times;serif"/>
          <w:sz w:val="16"/>
          <w:shd w:fill="FFFFFF" w:val="clear"/>
        </w:rPr>
        <w:t>Note: Actual percentages are calculated and may not sum to total due to rounding.</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design, manufacture and market wood and wood-alternative products, primarily used to enhance outdoor living environments, for national home centers and other retailers,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Maximizing unit sales growth while achieving return on investment goals. The following table presents estimates, for the periods indicated, of our percentage change in net sales which were attributable to changes in overall selling prices versus changes in units shipped.</w:t>
            </w:r>
          </w:p>
        </w:tc>
      </w:tr>
    </w:tbl>
    <w:tbl>
      <w:tblPr>
        <w:tblW w:w="9397" w:type="dxa"/>
        <w:jc w:val="left"/>
        <w:tblInd w:w="0" w:type="dxa"/>
        <w:tblLayout w:type="fixed"/>
        <w:tblCellMar>
          <w:top w:w="0" w:type="dxa"/>
          <w:left w:w="0" w:type="dxa"/>
          <w:bottom w:w="0" w:type="dxa"/>
          <w:right w:w="0" w:type="dxa"/>
        </w:tblCellMar>
      </w:tblPr>
      <w:tblGrid>
        <w:gridCol w:w="1561"/>
        <w:gridCol w:w="326"/>
        <w:gridCol w:w="646"/>
        <w:gridCol w:w="361"/>
        <w:gridCol w:w="811"/>
        <w:gridCol w:w="361"/>
        <w:gridCol w:w="661"/>
        <w:gridCol w:w="361"/>
        <w:gridCol w:w="1876"/>
        <w:gridCol w:w="361"/>
        <w:gridCol w:w="1666"/>
        <w:gridCol w:w="40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91235" cy="175260"/>
                      <wp:effectExtent l="0" t="0" r="0" b="0"/>
                      <wp:wrapNone/>
                      <wp:docPr id="237" name="Frame23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10210" cy="175260"/>
                      <wp:effectExtent l="0" t="0" r="0" b="0"/>
                      <wp:wrapNone/>
                      <wp:docPr id="239" name="Frame23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29235" cy="175260"/>
                      <wp:effectExtent l="0" t="0" r="0" b="0"/>
                      <wp:wrapNone/>
                      <wp:docPr id="240" name="Frame2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14985" cy="175260"/>
                      <wp:effectExtent l="0" t="0" r="0" b="0"/>
                      <wp:wrapNone/>
                      <wp:docPr id="241" name="Frame24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9235" cy="175260"/>
                      <wp:effectExtent l="0" t="0" r="0" b="0"/>
                      <wp:wrapNone/>
                      <wp:docPr id="242" name="Frame2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19735" cy="175260"/>
                      <wp:effectExtent l="0" t="0" r="0" b="0"/>
                      <wp:wrapNone/>
                      <wp:docPr id="243" name="Frame24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29235" cy="175260"/>
                      <wp:effectExtent l="0" t="0" r="0" b="0"/>
                      <wp:wrapNone/>
                      <wp:docPr id="244" name="Frame2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191260" cy="175260"/>
                      <wp:effectExtent l="0" t="0" r="0" b="0"/>
                      <wp:wrapNone/>
                      <wp:docPr id="245" name="Frame24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9235" cy="175260"/>
                      <wp:effectExtent l="0" t="0" r="0" b="0"/>
                      <wp:wrapNone/>
                      <wp:docPr id="246" name="Frame2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057910" cy="175260"/>
                      <wp:effectExtent l="0" t="0" r="0" b="0"/>
                      <wp:wrapNone/>
                      <wp:docPr id="247" name="Frame247"/>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7810" cy="175260"/>
                      <wp:effectExtent l="0" t="0" r="0" b="0"/>
                      <wp:wrapNone/>
                      <wp:docPr id="248" name="Frame24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510" w:type="dxa"/>
            <w:gridSpan w:val="10"/>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Sales</w:t>
            </w:r>
          </w:p>
        </w:tc>
        <w:tc>
          <w:tcPr>
            <w:tcW w:w="361" w:type="dxa"/>
            <w:tcBorders/>
            <w:vAlign w:val="center"/>
          </w:tcPr>
          <w:p>
            <w:pPr>
              <w:pStyle w:val="TableContents"/>
              <w:bidi w:val="0"/>
              <w:spacing w:before="0" w:after="1"/>
              <w:ind w:left="0" w:right="0" w:hanging="0"/>
              <w:jc w:val="left"/>
              <w:rPr/>
            </w:pPr>
            <w:r>
              <w:rPr/>
              <w:t>    </w:t>
            </w:r>
          </w:p>
        </w:tc>
        <w:tc>
          <w:tcPr>
            <w:tcW w:w="81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Selling </w:t>
              <w:br/>
              <w:t>Prices</w:t>
            </w:r>
          </w:p>
        </w:tc>
        <w:tc>
          <w:tcPr>
            <w:tcW w:w="361" w:type="dxa"/>
            <w:tcBorders/>
            <w:vAlign w:val="center"/>
          </w:tcPr>
          <w:p>
            <w:pPr>
              <w:pStyle w:val="TableContents"/>
              <w:bidi w:val="0"/>
              <w:spacing w:before="0" w:after="1"/>
              <w:ind w:left="0" w:right="0" w:hanging="0"/>
              <w:jc w:val="left"/>
              <w:rPr/>
            </w:pPr>
            <w:r>
              <w:rPr/>
              <w:t>    </w:t>
            </w:r>
          </w:p>
        </w:tc>
        <w:tc>
          <w:tcPr>
            <w:tcW w:w="66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Units</w:t>
            </w:r>
          </w:p>
        </w:tc>
        <w:tc>
          <w:tcPr>
            <w:tcW w:w="361" w:type="dxa"/>
            <w:tcBorders/>
            <w:vAlign w:val="center"/>
          </w:tcPr>
          <w:p>
            <w:pPr>
              <w:pStyle w:val="TableContents"/>
              <w:bidi w:val="0"/>
              <w:spacing w:before="0" w:after="1"/>
              <w:ind w:left="0" w:right="0" w:hanging="0"/>
              <w:jc w:val="left"/>
              <w:rPr/>
            </w:pPr>
            <w:r>
              <w:rPr/>
              <w:t>    </w:t>
            </w:r>
          </w:p>
        </w:tc>
        <w:tc>
          <w:tcPr>
            <w:tcW w:w="187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Acquisition Unit Change</w:t>
            </w:r>
          </w:p>
        </w:tc>
        <w:tc>
          <w:tcPr>
            <w:tcW w:w="361" w:type="dxa"/>
            <w:tcBorders/>
            <w:vAlign w:val="center"/>
          </w:tcPr>
          <w:p>
            <w:pPr>
              <w:pStyle w:val="TableContents"/>
              <w:bidi w:val="0"/>
              <w:spacing w:before="0" w:after="1"/>
              <w:ind w:left="0" w:right="0" w:hanging="0"/>
              <w:jc w:val="left"/>
              <w:rPr/>
            </w:pPr>
            <w:r>
              <w:rPr/>
              <w:t>    </w:t>
            </w:r>
          </w:p>
        </w:tc>
        <w:tc>
          <w:tcPr>
            <w:tcW w:w="166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Organic Unit Change</w:t>
            </w:r>
          </w:p>
        </w:tc>
        <w:tc>
          <w:tcPr>
            <w:tcW w:w="406" w:type="dxa"/>
            <w:tcBorders/>
            <w:vAlign w:val="center"/>
          </w:tcPr>
          <w:p>
            <w:pPr>
              <w:pStyle w:val="TableContents"/>
              <w:bidi w:val="0"/>
              <w:spacing w:before="0" w:after="1"/>
              <w:ind w:left="0" w:right="0" w:hanging="0"/>
              <w:jc w:val="left"/>
              <w:rPr/>
            </w:pPr>
            <w:r>
              <w:rPr/>
              <w:t>    </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 versus 2022</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2022 versus 2021</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720" w:right="0" w:hanging="0"/>
        <w:jc w:val="both"/>
        <w:rPr/>
      </w:pPr>
      <w:r>
        <w:rPr/>
        <w:t>​</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geographically in our core businesses, domestically and internationally.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sales of "value-added" products and enhancing our product offering with new or improved products. 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following table presents, for the periods indicated, our percentage of value-added and commodity-based sales to total sales by our segments. </w:t>
      </w:r>
    </w:p>
    <w:tbl>
      <w:tblPr>
        <w:tblW w:w="10205" w:type="dxa"/>
        <w:jc w:val="left"/>
        <w:tblInd w:w="0" w:type="dxa"/>
        <w:tblLayout w:type="fixed"/>
        <w:tblCellMar>
          <w:top w:w="0" w:type="dxa"/>
          <w:left w:w="0" w:type="dxa"/>
          <w:bottom w:w="0" w:type="dxa"/>
          <w:right w:w="0" w:type="dxa"/>
        </w:tblCellMar>
      </w:tblPr>
      <w:tblGrid>
        <w:gridCol w:w="1551"/>
        <w:gridCol w:w="426"/>
        <w:gridCol w:w="868"/>
        <w:gridCol w:w="505"/>
        <w:gridCol w:w="541"/>
        <w:gridCol w:w="1191"/>
        <w:gridCol w:w="693"/>
        <w:gridCol w:w="142"/>
        <w:gridCol w:w="868"/>
        <w:gridCol w:w="505"/>
        <w:gridCol w:w="541"/>
        <w:gridCol w:w="1191"/>
        <w:gridCol w:w="693"/>
        <w:gridCol w:w="490"/>
      </w:tblGrid>
      <w:tr>
        <w:trPr/>
        <w:tc>
          <w:tcPr>
            <w:tcW w:w="1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84885" cy="175260"/>
                      <wp:effectExtent l="0" t="0" r="0" b="0"/>
                      <wp:wrapNone/>
                      <wp:docPr id="249" name="Frame249"/>
                      <a:graphic xmlns:a="http://schemas.openxmlformats.org/drawingml/2006/main">
                        <a:graphicData uri="http://schemas.microsoft.com/office/word/2010/wordprocessingShape">
                          <wps:wsp>
                            <wps:cNvSpPr txBox="1"/>
                            <wps:spPr>
                              <a:xfrm>
                                <a:off x="0" y="0"/>
                                <a:ext cx="98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70510" cy="175260"/>
                      <wp:effectExtent l="0" t="0" r="0" b="0"/>
                      <wp:wrapNone/>
                      <wp:docPr id="250" name="Frame250"/>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51180" cy="175260"/>
                      <wp:effectExtent l="0" t="0" r="0" b="0"/>
                      <wp:wrapNone/>
                      <wp:docPr id="251" name="Frame251"/>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20675" cy="175260"/>
                      <wp:effectExtent l="0" t="0" r="0" b="0"/>
                      <wp:wrapNone/>
                      <wp:docPr id="252" name="Frame252"/>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43535" cy="175260"/>
                      <wp:effectExtent l="0" t="0" r="0" b="0"/>
                      <wp:wrapNone/>
                      <wp:docPr id="253" name="Frame25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56285" cy="175260"/>
                      <wp:effectExtent l="0" t="0" r="0" b="0"/>
                      <wp:wrapNone/>
                      <wp:docPr id="254" name="Frame254"/>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40055" cy="175260"/>
                      <wp:effectExtent l="0" t="0" r="0" b="0"/>
                      <wp:wrapNone/>
                      <wp:docPr id="255" name="Frame255"/>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0170" cy="175260"/>
                      <wp:effectExtent l="0" t="0" r="0" b="0"/>
                      <wp:wrapNone/>
                      <wp:docPr id="256" name="Frame256"/>
                      <a:graphic xmlns:a="http://schemas.openxmlformats.org/drawingml/2006/main">
                        <a:graphicData uri="http://schemas.microsoft.com/office/word/2010/wordprocessingShape">
                          <wps:wsp>
                            <wps:cNvSpPr txBox="1"/>
                            <wps:spPr>
                              <a:xfrm>
                                <a:off x="0" y="0"/>
                                <a:ext cx="90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51180" cy="175260"/>
                      <wp:effectExtent l="0" t="0" r="0" b="0"/>
                      <wp:wrapNone/>
                      <wp:docPr id="257" name="Frame257"/>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20675" cy="175260"/>
                      <wp:effectExtent l="0" t="0" r="0" b="0"/>
                      <wp:wrapNone/>
                      <wp:docPr id="258" name="Frame258"/>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43535" cy="175260"/>
                      <wp:effectExtent l="0" t="0" r="0" b="0"/>
                      <wp:wrapNone/>
                      <wp:docPr id="259" name="Frame25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56285" cy="175260"/>
                      <wp:effectExtent l="0" t="0" r="0" b="0"/>
                      <wp:wrapNone/>
                      <wp:docPr id="260" name="Frame260"/>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40055" cy="175260"/>
                      <wp:effectExtent l="0" t="0" r="0" b="0"/>
                      <wp:wrapNone/>
                      <wp:docPr id="261" name="Frame261"/>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11150" cy="175260"/>
                      <wp:effectExtent l="0" t="0" r="0" b="0"/>
                      <wp:wrapNone/>
                      <wp:docPr id="262" name="Frame262"/>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51"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c>
          <w:tcPr>
            <w:tcW w:w="50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pPr>
            <w:r>
              <w:rPr/>
              <w:t>​</w:t>
            </w:r>
          </w:p>
        </w:tc>
        <w:tc>
          <w:tcPr>
            <w:tcW w:w="693" w:type="dxa"/>
            <w:tcBorders/>
            <w:vAlign w:val="center"/>
          </w:tcPr>
          <w:p>
            <w:pPr>
              <w:pStyle w:val="TableContents"/>
              <w:bidi w:val="0"/>
              <w:spacing w:before="0" w:after="1"/>
              <w:ind w:left="0" w:right="0" w:hanging="0"/>
              <w:jc w:val="left"/>
              <w:rPr/>
            </w:pPr>
            <w:r>
              <w:rPr/>
              <w:t>​</w:t>
            </w:r>
          </w:p>
        </w:tc>
        <w:tc>
          <w:tcPr>
            <w:tcW w:w="1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c>
          <w:tcPr>
            <w:tcW w:w="50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pPr>
            <w:r>
              <w:rPr/>
              <w:t>​</w:t>
            </w:r>
          </w:p>
        </w:tc>
        <w:tc>
          <w:tcPr>
            <w:tcW w:w="693"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left"/>
              <w:rPr/>
            </w:pPr>
            <w:r>
              <w:rPr/>
              <w:t>​</w:t>
            </w:r>
          </w:p>
        </w:tc>
      </w:tr>
      <w:tr>
        <w:trPr/>
        <w:tc>
          <w:tcPr>
            <w:tcW w:w="1551"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379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30, 2023</w:t>
            </w:r>
          </w:p>
        </w:tc>
        <w:tc>
          <w:tcPr>
            <w:tcW w:w="142" w:type="dxa"/>
            <w:tcBorders/>
            <w:vAlign w:val="center"/>
          </w:tcPr>
          <w:p>
            <w:pPr>
              <w:pStyle w:val="TableContents"/>
              <w:bidi w:val="0"/>
              <w:spacing w:before="0" w:after="1"/>
              <w:ind w:left="0" w:right="0" w:hanging="0"/>
              <w:jc w:val="left"/>
              <w:rPr/>
            </w:pPr>
            <w:r>
              <w:rPr/>
              <w:t>​</w:t>
            </w:r>
          </w:p>
        </w:tc>
        <w:tc>
          <w:tcPr>
            <w:tcW w:w="379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c>
          <w:tcPr>
            <w:tcW w:w="490" w:type="dxa"/>
            <w:tcBorders/>
            <w:vAlign w:val="center"/>
          </w:tcPr>
          <w:p>
            <w:pPr>
              <w:pStyle w:val="TableContents"/>
              <w:bidi w:val="0"/>
              <w:spacing w:before="0" w:after="1"/>
              <w:ind w:left="0" w:right="0" w:hanging="0"/>
              <w:jc w:val="left"/>
              <w:rPr/>
            </w:pPr>
            <w:r>
              <w:rPr/>
              <w:t>​</w:t>
            </w:r>
          </w:p>
        </w:tc>
      </w:tr>
      <w:tr>
        <w:trPr/>
        <w:tc>
          <w:tcPr>
            <w:tcW w:w="1551"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    </w:t>
            </w:r>
          </w:p>
        </w:tc>
        <w:tc>
          <w:tcPr>
            <w:tcW w:w="137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Value-Added</w:t>
            </w:r>
          </w:p>
        </w:tc>
        <w:tc>
          <w:tcPr>
            <w:tcW w:w="541" w:type="dxa"/>
            <w:tcBorders/>
            <w:vAlign w:val="center"/>
          </w:tcPr>
          <w:p>
            <w:pPr>
              <w:pStyle w:val="TableContents"/>
              <w:bidi w:val="0"/>
              <w:spacing w:before="0" w:after="1"/>
              <w:ind w:left="0" w:right="0" w:hanging="0"/>
              <w:jc w:val="left"/>
              <w:rPr/>
            </w:pPr>
            <w:r>
              <w:rPr/>
              <w:t>    </w:t>
            </w:r>
          </w:p>
        </w:tc>
        <w:tc>
          <w:tcPr>
            <w:tcW w:w="188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Commodity-Based</w:t>
            </w:r>
          </w:p>
        </w:tc>
        <w:tc>
          <w:tcPr>
            <w:tcW w:w="142" w:type="dxa"/>
            <w:tcBorders/>
            <w:vAlign w:val="center"/>
          </w:tcPr>
          <w:p>
            <w:pPr>
              <w:pStyle w:val="TableContents"/>
              <w:bidi w:val="0"/>
              <w:spacing w:before="0" w:after="1"/>
              <w:ind w:left="0" w:right="0" w:hanging="0"/>
              <w:jc w:val="left"/>
              <w:rPr/>
            </w:pPr>
            <w:r>
              <w:rPr/>
              <w:t>​</w:t>
            </w:r>
          </w:p>
        </w:tc>
        <w:tc>
          <w:tcPr>
            <w:tcW w:w="137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Value-Added</w:t>
            </w:r>
          </w:p>
        </w:tc>
        <w:tc>
          <w:tcPr>
            <w:tcW w:w="541" w:type="dxa"/>
            <w:tcBorders/>
            <w:vAlign w:val="center"/>
          </w:tcPr>
          <w:p>
            <w:pPr>
              <w:pStyle w:val="TableContents"/>
              <w:bidi w:val="0"/>
              <w:spacing w:before="0" w:after="1"/>
              <w:ind w:left="0" w:right="0" w:hanging="0"/>
              <w:jc w:val="left"/>
              <w:rPr/>
            </w:pPr>
            <w:r>
              <w:rPr/>
              <w:t>    </w:t>
            </w:r>
          </w:p>
        </w:tc>
        <w:tc>
          <w:tcPr>
            <w:tcW w:w="188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Commodity-Based</w:t>
            </w:r>
          </w:p>
        </w:tc>
        <w:tc>
          <w:tcPr>
            <w:tcW w:w="490" w:type="dxa"/>
            <w:tcBorders/>
            <w:vAlign w:val="center"/>
          </w:tcPr>
          <w:p>
            <w:pPr>
              <w:pStyle w:val="TableContents"/>
              <w:bidi w:val="0"/>
              <w:spacing w:before="0" w:after="1"/>
              <w:ind w:left="0" w:right="0" w:hanging="0"/>
              <w:jc w:val="left"/>
              <w:rPr/>
            </w:pPr>
            <w:r>
              <w:rPr/>
              <w:t>    </w:t>
            </w:r>
          </w:p>
        </w:tc>
      </w:tr>
      <w:tr>
        <w:trPr/>
        <w:tc>
          <w:tcPr>
            <w:tcW w:w="1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426"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1"/>
              <w:ind w:left="0" w:right="0" w:hanging="0"/>
              <w:jc w:val="left"/>
              <w:rPr/>
            </w:pPr>
            <w:r>
              <w:rPr/>
              <w:t>​</w:t>
            </w:r>
          </w:p>
        </w:tc>
      </w:tr>
      <w:tr>
        <w:trPr/>
        <w:tc>
          <w:tcPr>
            <w:tcW w:w="1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426"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vAlign w:val="center"/>
          </w:tcPr>
          <w:p>
            <w:pPr>
              <w:pStyle w:val="TableContents"/>
              <w:bidi w:val="0"/>
              <w:spacing w:before="0" w:after="1"/>
              <w:ind w:left="0" w:right="0" w:hanging="0"/>
              <w:jc w:val="left"/>
              <w:rPr/>
            </w:pPr>
            <w:r>
              <w:rPr/>
              <w:t>​</w:t>
            </w:r>
          </w:p>
        </w:tc>
      </w:tr>
      <w:tr>
        <w:trPr/>
        <w:tc>
          <w:tcPr>
            <w:tcW w:w="1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426"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w:t>
            </w:r>
          </w:p>
        </w:tc>
        <w:tc>
          <w:tcPr>
            <w:tcW w:w="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1"/>
              <w:ind w:left="0" w:right="0" w:hanging="0"/>
              <w:jc w:val="left"/>
              <w:rPr/>
            </w:pPr>
            <w:r>
              <w:rPr/>
              <w:t>​</w:t>
            </w:r>
          </w:p>
        </w:tc>
      </w:tr>
      <w:tr>
        <w:trPr/>
        <w:tc>
          <w:tcPr>
            <w:tcW w:w="1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426"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vAlign w:val="center"/>
          </w:tcPr>
          <w:p>
            <w:pPr>
              <w:pStyle w:val="TableContents"/>
              <w:bidi w:val="0"/>
              <w:spacing w:before="0" w:after="1"/>
              <w:ind w:left="0" w:right="0" w:hanging="0"/>
              <w:jc w:val="left"/>
              <w:rPr/>
            </w:pPr>
            <w:r>
              <w:rPr/>
              <w:t>​</w:t>
            </w:r>
          </w:p>
        </w:tc>
      </w:tr>
      <w:tr>
        <w:trPr/>
        <w:tc>
          <w:tcPr>
            <w:tcW w:w="1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426"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1"/>
              <w:ind w:left="0" w:right="0" w:hanging="0"/>
              <w:jc w:val="left"/>
              <w:rPr/>
            </w:pPr>
            <w:r>
              <w:rPr/>
              <w:t>​</w:t>
            </w:r>
          </w:p>
        </w:tc>
      </w:tr>
      <w:tr>
        <w:trPr/>
        <w:tc>
          <w:tcPr>
            <w:tcW w:w="1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Sales</w:t>
            </w:r>
          </w:p>
        </w:tc>
        <w:tc>
          <w:tcPr>
            <w:tcW w:w="426"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vAlign w:val="center"/>
          </w:tcPr>
          <w:p>
            <w:pPr>
              <w:pStyle w:val="TableContents"/>
              <w:bidi w:val="0"/>
              <w:spacing w:before="0" w:after="1"/>
              <w:ind w:left="0" w:right="0" w:hanging="0"/>
              <w:jc w:val="left"/>
              <w:rPr/>
            </w:pPr>
            <w:r>
              <w:rPr/>
              <w:t>​</w:t>
            </w:r>
          </w:p>
        </w:tc>
      </w:tr>
      <w:tr>
        <w:trPr/>
        <w:tc>
          <w:tcPr>
            <w:tcW w:w="1551"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c>
          <w:tcPr>
            <w:tcW w:w="50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left"/>
              <w:rPr/>
            </w:pPr>
            <w:r>
              <w:rPr/>
              <w:t>​</w:t>
            </w:r>
          </w:p>
        </w:tc>
        <w:tc>
          <w:tcPr>
            <w:tcW w:w="693" w:type="dxa"/>
            <w:tcBorders/>
            <w:vAlign w:val="center"/>
          </w:tcPr>
          <w:p>
            <w:pPr>
              <w:pStyle w:val="TableContents"/>
              <w:bidi w:val="0"/>
              <w:spacing w:before="0" w:after="1"/>
              <w:ind w:left="0" w:right="0" w:hanging="0"/>
              <w:jc w:val="left"/>
              <w:rPr/>
            </w:pPr>
            <w:r>
              <w:rPr/>
              <w:t>​</w:t>
            </w:r>
          </w:p>
        </w:tc>
        <w:tc>
          <w:tcPr>
            <w:tcW w:w="1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c>
          <w:tcPr>
            <w:tcW w:w="50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left"/>
              <w:rPr/>
            </w:pPr>
            <w:r>
              <w:rPr/>
              <w:t>​</w:t>
            </w:r>
          </w:p>
        </w:tc>
        <w:tc>
          <w:tcPr>
            <w:tcW w:w="693"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left"/>
              <w:rPr/>
            </w:pPr>
            <w:r>
              <w:rPr/>
              <w:t>​</w:t>
            </w:r>
          </w:p>
        </w:tc>
      </w:tr>
      <w:tr>
        <w:trPr/>
        <w:tc>
          <w:tcPr>
            <w:tcW w:w="10205" w:type="dxa"/>
            <w:gridSpan w:val="14"/>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Note: Certain prior year product reclassifications and the change in designation of certain products as "value-added" resulted in a change in prior year's sales.</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overall unit sales of value-added products decreased approximately 9% in 2023 compared to 2022. Our unit sales of commodity-based products also decreased approximately 9% compared to 2022.</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new products. We define new products as those that will generate sales of at least $1 million per year within 4 years of launch and are still growing and gaining market penetration. New product sales in 2023 decreased 8% compared to the prior year, primarily due to a decline in lumber prices, which were passed to our customers in our selling prices. Approximately $17.4 million of new product sales for 2022, while still sold, were sunset in 2023 and excluded from the table below because they no longer meet the definition above. Our goal was to achieve annual new product sales of at least $795 million in 2023. For 2024, we have redefined our definition of new products as we focus on more value-added products and services. As a result, we have lowered the forecast for new product sales to $510 million for 2024. On a long-term basis, our goal is for new product sales to comprise at least 10% of our total net sales.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The table below presents new product sales in thousands:</w:t>
      </w:r>
    </w:p>
    <w:tbl>
      <w:tblPr>
        <w:tblW w:w="10205" w:type="dxa"/>
        <w:jc w:val="left"/>
        <w:tblInd w:w="0" w:type="dxa"/>
        <w:tblLayout w:type="fixed"/>
        <w:tblCellMar>
          <w:top w:w="0" w:type="dxa"/>
          <w:left w:w="0" w:type="dxa"/>
          <w:bottom w:w="0" w:type="dxa"/>
          <w:right w:w="0" w:type="dxa"/>
        </w:tblCellMar>
      </w:tblPr>
      <w:tblGrid>
        <w:gridCol w:w="2410"/>
        <w:gridCol w:w="383"/>
        <w:gridCol w:w="272"/>
        <w:gridCol w:w="1014"/>
        <w:gridCol w:w="127"/>
        <w:gridCol w:w="820"/>
        <w:gridCol w:w="477"/>
        <w:gridCol w:w="383"/>
        <w:gridCol w:w="272"/>
        <w:gridCol w:w="1014"/>
        <w:gridCol w:w="127"/>
        <w:gridCol w:w="820"/>
        <w:gridCol w:w="477"/>
        <w:gridCol w:w="383"/>
        <w:gridCol w:w="689"/>
        <w:gridCol w:w="349"/>
        <w:gridCol w:w="188"/>
      </w:tblGrid>
      <w:tr>
        <w:trPr/>
        <w:tc>
          <w:tcPr>
            <w:tcW w:w="2410"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6875" w:type="dxa"/>
            <w:gridSpan w:val="1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New Product Sales by Segment</w:t>
            </w:r>
          </w:p>
        </w:tc>
        <w:tc>
          <w:tcPr>
            <w:tcW w:w="349"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left"/>
              <w:rPr/>
            </w:pPr>
            <w:r>
              <w:rPr/>
              <w:t>​</w:t>
            </w:r>
          </w:p>
        </w:tc>
        <w:tc>
          <w:tcPr>
            <w:tcW w:w="6875" w:type="dxa"/>
            <w:gridSpan w:val="1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9"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127" w:type="dxa"/>
            <w:tcBorders/>
            <w:vAlign w:val="center"/>
          </w:tcPr>
          <w:p>
            <w:pPr>
              <w:pStyle w:val="TableContents"/>
              <w:bidi w:val="0"/>
              <w:spacing w:before="0" w:after="0"/>
              <w:ind w:left="0" w:right="0" w:hanging="0"/>
              <w:jc w:val="center"/>
              <w:rPr/>
            </w:pPr>
            <w:r>
              <w:rPr/>
              <w:t>​</w:t>
            </w:r>
          </w:p>
        </w:tc>
        <w:tc>
          <w:tcPr>
            <w:tcW w:w="12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83" w:type="dxa"/>
            <w:tcBorders/>
            <w:vAlign w:val="center"/>
          </w:tcPr>
          <w:p>
            <w:pPr>
              <w:pStyle w:val="TableContents"/>
              <w:bidi w:val="0"/>
              <w:spacing w:before="0" w:after="0"/>
              <w:ind w:left="0" w:right="0" w:hanging="0"/>
              <w:jc w:val="center"/>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27" w:type="dxa"/>
            <w:tcBorders/>
            <w:vAlign w:val="center"/>
          </w:tcPr>
          <w:p>
            <w:pPr>
              <w:pStyle w:val="TableContents"/>
              <w:bidi w:val="0"/>
              <w:spacing w:before="0" w:after="0"/>
              <w:ind w:left="0" w:right="0" w:hanging="0"/>
              <w:jc w:val="center"/>
              <w:rPr/>
            </w:pPr>
            <w:r>
              <w:rPr/>
              <w:t>​</w:t>
            </w:r>
          </w:p>
        </w:tc>
        <w:tc>
          <w:tcPr>
            <w:tcW w:w="12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83" w:type="dxa"/>
            <w:tcBorders/>
            <w:vAlign w:val="center"/>
          </w:tcPr>
          <w:p>
            <w:pPr>
              <w:pStyle w:val="TableContents"/>
              <w:bidi w:val="0"/>
              <w:spacing w:before="0" w:after="0"/>
              <w:ind w:left="0" w:right="0" w:hanging="0"/>
              <w:jc w:val="center"/>
              <w:rPr/>
            </w:pPr>
            <w:r>
              <w:rPr/>
              <w:t>    </w:t>
            </w:r>
          </w:p>
        </w:tc>
        <w:tc>
          <w:tcPr>
            <w:tcW w:w="10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2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7" w:type="dxa"/>
            <w:tcBorders/>
            <w:vAlign w:val="center"/>
          </w:tcPr>
          <w:p>
            <w:pPr>
              <w:pStyle w:val="TableContents"/>
              <w:bidi w:val="0"/>
              <w:spacing w:before="0" w:after="0"/>
              <w:ind w:left="0" w:right="0" w:hanging="0"/>
              <w:jc w:val="center"/>
              <w:rPr/>
            </w:pPr>
            <w:r>
              <w:rPr/>
              <w:t>​</w:t>
            </w:r>
          </w:p>
        </w:tc>
        <w:tc>
          <w:tcPr>
            <w:tcW w:w="12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83" w:type="dxa"/>
            <w:tcBorders/>
            <w:vAlign w:val="center"/>
          </w:tcPr>
          <w:p>
            <w:pPr>
              <w:pStyle w:val="TableContents"/>
              <w:bidi w:val="0"/>
              <w:spacing w:before="0" w:after="0"/>
              <w:ind w:left="0" w:right="0" w:hanging="0"/>
              <w:jc w:val="center"/>
              <w:rPr/>
            </w:pPr>
            <w:r>
              <w:rPr/>
              <w:t>​</w:t>
            </w:r>
          </w:p>
        </w:tc>
        <w:tc>
          <w:tcPr>
            <w:tcW w:w="12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27" w:type="dxa"/>
            <w:tcBorders/>
            <w:vAlign w:val="center"/>
          </w:tcPr>
          <w:p>
            <w:pPr>
              <w:pStyle w:val="TableContents"/>
              <w:bidi w:val="0"/>
              <w:spacing w:before="0" w:after="0"/>
              <w:ind w:left="0" w:right="0" w:hanging="0"/>
              <w:jc w:val="center"/>
              <w:rPr/>
            </w:pPr>
            <w:r>
              <w:rPr/>
              <w:t>​</w:t>
            </w:r>
          </w:p>
        </w:tc>
        <w:tc>
          <w:tcPr>
            <w:tcW w:w="12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83" w:type="dxa"/>
            <w:tcBorders/>
            <w:vAlign w:val="center"/>
          </w:tcPr>
          <w:p>
            <w:pPr>
              <w:pStyle w:val="TableContents"/>
              <w:bidi w:val="0"/>
              <w:spacing w:before="0" w:after="0"/>
              <w:ind w:left="0" w:right="0" w:hanging="0"/>
              <w:jc w:val="center"/>
              <w:rPr/>
            </w:pPr>
            <w:r>
              <w:rPr/>
              <w:t>​</w:t>
            </w:r>
          </w:p>
        </w:tc>
        <w:tc>
          <w:tcPr>
            <w:tcW w:w="10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w:t>
            </w:r>
          </w:p>
        </w:tc>
        <w:tc>
          <w:tcPr>
            <w:tcW w:w="383"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327,019</w:t>
            </w:r>
          </w:p>
        </w:tc>
        <w:tc>
          <w:tcPr>
            <w:tcW w:w="127" w:type="dxa"/>
            <w:tcBorders/>
            <w:shd w:fill="CCEEFF" w:val="clear"/>
            <w:vAlign w:val="center"/>
          </w:tcPr>
          <w:p>
            <w:pPr>
              <w:pStyle w:val="TableContents"/>
              <w:bidi w:val="0"/>
              <w:spacing w:before="0" w:after="0"/>
              <w:ind w:left="0" w:right="0" w:hanging="0"/>
              <w:jc w:val="righ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338,547</w:t>
            </w:r>
          </w:p>
        </w:tc>
        <w:tc>
          <w:tcPr>
            <w:tcW w:w="127" w:type="dxa"/>
            <w:tcBorders/>
            <w:shd w:fill="CCEEFF" w:val="clear"/>
            <w:vAlign w:val="center"/>
          </w:tcPr>
          <w:p>
            <w:pPr>
              <w:pStyle w:val="TableContents"/>
              <w:bidi w:val="0"/>
              <w:spacing w:before="0" w:after="0"/>
              <w:ind w:left="0" w:right="0" w:hanging="0"/>
              <w:jc w:val="righ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CCEEFF" w:val="clear"/>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Packaging</w:t>
            </w:r>
          </w:p>
        </w:tc>
        <w:tc>
          <w:tcPr>
            <w:tcW w:w="38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277,703</w:t>
            </w:r>
          </w:p>
        </w:tc>
        <w:tc>
          <w:tcPr>
            <w:tcW w:w="127"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277,859</w:t>
            </w:r>
          </w:p>
        </w:tc>
        <w:tc>
          <w:tcPr>
            <w:tcW w:w="127"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83"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109,617</w:t>
            </w:r>
          </w:p>
        </w:tc>
        <w:tc>
          <w:tcPr>
            <w:tcW w:w="127" w:type="dxa"/>
            <w:tcBorders/>
            <w:shd w:fill="CCEEFF" w:val="clear"/>
            <w:vAlign w:val="center"/>
          </w:tcPr>
          <w:p>
            <w:pPr>
              <w:pStyle w:val="TableContents"/>
              <w:bidi w:val="0"/>
              <w:spacing w:before="0" w:after="0"/>
              <w:ind w:left="0" w:right="0" w:hanging="0"/>
              <w:jc w:val="righ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140,176</w:t>
            </w:r>
          </w:p>
        </w:tc>
        <w:tc>
          <w:tcPr>
            <w:tcW w:w="127" w:type="dxa"/>
            <w:tcBorders/>
            <w:shd w:fill="CCEEFF" w:val="clear"/>
            <w:vAlign w:val="center"/>
          </w:tcPr>
          <w:p>
            <w:pPr>
              <w:pStyle w:val="TableContents"/>
              <w:bidi w:val="0"/>
              <w:spacing w:before="0" w:after="0"/>
              <w:ind w:left="0" w:right="0" w:hanging="0"/>
              <w:jc w:val="righ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CCEEFF" w:val="clear"/>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and Corporate</w:t>
            </w:r>
          </w:p>
        </w:tc>
        <w:tc>
          <w:tcPr>
            <w:tcW w:w="383" w:type="dxa"/>
            <w:tcBorders/>
            <w:vAlign w:val="center"/>
          </w:tcPr>
          <w:p>
            <w:pPr>
              <w:pStyle w:val="TableContents"/>
              <w:bidi w:val="0"/>
              <w:spacing w:before="0" w:after="0"/>
              <w:ind w:left="0" w:right="0" w:hanging="0"/>
              <w:jc w:val="left"/>
              <w:rPr/>
            </w:pPr>
            <w:r>
              <w:rPr/>
              <w:t>​</w:t>
            </w:r>
          </w:p>
        </w:tc>
        <w:tc>
          <w:tcPr>
            <w:tcW w:w="272"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127"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vAlign w:val="center"/>
          </w:tcPr>
          <w:p>
            <w:pPr>
              <w:pStyle w:val="TableContents"/>
              <w:bidi w:val="0"/>
              <w:spacing w:before="0" w:after="0"/>
              <w:ind w:left="0" w:right="0" w:hanging="0"/>
              <w:jc w:val="left"/>
              <w:rPr/>
            </w:pPr>
            <w:r>
              <w:rPr/>
              <w:t>​</w:t>
            </w:r>
          </w:p>
        </w:tc>
        <w:tc>
          <w:tcPr>
            <w:tcW w:w="272"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1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w:t>
            </w:r>
          </w:p>
        </w:tc>
        <w:tc>
          <w:tcPr>
            <w:tcW w:w="127"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vAlign w:val="center"/>
          </w:tcPr>
          <w:p>
            <w:pPr>
              <w:pStyle w:val="TableContents"/>
              <w:bidi w:val="0"/>
              <w:spacing w:before="0" w:after="0"/>
              <w:ind w:left="0" w:right="0" w:hanging="0"/>
              <w:jc w:val="left"/>
              <w:rPr/>
            </w:pPr>
            <w:r>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New Product Sales</w:t>
            </w:r>
          </w:p>
        </w:tc>
        <w:tc>
          <w:tcPr>
            <w:tcW w:w="383"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716,147</w:t>
            </w:r>
          </w:p>
        </w:tc>
        <w:tc>
          <w:tcPr>
            <w:tcW w:w="127" w:type="dxa"/>
            <w:tcBorders/>
            <w:shd w:fill="CCEEFF" w:val="clear"/>
            <w:vAlign w:val="center"/>
          </w:tcPr>
          <w:p>
            <w:pPr>
              <w:pStyle w:val="TableContents"/>
              <w:bidi w:val="0"/>
              <w:spacing w:before="0" w:after="0"/>
              <w:ind w:left="0" w:right="0" w:hanging="0"/>
              <w:jc w:val="righ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759,090</w:t>
            </w:r>
          </w:p>
        </w:tc>
        <w:tc>
          <w:tcPr>
            <w:tcW w:w="127" w:type="dxa"/>
            <w:tcBorders/>
            <w:shd w:fill="CCEEFF" w:val="clear"/>
            <w:vAlign w:val="center"/>
          </w:tcPr>
          <w:p>
            <w:pPr>
              <w:pStyle w:val="TableContents"/>
              <w:bidi w:val="0"/>
              <w:spacing w:before="0" w:after="0"/>
              <w:ind w:left="0" w:right="0" w:hanging="0"/>
              <w:jc w:val="righ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CCEEFF" w:val="clear"/>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101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pPr>
            <w:r>
              <w:rPr/>
              <w:t>​</w:t>
            </w:r>
          </w:p>
        </w:tc>
        <w:tc>
          <w:tcPr>
            <w:tcW w:w="477"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101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pPr>
            <w:r>
              <w:rPr/>
              <w:t>​</w:t>
            </w:r>
          </w:p>
        </w:tc>
        <w:tc>
          <w:tcPr>
            <w:tcW w:w="477"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right"/>
              <w:rPr/>
            </w:pPr>
            <w:r>
              <w:rPr/>
              <w:t>​</w:t>
            </w:r>
          </w:p>
        </w:tc>
        <w:tc>
          <w:tcPr>
            <w:tcW w:w="188" w:type="dxa"/>
            <w:tcBorders/>
            <w:vAlign w:val="center"/>
          </w:tcPr>
          <w:p>
            <w:pPr>
              <w:pStyle w:val="TableContents"/>
              <w:bidi w:val="0"/>
              <w:spacing w:before="0" w:after="0"/>
              <w:ind w:left="0" w:right="0" w:hanging="0"/>
              <w:jc w:val="right"/>
              <w:rPr/>
            </w:pPr>
            <w:r>
              <w:rPr/>
              <w:t>​</w:t>
            </w:r>
          </w:p>
        </w:tc>
      </w:tr>
      <w:tr>
        <w:trPr/>
        <w:tc>
          <w:tcPr>
            <w:tcW w:w="10205" w:type="dxa"/>
            <w:gridSpan w:val="17"/>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Certain prior year product reclassifications and the change in designation of certain products as "new" resulted in a change in prior year's sales.</w:t>
            </w:r>
          </w:p>
        </w:tc>
      </w:tr>
    </w:tbl>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Retail Segment:</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Net sales from the Retail segment decreased 21% in 2023 compared to 2022 due to a 15% decrease in selling prices and a 6% decrease in organic unit growth. Our selling prices of variable-priced products declined due to lower lumber prices. The selling prices of these products are indexed to the lumber market at the time they are shipped. Additionally, our unit sales to big box customers, which we believe are more closely correlated with repair and remodel activity, increased nearly 2%, while unit sales to independent retailers, which we believe are more closely correlated to new housing starts, decreased approximately 20%.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profits increased by $33.5 million, or 9.7%, to $378.0 million in 2023 compared to 2022. Our change in gross profits was attributable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profits of our ProWood business unit increased $28.7 million, primarily due to less volatile lumber prices during 2023 compared to severe, adverse volatility in 2022. The products sold by this unit consists primarily of pressure treated lumber sold at a variable price indexed to the lumber market at the time they are shipped.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Deckorator’s business unit increased by approximately $18.2 million due to an increase in overall unit sales, sales of new products, and operational improvements.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improvements above were offset by a $14 million decrease in gross profits of our Edge business unit.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(“SG&amp;A”) expenses increased by approximately $15.8 million, or 8.2%, in 2023 compared to 2022. Accrued bonus expense, which varies with the overall profitability and return on investment of the segment, increased approximately $8.8 million and totaled approximately $45.8 million in 2023. The remaining increase is comprised of many smaller increases spread over several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from operations of the Retail reportable segment increased in 2023 compared to 2022 by $17.7 million, or 11.8%, as a result of the factors mentioned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Packaging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from the Packaging segment decreased 23% in 2023 compared to 2022 due to a 17% decrease in selling prices and an 8% decrease in organic unit sales, partially offset by unit growth from acquisitions of 2%. The decline in prices is due to competitive price pressure as well as lower lumber costs passed to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Gross profits decreased by $171.0 million, or 29.2%, to $415.3 million in 2023 compared to 2022. The decrease in gross profits is primarily due to lower demand resulting in lower unit sales, as well as competitive price pressure, and unfavorable cost variances as a result of fixed manufacturing costs. Acquisitions contributed $8.1 million to gross profit.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(“SG&amp;A”) expenses decreased by approximately $31.5 million, or 12.6%, in 2023 compared to 2022. Accrued bonus expense, which varies with the overall profitability and return on investment of the segment, decreased approximately $28.4 million, and totaled approximately $53.8 million for 2023. Additionally, our bad debt expense decreased by $8.1 million and incentive compensation expense decreased by $8.5 million. These decreases were partially offset by an increase in salaries and wages of $8.7 million, and acquired operations, which contributed approximately $5.6 million to our SG&amp;A.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from operations of the Packaging reportable segment in 2023 decreased by $139.3 million, or 41.6%, compared to 2022 due to the factors discussed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Construction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from the Construction segment decreased 31% in 2023 compared to 2022 due to an 18% decrease in selling prices and a decline in organic unit sales of 13%. Organic unit changes within this segment consisted of decreases of 2% in concrete forming, 12% in site-built housing, 14% in factory-built housing, and 24% in commercial construction. The decline in pricing was due to competitive price pressure as well as the decline in lumber prices, which were passed to our customers.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profits decreased by $202.9 million, or 27.9% to $523.7 million in 2023 compared to 2022. The decrease in our gross profit was comprised of the following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profits in our factory-built housing and site-built construction business unit decreased by $65.6 million and $118.2 million, respectively, due to competitive price pressure as well as lower sales volumes and unfavorable cost variances due to fixed manufacturing costs.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our concrete forming business unit decreased by $17.4 million due to a decline in selling prices.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SG&amp;A expenses decreased by approximately $49.0 million, or 14.9%, in 2023 compared to 2022. Accrued bonus expense, which varies with the overall profitability of the segment and return on investment, decreased approximately $31.0 million compared to last year and totaled approximately $65.0 million for 2023. The remaining decrease was primarily due to decreases in sales incentive compensation of $13.9 million, bad debt expense of $5.3 million, and professional fees of $3.2 million. These decreases were offset by an increase in salaries, wages, and benefits of approximately $3.0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from operations of the Construction reportable segment increased in 2023 compared to 2022 by $154.1 million, or 38.8%, due to the factors mentioned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 Other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All Other reportable segment consists of our International and Ardellis (our insurance captive) segments that are not significant. The decline in sales and earnings from operations is primarily due to our operation in Mexico that exports molding and millwork products to the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corporate segment consists of over (under) allocated costs that are not significant.</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Interest expense in 2023 was similar to 2022 due to consistent amounts of outstanding debt during each period as well as fixed interest rates on these debts. See “Note C of Notes to the Consolidated Financial Statements”.</w:t>
      </w:r>
    </w:p>
    <w:p>
      <w:pPr>
        <w:pStyle w:val="TextBody"/>
        <w:bidi w:val="0"/>
        <w:spacing w:before="0" w:after="220"/>
        <w:ind w:left="0" w:right="0" w:hanging="0"/>
        <w:jc w:val="both"/>
        <w:rPr>
          <w:rFonts w:ascii="Times New Roman;Times;serif" w:hAnsi="Times New Roman;Times;serif"/>
          <w:b/>
          <w:sz w:val="20"/>
        </w:rPr>
      </w:pPr>
      <w:bookmarkStart w:id="319" w:name="_Hlk30845633"/>
      <w:bookmarkEnd w:id="319"/>
      <w:r>
        <w:rPr>
          <w:rFonts w:ascii="Times New Roman;Times;serif" w:hAnsi="Times New Roman;Times;serif"/>
          <w:b/>
          <w:sz w:val="20"/>
        </w:rPr>
        <w:t>INTEREST AND INVESTMENT INCOME</w:t>
      </w:r>
    </w:p>
    <w:p>
      <w:pPr>
        <w:pStyle w:val="TextBody"/>
        <w:bidi w:val="0"/>
        <w:spacing w:before="0" w:after="220"/>
        <w:ind w:left="0" w:right="0" w:hanging="0"/>
        <w:jc w:val="both"/>
        <w:rPr>
          <w:rFonts w:ascii="Times New Roman;Times;serif" w:hAnsi="Times New Roman;Times;serif"/>
          <w:b w:val="false"/>
          <w:sz w:val="20"/>
        </w:rPr>
      </w:pPr>
      <w:r>
        <w:rPr>
          <w:rFonts w:ascii="Times New Roman;Times;serif" w:hAnsi="Times New Roman;Times;serif"/>
          <w:b w:val="false"/>
          <w:sz w:val="20"/>
        </w:rPr>
        <w:t>Interest and investment income increased by $39.2 million in 2023 compared to 2022 due to the increase in cash and the higher interest rate environment.</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Effective tax rates differ from statutory federal income tax rates, primarily due to provisions for state and local income taxes, and permanent tax differences. Our effective tax rate was 23.4% in 2023 compared to 24.6% in 2022. The decrease in our overall effective tax rate was primarily due to an increase in our tax deduction from stock-based compensation accounted for as a permanent difference, and an increase in the research and development tax credit, and a manufacturing exemption which reduced our income tax in one of the states we operate.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COMMITMENTS AND 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significant off-balance sheet commitments. The following table summarizes our contractual obligations as of December 30, 2023 (in thousands).</w:t>
      </w:r>
    </w:p>
    <w:tbl>
      <w:tblPr>
        <w:tblW w:w="10205" w:type="dxa"/>
        <w:jc w:val="left"/>
        <w:tblInd w:w="0" w:type="dxa"/>
        <w:tblLayout w:type="fixed"/>
        <w:tblCellMar>
          <w:top w:w="0" w:type="dxa"/>
          <w:left w:w="0" w:type="dxa"/>
          <w:bottom w:w="0" w:type="dxa"/>
          <w:right w:w="0" w:type="dxa"/>
        </w:tblCellMar>
      </w:tblPr>
      <w:tblGrid>
        <w:gridCol w:w="3720"/>
        <w:gridCol w:w="326"/>
        <w:gridCol w:w="211"/>
        <w:gridCol w:w="781"/>
        <w:gridCol w:w="326"/>
        <w:gridCol w:w="211"/>
        <w:gridCol w:w="676"/>
        <w:gridCol w:w="326"/>
        <w:gridCol w:w="211"/>
        <w:gridCol w:w="676"/>
        <w:gridCol w:w="326"/>
        <w:gridCol w:w="211"/>
        <w:gridCol w:w="781"/>
        <w:gridCol w:w="326"/>
        <w:gridCol w:w="211"/>
        <w:gridCol w:w="886"/>
      </w:tblGrid>
      <w:tr>
        <w:trPr/>
        <w:tc>
          <w:tcPr>
            <w:tcW w:w="3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62200" cy="175260"/>
                      <wp:effectExtent l="0" t="0" r="0" b="0"/>
                      <wp:wrapNone/>
                      <wp:docPr id="263" name="Frame263"/>
                      <a:graphic xmlns:a="http://schemas.openxmlformats.org/drawingml/2006/main">
                        <a:graphicData uri="http://schemas.microsoft.com/office/word/2010/wordprocessingShape">
                          <wps:wsp>
                            <wps:cNvSpPr txBox="1"/>
                            <wps:spPr>
                              <a:xfrm>
                                <a:off x="0" y="0"/>
                                <a:ext cx="2362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5935" cy="175260"/>
                      <wp:effectExtent l="0" t="0" r="0" b="0"/>
                      <wp:wrapNone/>
                      <wp:docPr id="266" name="Frame2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29260" cy="175260"/>
                      <wp:effectExtent l="0" t="0" r="0" b="0"/>
                      <wp:wrapNone/>
                      <wp:docPr id="269"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29260" cy="175260"/>
                      <wp:effectExtent l="0" t="0" r="0" b="0"/>
                      <wp:wrapNone/>
                      <wp:docPr id="272" name="Frame2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95935" cy="175260"/>
                      <wp:effectExtent l="0" t="0" r="0" b="0"/>
                      <wp:wrapNone/>
                      <wp:docPr id="275" name="Frame2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62610" cy="175260"/>
                      <wp:effectExtent l="0" t="0" r="0" b="0"/>
                      <wp:wrapNone/>
                      <wp:docPr id="278" name="Frame2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59"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37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 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 – 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72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and finance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276,434</w:t>
            </w:r>
          </w:p>
        </w:tc>
      </w:tr>
      <w:tr>
        <w:trPr/>
        <w:tc>
          <w:tcPr>
            <w:tcW w:w="3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interest on long-term debt and finance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69,530</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152,536</w:t>
            </w:r>
          </w:p>
        </w:tc>
      </w:tr>
      <w:tr>
        <w:trPr/>
        <w:tc>
          <w:tcPr>
            <w:tcW w:w="3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project purchase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93,566</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592,066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30, 2023, we also had $47.8 million in outstanding letters of credit issued during the normal course of business, as required by some vendor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for the periods indicated, a summary of our cash flow statement (in thousands):</w:t>
      </w:r>
    </w:p>
    <w:tbl>
      <w:tblPr>
        <w:tblW w:w="8363" w:type="dxa"/>
        <w:jc w:val="left"/>
        <w:tblInd w:w="0" w:type="dxa"/>
        <w:tblLayout w:type="fixed"/>
        <w:tblCellMar>
          <w:top w:w="0" w:type="dxa"/>
          <w:left w:w="0" w:type="dxa"/>
          <w:bottom w:w="0" w:type="dxa"/>
          <w:right w:w="0" w:type="dxa"/>
        </w:tblCellMar>
      </w:tblPr>
      <w:tblGrid>
        <w:gridCol w:w="5086"/>
        <w:gridCol w:w="326"/>
        <w:gridCol w:w="211"/>
        <w:gridCol w:w="931"/>
        <w:gridCol w:w="326"/>
        <w:gridCol w:w="211"/>
        <w:gridCol w:w="901"/>
        <w:gridCol w:w="37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229610" cy="175260"/>
                      <wp:effectExtent l="0" t="0" r="0" b="0"/>
                      <wp:wrapNone/>
                      <wp:docPr id="279" name="Frame279"/>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91185" cy="175260"/>
                      <wp:effectExtent l="0" t="0" r="0" b="0"/>
                      <wp:wrapNone/>
                      <wp:docPr id="282" name="Frame2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72135" cy="175260"/>
                      <wp:effectExtent l="0" t="0" r="0" b="0"/>
                      <wp:wrapNone/>
                      <wp:docPr id="285" name="Frame2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35585" cy="175260"/>
                      <wp:effectExtent l="0" t="0" r="0" b="0"/>
                      <wp:wrapNone/>
                      <wp:docPr id="286" name="Frame28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71"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959,890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831,567</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investing activities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(240,164)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(353,936)</w:t>
            </w:r>
          </w:p>
        </w:tc>
        <w:tc>
          <w:tcPr>
            <w:tcW w:w="371" w:type="dxa"/>
            <w:tcBorders/>
            <w:vAlign w:val="center"/>
          </w:tcPr>
          <w:p>
            <w:pPr>
              <w:pStyle w:val="TableContents"/>
              <w:bidi w:val="0"/>
              <w:spacing w:before="0" w:after="0"/>
              <w:ind w:left="0" w:right="0" w:hanging="0"/>
              <w:jc w:val="left"/>
              <w:rPr/>
            </w:pPr>
            <w:r>
              <w:rPr/>
              <w:t> </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(210,210)</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71" w:type="dxa"/>
            <w:tcBorders/>
            <w:vAlign w:val="center"/>
          </w:tcPr>
          <w:p>
            <w:pPr>
              <w:pStyle w:val="TableContents"/>
              <w:bidi w:val="0"/>
              <w:spacing w:before="0" w:after="0"/>
              <w:ind w:left="0" w:right="0" w:hanging="0"/>
              <w:jc w:val="left"/>
              <w:rPr/>
            </w:pPr>
            <w:r>
              <w:rPr/>
              <w:t> </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562,633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268,400</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beginning of year</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559,623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291,223</w:t>
            </w:r>
          </w:p>
        </w:tc>
        <w:tc>
          <w:tcPr>
            <w:tcW w:w="371" w:type="dxa"/>
            <w:tcBorders/>
            <w:vAlign w:val="center"/>
          </w:tcPr>
          <w:p>
            <w:pPr>
              <w:pStyle w:val="TableContents"/>
              <w:bidi w:val="0"/>
              <w:spacing w:before="0" w:after="0"/>
              <w:ind w:left="0" w:right="0" w:hanging="0"/>
              <w:jc w:val="left"/>
              <w:rPr/>
            </w:pPr>
            <w:r>
              <w:rPr/>
              <w:t> </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559,623</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Due to the seasonality of our business and the effects of the Lumber Market, we believe our cash cycle (days of sales outstanding plus days supply of inventory less days payables are outstanding) is a good indicator of our working capital management. As indicated in the table below, our cash cycle decreased slightly to 63 days in 2023 from 64 days in 2022.</w:t>
      </w:r>
    </w:p>
    <w:tbl>
      <w:tblPr>
        <w:tblW w:w="5483" w:type="dxa"/>
        <w:jc w:val="left"/>
        <w:tblInd w:w="0" w:type="dxa"/>
        <w:tblLayout w:type="fixed"/>
        <w:tblCellMar>
          <w:top w:w="0" w:type="dxa"/>
          <w:left w:w="0" w:type="dxa"/>
          <w:bottom w:w="0" w:type="dxa"/>
          <w:right w:w="0" w:type="dxa"/>
        </w:tblCellMar>
      </w:tblPr>
      <w:tblGrid>
        <w:gridCol w:w="2596"/>
        <w:gridCol w:w="326"/>
        <w:gridCol w:w="305"/>
        <w:gridCol w:w="790"/>
        <w:gridCol w:w="326"/>
        <w:gridCol w:w="293"/>
        <w:gridCol w:w="84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48460" cy="175260"/>
                      <wp:effectExtent l="0" t="0" r="0" b="0"/>
                      <wp:wrapNone/>
                      <wp:docPr id="287" name="Frame28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93675" cy="175260"/>
                      <wp:effectExtent l="0" t="0" r="0" b="0"/>
                      <wp:wrapNone/>
                      <wp:docPr id="289" name="Frame28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1650" cy="175260"/>
                      <wp:effectExtent l="0" t="0" r="0" b="0"/>
                      <wp:wrapNone/>
                      <wp:docPr id="290" name="Frame290"/>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86055" cy="175260"/>
                      <wp:effectExtent l="0" t="0" r="0" b="0"/>
                      <wp:wrapNone/>
                      <wp:docPr id="292" name="Frame29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37845" cy="175260"/>
                      <wp:effectExtent l="0" t="0" r="0" b="0"/>
                      <wp:wrapNone/>
                      <wp:docPr id="293" name="Frame29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6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of sales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30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293"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supply of inventory</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Days of payables outstanding</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in cash cycle</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lineRule="auto" w:line="240" w:before="120" w:after="0"/>
        <w:ind w:left="0" w:right="0" w:hanging="0"/>
        <w:jc w:val="both"/>
        <w:rPr>
          <w:rFonts w:ascii="Times New Roman;Times;serif" w:hAnsi="Times New Roman;Times;serif"/>
          <w:sz w:val="16"/>
        </w:rPr>
      </w:pPr>
      <w:r>
        <w:rPr>
          <w:rFonts w:ascii="Times New Roman;Times;serif" w:hAnsi="Times New Roman;Times;serif"/>
          <w:sz w:val="15"/>
        </w:rPr>
        <w:t xml:space="preserve">1 </w:t>
      </w:r>
      <w:r>
        <w:rPr>
          <w:rFonts w:ascii="Times New Roman;Times;serif" w:hAnsi="Times New Roman;Times;serif"/>
          <w:sz w:val="16"/>
        </w:rPr>
        <w:t>We’ve modified our calculation of days of payables outstanding to be based on the cost of goods sold and accounts payable balances in our monthly financial statements. In prior periods, our calculation was based on invoice data. We’ve made this change to simplify the calculation and more easily integrate acquired operations into our financial metrics. The prior year metrics have been restated for the new method which reduced days of payables from a previously reported 20 days to 12 days.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focus on past due account balances with customers, and the percentage of our accounts receivable that are current are 91% in 2023 compared to 87% in 2022, which contributed to the improvement in our days of sales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cash flows from operating activities in 2023 was $960 million, which was comprised of net earnings of $514 million, $158 million of non-cash expenses, and a $288 million decrease in working capital since the end of December 2022. Our cash flows from operations increased by $128 million compared to last year primarily due to a $300 million decrease in our investment in net working capital compared to the prior year period, offset by a decrease in our net earnings and non-cash expenses of $172 million. The elevated decrease in our net working capital this year was due to the drop in lumber prices and a decline in demand in certain markets we serve.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Purchases of property, plant, and equipment of $180 million comprised most of our cash used in investing activities during 2023. Capital spending primarily consists of several projects to expand capacity to manufacture new and value-added products, primarily in our Packaging segment and Deckorators and ProWood business units, achieve efficiencies through automation in all segments, make improvements to a number of facilities, and increase our transportation capacity (tractors, trailers). Cash used for acquisitions during the year totaled $52 million compared to $180 million in 2022. In the current year we made one acquisition, UFP Palets y Embalajes SL. See Notes to Consolidated Financial Statements, Note C, "Business Combinations"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flows used in financing activities primarily consisted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repurchases of common stock of $82 million. We repurchased 974,869 shares of our common stock for the year at an average share price of $84.27.</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during 2023 include first quarter dividends of $16 million ($0.25 per share), second quarter dividends of $15 million ($0.25 per share) third quarter dividends of $19 million ($0.30 per share), and fourth quarter dividends of $18 million ($0.30 per share).</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payments of $6 million.</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noncontrolling interests of $7 million.</w:t>
            </w:r>
          </w:p>
        </w:tc>
      </w:tr>
    </w:tbl>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November 1, 2018, we entered into a five-year, $375 million unsecured revolving credit facility with a syndicate of U.S. banks. On February 28, 2021, this credit agreement was amended to increase the availability from $375 million to $550 million by exercising the accordion feature in the original agreement. On December 6, 2022, a second amendment increased the availability from $550 million to $750 million. The facilities now include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30, 2023, we had $3.7 million outstanding on our $750 million revolving credit facility. The revolving credit facility also supports letters of credit totaling $37.3 million which includes approximately $3.3 million related to industrial development revenue bonds. As a result, we have approximately $709.0 million in remaining availability. We also had approximately $10.5 million of outstanding letters of credit that were issued outside of the revolving credit facility.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CONSIDERATIONS AND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Notes to Consolidated Financial Statements, Note L, “Commitments, Contingencies, and Guarantees”.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we have consistently estimated using primarily a weighted average between income and market valuation approaches. We believe this approach is the most appropriate and accurate method to measure the fair value of our intangible assets. We use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our annual testing date of September 30, 2023, the fair values exceed the carrying values for all reporting units and there were no indicators for impairment. We believe we have sufficient available information, both current and historical, to support our assumptions, judgments and estimates used in the goodwill impairment test.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Performance on construction contracts is reflected in operations using over time accounting, under either the cost to cost or units of delivery methods, depending on the nature of the business at individual operations.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SHORT-TERM DEMAND OUTLOOK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effectively executing our strategies will allow us to achieve long-term goals in the future. However, demand in the markets we serve has contracted, which will impact our results and vary depending on the severity and duration of this cycle. The following factors should be considered when evaluating our future results: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Lumber prices, which impact our cost of goods sold and selling prices, have normalized due to additional capacity added by sawmills and demand falling from peak levels. We anticipate lumber prices will remain in range near current levels, and experience more typical seasonal trends, until there is a substantial change in the balance of supply and demand.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segment sales accounted for 40% of our net sales in 2023. When evaluating future demand for the segment, we analyze data such as the same-store sales growth of national home improvement retailers and forecasts of home remodeling activity. Based on this data, we currently anticipate market demand to be flat to slightly down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Packaging segment sales accounted for 26% of our net sales in 2023. When evaluating future demand, we consider a number of metrics, including the Purchasing Managers Index (PMI), durable goods manufacturing, and U.S. real GDP. We currently believe overall demand in the markets we serve to be slightly up to slightly down in 2024.</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segment sales accounted for 30% of our net sales in 2023.</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site-built business unit accounted for approximately 14% of our net sales in 2023. Approximately one-third of site-built customers are multifamily builders. The Mortgage Bankers Association of America forecasts a 1% decrease in national housing starts to an estimated 1.42 million starts in 2024 and the National Association of Home Builders forecasts starts of 1.34 million, a 6% decrease from 2023.</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factory-built business unit accounted for 10% of our net sales in 2023. When evaluating future demand, we analyze data from production and shipments of manufactured housing. The National Association of Home Builders and John Burns Real Estate Consulting forecast the manufactured home shipments in 2024 to be flat to slightly 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concrete forming business units accounted for approximately 6% of our net sales in 2023. When evaluating future demand, we analyze data from non-residential construction spending. We anticipate overall demand in this business unit to be flat to slightly up in 2024.</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LONG-TERM OUTLOOK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long-term financial goals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our annual unit sales by 7 to 10 percent. We anticipate smaller tuck-in acquisitions will contribute toward this goal;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and sustaining a 12.5 percent EBITDA margin by continuing to enhance our capabilities and grow our portfolio and sales of value-added products and by achieving operating improvements;</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 an incremental return on new investment over our cost of capital; and</w:t>
            </w:r>
          </w:p>
        </w:tc>
      </w:tr>
    </w:tbl>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conservative capital structure.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RETAIL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Home Improvement Research Institute (“HIRI”) anticipates growth in home improvement spending and has forecasted 2.4% growth in 2025 and 3.0% annual growth through 2027. We continue to compete for market share for certain retail customers and face intense pricing pressure from other suppliers to this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long-term goal is to achieve sales growth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market share of value-added products, including our Deckorators and Edge product lines. Continued investment in capacity for Deckorators and Edge is expected to contribute to this increase.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new products and increasing our emphasis on product innovation and product differentiation in order to counter commoditization trends and influences.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Acquiring businesses in core product categories when those opportunities exist.</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products and customers through strategic business acquisitions or alliances.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PACKAGING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goal is to increase our sales of wood, wood alternative, and protective packaging products to a wide variety of packaging customers and manufactured wood components for OEM users. We believe the vast amount of hardwood and softwood lumber consumed for packaging applications, combined with the highly fragmented nature of this market, provides us with market share growth opportunities as a result of our competitive advantages in manufacturing, purchasing, and material utilization.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purchasers of packaging products with a wide geographic footprint increasingly desire to reduce the number of suppliers they buy from, which provides an opportunity to gain market share due to our international presence. We plan to continue to obtain market share by expanding our manufacturing capacity, enhancing our capabilities and product offerings to enhance the solutions we offer our customers, and improving our ability to serve large regional and international customers in targeted markets.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pursue acquisition opportunities that meet our strategic criteria and help us meet these objectives. The recently implemented reorganization of our business to market-based segments is intended to promote higher rates of sales growth through the introduction of new products, including protective and other packaging materials, and enhanced expertise in this market as well as improved earnings through more efficient use of our people, resources and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 indicators that should be considered when evaluating future demand for our products in the packaging segment include industrial production, the Purchasing Managers Index, and U.S. GDP growth.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CONSTRUCTION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National Association of Home Builders forecasts a 3% increase in manufactured home shipments from 2023 to 2024 and a 4% compounded annual growth rate through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Mortgage Bankers Association of America forecasts national housing starts of 1.42 million in 2024 and 1.47 million in 2025. The National Association of Home Builders forecasts starts of 1.34 million in 2024 and 1.42 million in 2025. The consensus estimate of all housing starts is 1.4 million in 2024, 1.47 million in 2025, and 1.5 million is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Non-residential construction spending is a market indicator that should be considered when evaluating future demand for our products in our Commercial and Concrete Forming business units within our Construction segment.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the following factors are likely to impact our gross profits and margins in the future: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market demand and our ability to grow and leverage fixed costs and price our products based on the value we offer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 </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mix of value-added and commodity products and our ability to sell new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relative level of the Lumber Market and trends in the market price of lumber. (See "Impact of the Lumber Market on our Operating Results.")</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and transportation costs.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labor and benefit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achieve productivity improvements as our unit sales increase and planned cost reductions through continuous improvement activities, automation, and other initiatives.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corporate income tax rates and the cost of complying with new or increased government regulations.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recent years, selling, general and administrative (SG&amp;A) expenses have increased due to acquisitions and added personnel hired to take advantage of growth opportunities and execute our initiatives intended to increase our sales of new products and improve our sales mix of value-added products. We anticipate our trend of increases in these costs will continue; however, our objective is to reduce these costs on a per unit basis and as a percentage of gross profits as we grow through the improved productivity of our people and as a result of fixed costs. In addition, bonus and other incentive expenses is based on our profitability and the effective management of our assets and will continue to fluctuate based on our results. See Note H — Common Stock for discussion of future compensation costs related to long-term share-based bonus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 long-term basis, we expect that our SG&amp;A expenses will primarily be impacted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in sales to the packaging and the construction segments. Our sales to these segments require a higher ratio of SG&amp;A costs due, in part, to product design and engineering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new products and value-added, branded products to the retail segment, which generally require higher product development, marketing, advertising, and other selling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incentive compensation programs which are tied to gross profits, pre-bonus earnings from operations and threshold levels of return on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success in achieving continuous improvement objectives designed to improve our productivity and leverage our fixed costs as we grow.</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cash cycle will continue to be impacted in the future by our mix of sales by segment. Sales from our Construction and Packaging segments require a greater investment in receivables than sales to our Retail segment, while our Retail segment generally requires a greater investment in inventory. Also, our net investment in trade receivables, inventory, and accounts payable will continue to be impacted by the level of lumber prices.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we expect to spend approximately $250 million to $300 million on capital expenditures, incur depreciation of approximately $110 million, and incur amortization and other non-cash expenses of approximately $45 million in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30, 2023, we had outstanding purchase commitments on capital projects of approximately $93.6 million. We intend to fund capital expenditures and purchase commitments through our operating cash flows and availability under our revolving credit facility which is considered sufficient to meet these commitments and working capital needs.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dividend rates are reviewed and approved at each of our February, April, July, and October board meetings and payments are made in March, June, September, and December of each year. On February 1, 2024, our board approved a quarterly cash dividend of $0.33 per share, which represents a 10% increase from December 2023. This dividend will be payable on March 15, 2024, to shareholders of record on March 1, 2024. Our board considers our dividend yield, payout ratios relative to earnings and operating cash flow, and potential variability of future results, among other factors, as part of its decision-making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share repurchase program approved by our Board of Directors, and on July 26, 2023, our board authorized the repurchase of up to $200 million worth of shares of outstanding stock through July 31, 2024. This share authorization supersedes and replaces our prior share repurchase authorizations. We currently have remaining authorization to repurchase up to $173 million through July 31, 2024. In the past, we have repurchased shares in order to offset the effect of issuances resulting from our employee benefit plans and at opportune times when our stock price falls to predetermined levels.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sz w:val="20"/>
        </w:rPr>
      </w:pPr>
      <w:bookmarkStart w:id="320" w:name="IndependentAuditorReport1"/>
      <w:bookmarkStart w:id="321" w:name="_e6c55e5b_4b9f_4025_a9b4_9945c1b4b24c"/>
      <w:bookmarkEnd w:id="320"/>
      <w:bookmarkEnd w:id="321"/>
      <w:r>
        <w:rPr>
          <w:rFonts w:ascii="Times New Roman;Times;serif" w:hAnsi="Times New Roman;Times;serif"/>
          <w:b/>
          <w:sz w:val="20"/>
        </w:rPr>
        <w:t>REPORT OF INDEPENDENT REGISTERED PUBLIC ACCOUNTING FIRM</w:t>
      </w:r>
      <w:r>
        <w:rPr>
          <w:rFonts w:ascii="Times New Roman;Times;serif" w:hAnsi="Times New Roman;Times;serif"/>
          <w:sz w:val="20"/>
        </w:rPr>
        <w:t xml:space="preserve"> </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UFP Industries, Inc.</w:t>
      </w:r>
    </w:p>
    <w:p>
      <w:pPr>
        <w:pStyle w:val="TextBody"/>
        <w:bidi w:val="0"/>
        <w:spacing w:before="180" w:after="18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We have audited the internal control over financial reporting of UFP Industries, Inc. and subsidiaries (the “Company”) as of December 30,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30, 2023, based on criteria established in Internal Control — Integrated Framework (2013) issued by COSO.</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30, 2023, of the Company and our report dated February 28, 2024, expressed an unqualified opinion on those financial statements.</w:t>
      </w:r>
    </w:p>
    <w:p>
      <w:pPr>
        <w:pStyle w:val="TextBody"/>
        <w:bidi w:val="0"/>
        <w:spacing w:before="180" w:after="180"/>
        <w:ind w:left="0" w:right="0" w:hanging="0"/>
        <w:jc w:val="both"/>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180" w:after="18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Rapids, Michigan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February 28, 2024</w:t>
      </w:r>
    </w:p>
    <w:p>
      <w:pPr>
        <w:pStyle w:val="TextBody"/>
        <w:bidi w:val="0"/>
        <w:spacing w:before="0" w:after="180"/>
        <w:ind w:left="0" w:right="0" w:hanging="0"/>
        <w:jc w:val="left"/>
        <w:rPr/>
      </w:pPr>
      <w:bookmarkStart w:id="322" w:name="_50850a4f_891a_4b6a_91dc_498d611c1da2"/>
      <w:bookmarkEnd w:id="322"/>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sz w:val="20"/>
        </w:rPr>
      </w:pPr>
      <w:bookmarkStart w:id="323" w:name="IndependentAuditorReport2"/>
      <w:bookmarkEnd w:id="323"/>
      <w:r>
        <w:rPr>
          <w:rFonts w:ascii="Times New Roman;Times;serif" w:hAnsi="Times New Roman;Times;serif"/>
          <w:b/>
          <w:sz w:val="20"/>
        </w:rPr>
        <w:t>REPORT OF INDEPENDENT REGISTERED PUBLIC ACCOUNTING FIRM</w:t>
      </w:r>
      <w:r>
        <w:rPr>
          <w:rFonts w:ascii="Times New Roman;Times;serif" w:hAnsi="Times New Roman;Times;serif"/>
          <w:sz w:val="20"/>
        </w:rPr>
        <w:t xml:space="preserve"> </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UFP Industries, Inc.</w:t>
      </w:r>
    </w:p>
    <w:p>
      <w:pPr>
        <w:pStyle w:val="TextBody"/>
        <w:bidi w:val="0"/>
        <w:spacing w:before="180" w:after="18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UFP Industries, Inc. and subsidiaries (the "Company") as of December 30, 2023 and December 31, 2022, the related consolidated statements of earnings and comprehensive income, shareholders' equity, and cash flows, for each of the three years in the period ended December 30, 2023, and the related notes (collectively referred to as the "financial statements"). In our opinion, the financial statements present fairly, in all material respects, the financial position of the Company as of December 30, 2023 and December 31, 2022, and the results of its operations and its cash flows for each of the three years in the period ended December 30, 2023, in conformity with accounting principles generally accepted in the United States of America.</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Company's internal control over financial reporting as of December 30, 2023, based on criteria established in Internal Control — Integrated Framework (2013) issued by the Committee of Sponsoring Organizations of the Treadway Commission and our report dated February 28, 2024, expressed an unqualified opinion on the Company's internal control over financial reporting.</w:t>
      </w:r>
    </w:p>
    <w:p>
      <w:pPr>
        <w:pStyle w:val="TextBody"/>
        <w:bidi w:val="0"/>
        <w:spacing w:before="180" w:after="18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80"/>
        <w:ind w:left="0" w:right="0" w:hanging="0"/>
        <w:jc w:val="both"/>
        <w:rPr>
          <w:rFonts w:ascii="Times New Roman;Times;serif" w:hAnsi="Times New Roman;Times;serif"/>
          <w:b/>
          <w:sz w:val="20"/>
        </w:rPr>
      </w:pPr>
      <w:bookmarkStart w:id="324" w:name="_Hlk96522857"/>
      <w:bookmarkEnd w:id="324"/>
      <w:r>
        <w:rPr>
          <w:rFonts w:ascii="Times New Roman;Times;serif" w:hAnsi="Times New Roman;Times;serif"/>
          <w:b/>
          <w:sz w:val="20"/>
        </w:rPr>
        <w:t>Critical Audit Matter</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Accounting for Variable Interest Entities - Refer to Note C, Business Combinations, to the financial statements.</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Critical Audit Matter Description</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The Company periodically purchases a partial ownership interest in other entities. The agreements related to such purchases can be complex, requiring management to evaluate whether the entities should be consolidated or accounted for under the equity method. In addition, management must also evaluate whether the acquired interest in the entity represents a variable interest entity (“VIE”) and if so, whether the Company is the primary beneficiary. This assessment requires judgment by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We identified the Company’s assessment of consolidation or equity method accounting related to its acquisition of a partial ownership interest in UFP Palets, as well as the VIE primary beneficiary assessment, as a critical audit matter given the judgment required by management. This required a higher degree of auditor judgment and an increased extent of audit effort due to the complexity of the entity structure and the related acquisition agreement.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How the Critical Audit Matter Was Addressed in the Audit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Our audit procedures related to the determination of equity method or consolidation accounting, inclusive of VIE primary beneficiary assessment, included the following, among others:</w:t>
      </w:r>
    </w:p>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effectiveness of the controls over the accounting assessment of the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appropriateness of the Company’s accounting conclusion related to consolidation or equity method accounting for a partial ownership interest entity by reading the acquisition agreement and other related documents.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evaluated the terms of the agreement to determine if the acquired ownership interest should be classified as a VIE. If an entity was determined to be a VIE, we considered whether the Company appropriately determined the primary beneficiary by evaluating the contractual arrangements of the entity to determine if the Company has the power to direct activities, and if the Company has the obligation to absorb losses of the entity or the right to receive benefits from the entity that could be significant to the VIE.</w:t>
            </w:r>
            <w:r>
              <w:rPr>
                <w:caps w:val="false"/>
                <w:smallCaps w:val="false"/>
              </w:rPr>
              <w:t xml:space="preserve"> </w:t>
            </w:r>
          </w:p>
        </w:tc>
      </w:tr>
    </w:tbl>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Rapids, Michigan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have served as the Company's auditor since 2014.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5" w:name="_748bdd2f_be17_4419_a0ff_f0e0a3c660aa"/>
      <w:bookmarkEnd w:id="325"/>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bookmarkStart w:id="326" w:name="ConsolidatedBS"/>
      <w:bookmarkStart w:id="327" w:name="BALANCESHEETS_113836"/>
      <w:bookmarkStart w:id="328" w:name="_CONSOLIDATED_BALANCE_SHEETS"/>
      <w:bookmarkEnd w:id="326"/>
      <w:bookmarkEnd w:id="327"/>
      <w:bookmarkEnd w:id="328"/>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329" w:name="Tc_Yx5CYfTv6U6BB-5mMGFudQ_54_6"/>
      <w:bookmarkStart w:id="330" w:name="Tc_3Wa278R7OEuMCV3DsElTGQ_54_3"/>
      <w:bookmarkStart w:id="331" w:name="Tc_pu_gfo_1JkKidf2hvUHJ_g_54_0"/>
      <w:bookmarkStart w:id="332" w:name="Tc_vo2nmQftIEKVx5uOFGadHg_53_0"/>
      <w:bookmarkStart w:id="333" w:name="Tc_uYTkq53dLkKm5oZg6_rzwA_52_0"/>
      <w:bookmarkStart w:id="334" w:name="Tc_Z09pc-g39EmF3A9UgpUwuA_51_0"/>
      <w:bookmarkStart w:id="335" w:name="Tc_J3CLoT0O_E-_0b6fujnusw_50_0"/>
      <w:bookmarkStart w:id="336" w:name="Tc_khHcNKyZW0mjw5lHAMIaJQ_49_0"/>
      <w:bookmarkStart w:id="337" w:name="Tc_V6c1GqwwPEWLoHdWxxe8pg_48_0"/>
      <w:bookmarkStart w:id="338" w:name="Tc_vApBa2DamU6mmIcu1-rYXg_47_0"/>
      <w:bookmarkStart w:id="339" w:name="Tc_q3EVqab5lEOgSgV2lVkcKw_46_6"/>
      <w:bookmarkStart w:id="340" w:name="Tc_ly1pYm_OdkWJxIL7hFW8eg_46_3"/>
      <w:bookmarkStart w:id="341" w:name="Tc__yH_JxxqyE-RurApSdWFgg_46_0"/>
      <w:bookmarkStart w:id="342" w:name="Tc_sRdQOMHxnEuDYusBCaChBg_45_0"/>
      <w:bookmarkStart w:id="343" w:name="Tc_buK32oyqJE-vqodm0Gj19w_44_0"/>
      <w:bookmarkStart w:id="344" w:name="Tc_1pop9aylzECwWByKjlA23Q_43_0"/>
      <w:bookmarkStart w:id="345" w:name="Tc_c40TD9CvaECnmTyLD4FcZQ_42_0"/>
      <w:bookmarkStart w:id="346" w:name="Tc_tkjd3ffChkigaohH0pn7PA_41_0"/>
      <w:bookmarkStart w:id="347" w:name="Tc_w8nbwXl5tU6GVa42IjiZJQ_40_0"/>
      <w:bookmarkStart w:id="348" w:name="Tc_8dIPOpUmn06wrMD6JNs3nA_39_0"/>
      <w:bookmarkStart w:id="349" w:name="Tc_Zp_37-T_2kGCK7INLQj1OA_38_0"/>
      <w:bookmarkStart w:id="350" w:name="Tc_a2yfPuZstkW4qsgdWtJC8w_37_0"/>
      <w:bookmarkStart w:id="351" w:name="Tc_TgIYdpie-E6nsXQRHfh1NA_36_0"/>
      <w:bookmarkStart w:id="352" w:name="Tc_lRaaxJ-ijkmIyDvK_XIaTQ_35_0"/>
      <w:bookmarkStart w:id="353" w:name="Tc_EFmqFJ4HekyvWNjn4QQXMg_34_0"/>
      <w:bookmarkStart w:id="354" w:name="Tc_XWwvIVpHQk2nuerFOBlaYw_33_0"/>
      <w:bookmarkStart w:id="355" w:name="Tc_lVZuLw4gY06YQHdxQIkcGg_32_0"/>
      <w:bookmarkStart w:id="356" w:name="Tc_0273jI0D4UiGJraFb4A2zw_31_0"/>
      <w:bookmarkStart w:id="357" w:name="Tc_Zx79ttB31UWD_PbmwwpLEA_30_6"/>
      <w:bookmarkStart w:id="358" w:name="Tc_WLemFQehZkewET1Uta3flw_30_3"/>
      <w:bookmarkStart w:id="359" w:name="Tc_XaW4bwe8sEmxEmL5r6g2gA_30_0"/>
      <w:bookmarkStart w:id="360" w:name="Tc_akDO1k3KwUeGAkmwwrva5w_29_0"/>
      <w:bookmarkStart w:id="361" w:name="Tc_vVTPGKiAeUOfciQeVCvqAw_28_0"/>
      <w:bookmarkStart w:id="362" w:name="Tc_QGKduaTn0UugWNy3GmubZA_27_6"/>
      <w:bookmarkStart w:id="363" w:name="Tc_mekOwouVS0aGeLG2Eqq79g_27_3"/>
      <w:bookmarkStart w:id="364" w:name="Tc_nHb2uA4KOEmJE6dagUuWTQ_27_0"/>
      <w:bookmarkStart w:id="365" w:name="Tc_4ACzBsFL50CbwQ-jwp_9Ow_26_0"/>
      <w:bookmarkStart w:id="366" w:name="Tc_LLgd8fDfTEyMqceZoYUOpA_25_0"/>
      <w:bookmarkStart w:id="367" w:name="Tc_s1nQ_-v_y0OdSbKGjVAQYg_24_0"/>
      <w:bookmarkStart w:id="368" w:name="Tc_XfnQsUx0VEiYHtPHyPA76A_23_0"/>
      <w:bookmarkStart w:id="369" w:name="Tc_8kZmmPQc9E6YRWX893aZsw_22_0"/>
      <w:bookmarkStart w:id="370" w:name="Tc_P7oDN5b1_UGrJbgPGt6iUw_21_0"/>
      <w:bookmarkStart w:id="371" w:name="Tc_eekVmiq9J0WbNVPFdDOIsw_20_0"/>
      <w:bookmarkStart w:id="372" w:name="Tc_m1dkuC2UtEe4UWkCcOzohw_19_0"/>
      <w:bookmarkStart w:id="373" w:name="Tc_wNMsFIolYkCy_Ig9HsPO9A_18_0"/>
      <w:bookmarkStart w:id="374" w:name="Tc_dg1C9-0gs0WgiLgnDLbLGw_17_0"/>
      <w:bookmarkStart w:id="375" w:name="Tc_lw1sGKRIgUq-xvRmyTkzVw_16_0"/>
      <w:bookmarkStart w:id="376" w:name="Tc_dJ1DFuZzwku-JddcmLO2VQ_15_0"/>
      <w:bookmarkStart w:id="377" w:name="Tc_AmjNkC0pF0Woy3Y4LrxkVg_14_0"/>
      <w:bookmarkStart w:id="378" w:name="Tc_qBwynTPWG0ChBJwxvAl_yQ_13_0"/>
      <w:bookmarkStart w:id="379" w:name="Tc_QpACrtVOXUuDSIXb5Qv2vQ_12_0"/>
      <w:bookmarkStart w:id="380" w:name="Tc_TzVrsxvTcEm2KApBJsPCKA_11_0"/>
      <w:bookmarkStart w:id="381" w:name="Tc_R9Nm4lEDp0mjvwFQlR6IYg_10_0"/>
      <w:bookmarkStart w:id="382" w:name="Tc_rjmVCRRRFEu-ECT5Mw7dgw_9_0"/>
      <w:bookmarkStart w:id="383" w:name="Tc_pMAVx5aWeU-DmOGxh4Nwpw_8_0"/>
      <w:bookmarkStart w:id="384" w:name="Tc_rDDcKOQ4G0GO-9JRwEYl7g_7_0"/>
      <w:bookmarkStart w:id="385" w:name="Tc_40ENlFWc0kixy-Qvcrm9qA_6_0"/>
      <w:bookmarkStart w:id="386" w:name="Tc_1RlE28Zp_0KN-woAGuWuLw_5_6"/>
      <w:bookmarkStart w:id="387" w:name="Tc_7a1Mx3AFrkOMRqETVzCu3A_5_3"/>
      <w:bookmarkStart w:id="388" w:name="Tc_sl-SMq6TM0-rBCxWRvca0w_5_0"/>
      <w:bookmarkStart w:id="389" w:name="Tc_Y7KeVlPhkk-elDKUhM5WIA_4_0"/>
      <w:bookmarkStart w:id="390" w:name="Tc_xXND8tR3ZkaaeAVc2-J2YA_3_0"/>
      <w:bookmarkStart w:id="391" w:name="Tc_YjKb5434MUiyIkeONbekSA_2_6"/>
      <w:bookmarkStart w:id="392" w:name="Tc_u8_OIZ76IEOOPtJUPLeY_g_2_3"/>
      <w:bookmarkStart w:id="393" w:name="Tc_hPTqEjpKBUGeW5YH284ATQ_1_6"/>
      <w:bookmarkStart w:id="394" w:name="Tc_EORe0_pUdU6q_sCD6anxkA_1_3"/>
      <w:bookmarkStart w:id="395" w:name="Tc_suOzS_UiwUqes1NUJiqHIA_1_0"/>
      <w:bookmarkStart w:id="396" w:name="_60f88701_7dac_4f89_8c91_9fc04a0aad44"/>
      <w:bookmarkStart w:id="397" w:name="Tc_Yx5CYfTv6U6BB-5mMGFudQ_54_6"/>
      <w:bookmarkStart w:id="398" w:name="Tc_3Wa278R7OEuMCV3DsElTGQ_54_3"/>
      <w:bookmarkStart w:id="399" w:name="Tc_pu_gfo_1JkKidf2hvUHJ_g_54_0"/>
      <w:bookmarkStart w:id="400" w:name="Tc_vo2nmQftIEKVx5uOFGadHg_53_0"/>
      <w:bookmarkStart w:id="401" w:name="Tc_uYTkq53dLkKm5oZg6_rzwA_52_0"/>
      <w:bookmarkStart w:id="402" w:name="Tc_Z09pc-g39EmF3A9UgpUwuA_51_0"/>
      <w:bookmarkStart w:id="403" w:name="Tc_J3CLoT0O_E-_0b6fujnusw_50_0"/>
      <w:bookmarkStart w:id="404" w:name="Tc_khHcNKyZW0mjw5lHAMIaJQ_49_0"/>
      <w:bookmarkStart w:id="405" w:name="Tc_V6c1GqwwPEWLoHdWxxe8pg_48_0"/>
      <w:bookmarkStart w:id="406" w:name="Tc_vApBa2DamU6mmIcu1-rYXg_47_0"/>
      <w:bookmarkStart w:id="407" w:name="Tc_q3EVqab5lEOgSgV2lVkcKw_46_6"/>
      <w:bookmarkStart w:id="408" w:name="Tc_ly1pYm_OdkWJxIL7hFW8eg_46_3"/>
      <w:bookmarkStart w:id="409" w:name="Tc__yH_JxxqyE-RurApSdWFgg_46_0"/>
      <w:bookmarkStart w:id="410" w:name="Tc_sRdQOMHxnEuDYusBCaChBg_45_0"/>
      <w:bookmarkStart w:id="411" w:name="Tc_buK32oyqJE-vqodm0Gj19w_44_0"/>
      <w:bookmarkStart w:id="412" w:name="Tc_1pop9aylzECwWByKjlA23Q_43_0"/>
      <w:bookmarkStart w:id="413" w:name="Tc_c40TD9CvaECnmTyLD4FcZQ_42_0"/>
      <w:bookmarkStart w:id="414" w:name="Tc_tkjd3ffChkigaohH0pn7PA_41_0"/>
      <w:bookmarkStart w:id="415" w:name="Tc_w8nbwXl5tU6GVa42IjiZJQ_40_0"/>
      <w:bookmarkStart w:id="416" w:name="Tc_8dIPOpUmn06wrMD6JNs3nA_39_0"/>
      <w:bookmarkStart w:id="417" w:name="Tc_Zp_37-T_2kGCK7INLQj1OA_38_0"/>
      <w:bookmarkStart w:id="418" w:name="Tc_a2yfPuZstkW4qsgdWtJC8w_37_0"/>
      <w:bookmarkStart w:id="419" w:name="Tc_TgIYdpie-E6nsXQRHfh1NA_36_0"/>
      <w:bookmarkStart w:id="420" w:name="Tc_lRaaxJ-ijkmIyDvK_XIaTQ_35_0"/>
      <w:bookmarkStart w:id="421" w:name="Tc_EFmqFJ4HekyvWNjn4QQXMg_34_0"/>
      <w:bookmarkStart w:id="422" w:name="Tc_XWwvIVpHQk2nuerFOBlaYw_33_0"/>
      <w:bookmarkStart w:id="423" w:name="Tc_lVZuLw4gY06YQHdxQIkcGg_32_0"/>
      <w:bookmarkStart w:id="424" w:name="Tc_0273jI0D4UiGJraFb4A2zw_31_0"/>
      <w:bookmarkStart w:id="425" w:name="Tc_Zx79ttB31UWD_PbmwwpLEA_30_6"/>
      <w:bookmarkStart w:id="426" w:name="Tc_WLemFQehZkewET1Uta3flw_30_3"/>
      <w:bookmarkStart w:id="427" w:name="Tc_XaW4bwe8sEmxEmL5r6g2gA_30_0"/>
      <w:bookmarkStart w:id="428" w:name="Tc_akDO1k3KwUeGAkmwwrva5w_29_0"/>
      <w:bookmarkStart w:id="429" w:name="Tc_vVTPGKiAeUOfciQeVCvqAw_28_0"/>
      <w:bookmarkStart w:id="430" w:name="Tc_QGKduaTn0UugWNy3GmubZA_27_6"/>
      <w:bookmarkStart w:id="431" w:name="Tc_mekOwouVS0aGeLG2Eqq79g_27_3"/>
      <w:bookmarkStart w:id="432" w:name="Tc_nHb2uA4KOEmJE6dagUuWTQ_27_0"/>
      <w:bookmarkStart w:id="433" w:name="Tc_4ACzBsFL50CbwQ-jwp_9Ow_26_0"/>
      <w:bookmarkStart w:id="434" w:name="Tc_LLgd8fDfTEyMqceZoYUOpA_25_0"/>
      <w:bookmarkStart w:id="435" w:name="Tc_s1nQ_-v_y0OdSbKGjVAQYg_24_0"/>
      <w:bookmarkStart w:id="436" w:name="Tc_XfnQsUx0VEiYHtPHyPA76A_23_0"/>
      <w:bookmarkStart w:id="437" w:name="Tc_8kZmmPQc9E6YRWX893aZsw_22_0"/>
      <w:bookmarkStart w:id="438" w:name="Tc_P7oDN5b1_UGrJbgPGt6iUw_21_0"/>
      <w:bookmarkStart w:id="439" w:name="Tc_eekVmiq9J0WbNVPFdDOIsw_20_0"/>
      <w:bookmarkStart w:id="440" w:name="Tc_m1dkuC2UtEe4UWkCcOzohw_19_0"/>
      <w:bookmarkStart w:id="441" w:name="Tc_wNMsFIolYkCy_Ig9HsPO9A_18_0"/>
      <w:bookmarkStart w:id="442" w:name="Tc_dg1C9-0gs0WgiLgnDLbLGw_17_0"/>
      <w:bookmarkStart w:id="443" w:name="Tc_lw1sGKRIgUq-xvRmyTkzVw_16_0"/>
      <w:bookmarkStart w:id="444" w:name="Tc_dJ1DFuZzwku-JddcmLO2VQ_15_0"/>
      <w:bookmarkStart w:id="445" w:name="Tc_AmjNkC0pF0Woy3Y4LrxkVg_14_0"/>
      <w:bookmarkStart w:id="446" w:name="Tc_qBwynTPWG0ChBJwxvAl_yQ_13_0"/>
      <w:bookmarkStart w:id="447" w:name="Tc_QpACrtVOXUuDSIXb5Qv2vQ_12_0"/>
      <w:bookmarkStart w:id="448" w:name="Tc_TzVrsxvTcEm2KApBJsPCKA_11_0"/>
      <w:bookmarkStart w:id="449" w:name="Tc_R9Nm4lEDp0mjvwFQlR6IYg_10_0"/>
      <w:bookmarkStart w:id="450" w:name="Tc_rjmVCRRRFEu-ECT5Mw7dgw_9_0"/>
      <w:bookmarkStart w:id="451" w:name="Tc_pMAVx5aWeU-DmOGxh4Nwpw_8_0"/>
      <w:bookmarkStart w:id="452" w:name="Tc_rDDcKOQ4G0GO-9JRwEYl7g_7_0"/>
      <w:bookmarkStart w:id="453" w:name="Tc_40ENlFWc0kixy-Qvcrm9qA_6_0"/>
      <w:bookmarkStart w:id="454" w:name="Tc_1RlE28Zp_0KN-woAGuWuLw_5_6"/>
      <w:bookmarkStart w:id="455" w:name="Tc_7a1Mx3AFrkOMRqETVzCu3A_5_3"/>
      <w:bookmarkStart w:id="456" w:name="Tc_sl-SMq6TM0-rBCxWRvca0w_5_0"/>
      <w:bookmarkStart w:id="457" w:name="Tc_Y7KeVlPhkk-elDKUhM5WIA_4_0"/>
      <w:bookmarkStart w:id="458" w:name="Tc_xXND8tR3ZkaaeAVc2-J2YA_3_0"/>
      <w:bookmarkStart w:id="459" w:name="Tc_YjKb5434MUiyIkeONbekSA_2_6"/>
      <w:bookmarkStart w:id="460" w:name="Tc_u8_OIZ76IEOOPtJUPLeY_g_2_3"/>
      <w:bookmarkStart w:id="461" w:name="Tc_hPTqEjpKBUGeW5YH284ATQ_1_6"/>
      <w:bookmarkStart w:id="462" w:name="Tc_EORe0_pUdU6q_sCD6anxkA_1_3"/>
      <w:bookmarkStart w:id="463" w:name="Tc_suOzS_UiwUqes1NUJiqHIA_1_0"/>
      <w:bookmarkStart w:id="464" w:name="_60f88701_7dac_4f89_8c91_9fc04a0aad44"/>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tbl>
      <w:tblPr>
        <w:tblW w:w="10205" w:type="dxa"/>
        <w:jc w:val="left"/>
        <w:tblInd w:w="0" w:type="dxa"/>
        <w:tblLayout w:type="fixed"/>
        <w:tblCellMar>
          <w:top w:w="0" w:type="dxa"/>
          <w:left w:w="0" w:type="dxa"/>
          <w:bottom w:w="0" w:type="dxa"/>
          <w:right w:w="0" w:type="dxa"/>
        </w:tblCellMar>
      </w:tblPr>
      <w:tblGrid>
        <w:gridCol w:w="7217"/>
        <w:gridCol w:w="109"/>
        <w:gridCol w:w="326"/>
        <w:gridCol w:w="207"/>
        <w:gridCol w:w="880"/>
        <w:gridCol w:w="326"/>
        <w:gridCol w:w="197"/>
        <w:gridCol w:w="943"/>
      </w:tblGrid>
      <w:tr>
        <w:trPr/>
        <w:tc>
          <w:tcPr>
            <w:tcW w:w="7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582795" cy="175260"/>
                      <wp:effectExtent l="0" t="0" r="0" b="0"/>
                      <wp:wrapNone/>
                      <wp:docPr id="294" name="Frame294"/>
                      <a:graphic xmlns:a="http://schemas.openxmlformats.org/drawingml/2006/main">
                        <a:graphicData uri="http://schemas.microsoft.com/office/word/2010/wordprocessingShape">
                          <wps:wsp>
                            <wps:cNvSpPr txBox="1"/>
                            <wps:spPr>
                              <a:xfrm>
                                <a:off x="0" y="0"/>
                                <a:ext cx="458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1445" cy="175260"/>
                      <wp:effectExtent l="0" t="0" r="0" b="0"/>
                      <wp:wrapNone/>
                      <wp:docPr id="297" name="Frame29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58800" cy="175260"/>
                      <wp:effectExtent l="0" t="0" r="0" b="0"/>
                      <wp:wrapNone/>
                      <wp:docPr id="298" name="Frame29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5095" cy="175260"/>
                      <wp:effectExtent l="0" t="0" r="0" b="0"/>
                      <wp:wrapNone/>
                      <wp:docPr id="300" name="Frame30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98805" cy="175260"/>
                      <wp:effectExtent l="0" t="0" r="0" b="0"/>
                      <wp:wrapNone/>
                      <wp:docPr id="301" name="Frame301"/>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data)</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2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1,118,329</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559,397</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3,927</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34,745</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36,013</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549,499</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617,604</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Raw materials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352,785</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398,798</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Finished goods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375,003</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574,429</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inventories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727,788</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973,227</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29,327</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33,126</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38,474</w:t>
            </w:r>
          </w:p>
        </w:tc>
        <w:tc>
          <w:tcPr>
            <w:tcW w:w="326" w:type="dxa"/>
            <w:tcBorders/>
            <w:vAlign w:val="center"/>
          </w:tcPr>
          <w:p>
            <w:pPr>
              <w:pStyle w:val="TableContents"/>
              <w:bidi w:val="0"/>
              <w:spacing w:before="0" w:after="0"/>
              <w:ind w:left="0" w:right="0" w:hanging="0"/>
              <w:jc w:val="left"/>
              <w:rPr/>
            </w:pPr>
            <w:r>
              <w:rPr/>
              <w:t>  </w:t>
            </w:r>
          </w:p>
        </w:tc>
        <w:tc>
          <w:tcPr>
            <w:tcW w:w="19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42,520</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2,502,089</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2,262,113</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4,228</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24,838</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19,898</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103,774</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107,517</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87,438</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101,262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336,313</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337,320</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INDEFINITE-LIVED INTANGIBLE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7,345</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7,339</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175,195</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143,892</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1,559,304</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1,379,968</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accumulated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(782,727)</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(690,986)</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776,577</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688,982</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4,017,797</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3,672,073</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SHAREHOLDERS’ EQUITY</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203,055</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206,941</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and benefits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232,331</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296,120</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66,713</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80,255</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liability</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22,977</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25,577</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42,900</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567,976</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611,835</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233,534</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275,154</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84,885</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85,419</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45,248</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51,265</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35,934</w:t>
            </w:r>
          </w:p>
        </w:tc>
        <w:tc>
          <w:tcPr>
            <w:tcW w:w="326" w:type="dxa"/>
            <w:tcBorders/>
            <w:vAlign w:val="center"/>
          </w:tcPr>
          <w:p>
            <w:pPr>
              <w:pStyle w:val="TableContents"/>
              <w:bidi w:val="0"/>
              <w:spacing w:before="0" w:after="0"/>
              <w:ind w:left="0" w:right="0" w:hanging="0"/>
              <w:jc w:val="left"/>
              <w:rPr/>
            </w:pPr>
            <w:r>
              <w:rPr/>
              <w:t>  </w:t>
            </w:r>
          </w:p>
        </w:tc>
        <w:tc>
          <w:tcPr>
            <w:tcW w:w="19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44,697</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967,577</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1,068,370</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TEMPORARY EQUITY:</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20,030</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6,880</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SHAREHOLDERS’ EQUITY:</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Controlling interest 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no par value; shares authorized 1,000,000; issued and outstanding, none</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$1 par value; shares authorized</w:t>
            </w:r>
            <w:r>
              <w:rPr>
                <w:rFonts w:ascii="Times New Roman;Times;serif" w:hAnsi="Times New Roman;Times;serif"/>
                <w:color w:val="FF0000"/>
                <w:sz w:val="16"/>
              </w:rPr>
              <w:t xml:space="preserve"> </w:t>
            </w:r>
            <w:r>
              <w:rPr>
                <w:rFonts w:ascii="Times New Roman;Times;serif" w:hAnsi="Times New Roman;Times;serif"/>
                <w:sz w:val="16"/>
              </w:rPr>
              <w:t>160,000,000; issued and outstanding, 61,621,004 and 61,618,193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61,621</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61,618</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354,702</w:t>
            </w:r>
          </w:p>
        </w:tc>
        <w:tc>
          <w:tcPr>
            <w:tcW w:w="32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294,029</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2,582,332</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2,217,410</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1,106</w:t>
            </w:r>
          </w:p>
        </w:tc>
        <w:tc>
          <w:tcPr>
            <w:tcW w:w="326" w:type="dxa"/>
            <w:tcBorders/>
            <w:vAlign w:val="center"/>
          </w:tcPr>
          <w:p>
            <w:pPr>
              <w:pStyle w:val="TableContents"/>
              <w:bidi w:val="0"/>
              <w:spacing w:before="0" w:after="0"/>
              <w:ind w:left="0" w:right="0" w:hanging="0"/>
              <w:jc w:val="left"/>
              <w:rPr/>
            </w:pPr>
            <w:r>
              <w:rPr/>
              <w:t>  </w:t>
            </w:r>
          </w:p>
        </w:tc>
        <w:tc>
          <w:tcPr>
            <w:tcW w:w="19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(9,075)</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controlling interest 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2,999,761</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2,563,982</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30,429</w:t>
            </w:r>
          </w:p>
        </w:tc>
        <w:tc>
          <w:tcPr>
            <w:tcW w:w="326" w:type="dxa"/>
            <w:tcBorders/>
            <w:vAlign w:val="center"/>
          </w:tcPr>
          <w:p>
            <w:pPr>
              <w:pStyle w:val="TableContents"/>
              <w:bidi w:val="0"/>
              <w:spacing w:before="0" w:after="0"/>
              <w:ind w:left="0" w:right="0" w:hanging="0"/>
              <w:jc w:val="left"/>
              <w:rPr/>
            </w:pPr>
            <w:r>
              <w:rPr/>
              <w:t>  </w:t>
            </w:r>
          </w:p>
        </w:tc>
        <w:tc>
          <w:tcPr>
            <w:tcW w:w="19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32,841</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SHAREHOLDERS’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3,030,190</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2,596,823</w:t>
            </w:r>
          </w:p>
        </w:tc>
      </w:tr>
      <w:tr>
        <w:trPr/>
        <w:tc>
          <w:tcPr>
            <w:tcW w:w="7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TEMPORARY EQUITY AND SHAREHOLDERS’ EQUITY</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4,017,797</w:t>
            </w:r>
          </w:p>
        </w:tc>
        <w:tc>
          <w:tcPr>
            <w:tcW w:w="32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3,672,073</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5" w:name="_8fc02ec5_1330_48cc_81dc_11b2f060b19b"/>
      <w:bookmarkEnd w:id="465"/>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bookmarkStart w:id="466" w:name="STATEMENTSOFEARNINGSANDCOMPREHENSIVEINCO"/>
      <w:bookmarkStart w:id="467" w:name="_CONSOLIDATED_STATEMENTS_OF"/>
      <w:bookmarkEnd w:id="466"/>
      <w:bookmarkEnd w:id="467"/>
      <w:r>
        <w:rPr>
          <w:rFonts w:ascii="Times New Roman;Times;serif" w:hAnsi="Times New Roman;Times;serif"/>
          <w:b/>
          <w:sz w:val="20"/>
        </w:rPr>
        <w:t>CONSOLIDATED STATEMENTS OF EARNINGS AND COMPREHENSIVE INCOME</w:t>
      </w:r>
    </w:p>
    <w:p>
      <w:pPr>
        <w:pStyle w:val="Normal"/>
        <w:bidi w:val="0"/>
        <w:spacing w:before="0" w:after="0"/>
        <w:jc w:val="left"/>
        <w:rPr>
          <w:sz w:val="4"/>
          <w:szCs w:val="4"/>
        </w:rPr>
      </w:pPr>
      <w:r>
        <w:rPr>
          <w:sz w:val="4"/>
          <w:szCs w:val="4"/>
        </w:rPr>
      </w:r>
      <w:bookmarkStart w:id="468" w:name="Tc_gEoqAqSXO0Ct4UHLSKvLkg_28_8"/>
      <w:bookmarkStart w:id="469" w:name="Tc_u475o-D2tEmWfrf_EVxSOg_28_5"/>
      <w:bookmarkStart w:id="470" w:name="Tc_SqnT2z1qck2ikiFscPCqtw_28_2"/>
      <w:bookmarkStart w:id="471" w:name="Tc_uB_sCQcZ0U-z0Gw_s0oy1Q_28_0"/>
      <w:bookmarkStart w:id="472" w:name="Tc_ALLbb8IvskKW-2ZQCLzY5Q_27_0"/>
      <w:bookmarkStart w:id="473" w:name="Tc_w7GzC0I3X0K1tleNZ5NCXA_26_0"/>
      <w:bookmarkStart w:id="474" w:name="Tc_iZoxCx9MsEWsTbUnkXTeRw_25_0"/>
      <w:bookmarkStart w:id="475" w:name="Tc_QxoeS4ShHEOqNN8gXxFfRw_24_0"/>
      <w:bookmarkStart w:id="476" w:name="Tc_2QlBy6sBoUyCBrPN-c4PGg_23_0"/>
      <w:bookmarkStart w:id="477" w:name="Tc_EQFKdGSmqU6JX1ygClgbVw_21_8"/>
      <w:bookmarkStart w:id="478" w:name="Tc_EFiUEZYnn0e5bn8ALnsLKg_21_5"/>
      <w:bookmarkStart w:id="479" w:name="Tc_m2lyr-Ki2kyCQF0qtx2WvA_21_2"/>
      <w:bookmarkStart w:id="480" w:name="Tc_DYvEk3cmIUmHy13dQ5cekg_21_0"/>
      <w:bookmarkStart w:id="481" w:name="Tc_FLSqsGR-OUOYo6740K8xxQ_20_8"/>
      <w:bookmarkStart w:id="482" w:name="Tc_LjuFweXKdUOQIBF5zfPCWA_20_5"/>
      <w:bookmarkStart w:id="483" w:name="Tc_VZqWW0X9M066P0T_-Ctlvg_20_2"/>
      <w:bookmarkStart w:id="484" w:name="Tc_gpJInv7zjUu83WYbWzp7ew_20_0"/>
      <w:bookmarkStart w:id="485" w:name="Tc_aB6SQlv3ykWLn_oTrsFEzg_18_8"/>
      <w:bookmarkStart w:id="486" w:name="Tc_pEHX70WhtkWSobIQcAvOwA_18_5"/>
      <w:bookmarkStart w:id="487" w:name="Tc_Tbsr8lZ8sEKoMf233VhHaw_18_2"/>
      <w:bookmarkStart w:id="488" w:name="Tc_0k8X_tefxkyUo915X2jZZw_18_0"/>
      <w:bookmarkStart w:id="489" w:name="Tc_9fKEjoWNIk2c5R8NNJk38A_17_0"/>
      <w:bookmarkStart w:id="490" w:name="Tc_wkQRHWiO406_sCHZkW96sg_16_0"/>
      <w:bookmarkStart w:id="491" w:name="Tc_-NgLsOPfrUm9Vl6ulAEAAg_15_0"/>
      <w:bookmarkStart w:id="492" w:name="Tc_1xdchEUouEaeu9kIZQ6Stg_14_0"/>
      <w:bookmarkStart w:id="493" w:name="Tc_g7mhQNeyX0O_Rw5MEq4R0g_13_0"/>
      <w:bookmarkStart w:id="494" w:name="Tc_KHrwm53leEez9AOKUTAvBQ_12_0"/>
      <w:bookmarkStart w:id="495" w:name="Tc_pPJsi0CJ6kG3Cren_H5Thw_11_0"/>
      <w:bookmarkStart w:id="496" w:name="Tc_FNKUnSFQ_0S4RxjcRXQALA_10_0"/>
      <w:bookmarkStart w:id="497" w:name="Tc_cr-xhjGuxUmgH2-FmJW3gA_9_0"/>
      <w:bookmarkStart w:id="498" w:name="Tc_fsRmPl_LzkyAl6kKH1F9zw_8_0"/>
      <w:bookmarkStart w:id="499" w:name="Tc_98eIttEFwk-n1zjBDAxsrQ_7_0"/>
      <w:bookmarkStart w:id="500" w:name="Tc_oV1iPAHzjEWoruO6ts_q6Q_6_0"/>
      <w:bookmarkStart w:id="501" w:name="Tc_Cp9WhPQYJUaoTM5Cp2fOPA_5_0"/>
      <w:bookmarkStart w:id="502" w:name="Tc_BdSiPhyY2EaKsjjw8Lb7bQ_4_8"/>
      <w:bookmarkStart w:id="503" w:name="Tc_7mLuatXdq0G7uchwlLxmtg_4_5"/>
      <w:bookmarkStart w:id="504" w:name="Tc_2_eJfRg_gEasPkDQwkPGiA_4_2"/>
      <w:bookmarkStart w:id="505" w:name="Tc_7ul3OoYISUy9ejTWhg3w7Q_4_0"/>
      <w:bookmarkStart w:id="506" w:name="Tc_VUuFE8ybBUu5Dx4LfGaJUg_3_8"/>
      <w:bookmarkStart w:id="507" w:name="Tc_NZ5c4dkJ6kOElNMcz6xXyw_3_5"/>
      <w:bookmarkStart w:id="508" w:name="Tc_PiO22uLm702nmd1FF29Epw_3_2"/>
      <w:bookmarkStart w:id="509" w:name="Tc_75Z52hGS_kOBBWlA11rN7A_2_8"/>
      <w:bookmarkStart w:id="510" w:name="Tc_NRvHfxL6YkqUUCXBWdJPPA_2_5"/>
      <w:bookmarkStart w:id="511" w:name="Tc_U75qv-ERpU6nAQ_yJPDOgw_2_2"/>
      <w:bookmarkStart w:id="512" w:name="Tc_dMUMDhqz8U-tQ4D_sRqRvw_1_2"/>
      <w:bookmarkStart w:id="513" w:name="Tc_15_SbDpK5EWCsz6OB5mTRQ_1_0"/>
      <w:bookmarkStart w:id="514" w:name="_15c9a36a_4228_4792_a779_908feb4904d9"/>
      <w:bookmarkStart w:id="515" w:name="Tc_gEoqAqSXO0Ct4UHLSKvLkg_28_8"/>
      <w:bookmarkStart w:id="516" w:name="Tc_u475o-D2tEmWfrf_EVxSOg_28_5"/>
      <w:bookmarkStart w:id="517" w:name="Tc_SqnT2z1qck2ikiFscPCqtw_28_2"/>
      <w:bookmarkStart w:id="518" w:name="Tc_uB_sCQcZ0U-z0Gw_s0oy1Q_28_0"/>
      <w:bookmarkStart w:id="519" w:name="Tc_ALLbb8IvskKW-2ZQCLzY5Q_27_0"/>
      <w:bookmarkStart w:id="520" w:name="Tc_w7GzC0I3X0K1tleNZ5NCXA_26_0"/>
      <w:bookmarkStart w:id="521" w:name="Tc_iZoxCx9MsEWsTbUnkXTeRw_25_0"/>
      <w:bookmarkStart w:id="522" w:name="Tc_QxoeS4ShHEOqNN8gXxFfRw_24_0"/>
      <w:bookmarkStart w:id="523" w:name="Tc_2QlBy6sBoUyCBrPN-c4PGg_23_0"/>
      <w:bookmarkStart w:id="524" w:name="Tc_EQFKdGSmqU6JX1ygClgbVw_21_8"/>
      <w:bookmarkStart w:id="525" w:name="Tc_EFiUEZYnn0e5bn8ALnsLKg_21_5"/>
      <w:bookmarkStart w:id="526" w:name="Tc_m2lyr-Ki2kyCQF0qtx2WvA_21_2"/>
      <w:bookmarkStart w:id="527" w:name="Tc_DYvEk3cmIUmHy13dQ5cekg_21_0"/>
      <w:bookmarkStart w:id="528" w:name="Tc_FLSqsGR-OUOYo6740K8xxQ_20_8"/>
      <w:bookmarkStart w:id="529" w:name="Tc_LjuFweXKdUOQIBF5zfPCWA_20_5"/>
      <w:bookmarkStart w:id="530" w:name="Tc_VZqWW0X9M066P0T_-Ctlvg_20_2"/>
      <w:bookmarkStart w:id="531" w:name="Tc_gpJInv7zjUu83WYbWzp7ew_20_0"/>
      <w:bookmarkStart w:id="532" w:name="Tc_aB6SQlv3ykWLn_oTrsFEzg_18_8"/>
      <w:bookmarkStart w:id="533" w:name="Tc_pEHX70WhtkWSobIQcAvOwA_18_5"/>
      <w:bookmarkStart w:id="534" w:name="Tc_Tbsr8lZ8sEKoMf233VhHaw_18_2"/>
      <w:bookmarkStart w:id="535" w:name="Tc_0k8X_tefxkyUo915X2jZZw_18_0"/>
      <w:bookmarkStart w:id="536" w:name="Tc_9fKEjoWNIk2c5R8NNJk38A_17_0"/>
      <w:bookmarkStart w:id="537" w:name="Tc_wkQRHWiO406_sCHZkW96sg_16_0"/>
      <w:bookmarkStart w:id="538" w:name="Tc_-NgLsOPfrUm9Vl6ulAEAAg_15_0"/>
      <w:bookmarkStart w:id="539" w:name="Tc_1xdchEUouEaeu9kIZQ6Stg_14_0"/>
      <w:bookmarkStart w:id="540" w:name="Tc_g7mhQNeyX0O_Rw5MEq4R0g_13_0"/>
      <w:bookmarkStart w:id="541" w:name="Tc_KHrwm53leEez9AOKUTAvBQ_12_0"/>
      <w:bookmarkStart w:id="542" w:name="Tc_pPJsi0CJ6kG3Cren_H5Thw_11_0"/>
      <w:bookmarkStart w:id="543" w:name="Tc_FNKUnSFQ_0S4RxjcRXQALA_10_0"/>
      <w:bookmarkStart w:id="544" w:name="Tc_cr-xhjGuxUmgH2-FmJW3gA_9_0"/>
      <w:bookmarkStart w:id="545" w:name="Tc_fsRmPl_LzkyAl6kKH1F9zw_8_0"/>
      <w:bookmarkStart w:id="546" w:name="Tc_98eIttEFwk-n1zjBDAxsrQ_7_0"/>
      <w:bookmarkStart w:id="547" w:name="Tc_oV1iPAHzjEWoruO6ts_q6Q_6_0"/>
      <w:bookmarkStart w:id="548" w:name="Tc_Cp9WhPQYJUaoTM5Cp2fOPA_5_0"/>
      <w:bookmarkStart w:id="549" w:name="Tc_BdSiPhyY2EaKsjjw8Lb7bQ_4_8"/>
      <w:bookmarkStart w:id="550" w:name="Tc_7mLuatXdq0G7uchwlLxmtg_4_5"/>
      <w:bookmarkStart w:id="551" w:name="Tc_2_eJfRg_gEasPkDQwkPGiA_4_2"/>
      <w:bookmarkStart w:id="552" w:name="Tc_7ul3OoYISUy9ejTWhg3w7Q_4_0"/>
      <w:bookmarkStart w:id="553" w:name="Tc_VUuFE8ybBUu5Dx4LfGaJUg_3_8"/>
      <w:bookmarkStart w:id="554" w:name="Tc_NZ5c4dkJ6kOElNMcz6xXyw_3_5"/>
      <w:bookmarkStart w:id="555" w:name="Tc_PiO22uLm702nmd1FF29Epw_3_2"/>
      <w:bookmarkStart w:id="556" w:name="Tc_75Z52hGS_kOBBWlA11rN7A_2_8"/>
      <w:bookmarkStart w:id="557" w:name="Tc_NRvHfxL6YkqUUCXBWdJPPA_2_5"/>
      <w:bookmarkStart w:id="558" w:name="Tc_U75qv-ERpU6nAQ_yJPDOgw_2_2"/>
      <w:bookmarkStart w:id="559" w:name="Tc_dMUMDhqz8U-tQ4D_sRqRvw_1_2"/>
      <w:bookmarkStart w:id="560" w:name="Tc_15_SbDpK5EWCsz6OB5mTRQ_1_0"/>
      <w:bookmarkStart w:id="561" w:name="_15c9a36a_4228_4792_a779_908feb4904d9"/>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tbl>
      <w:tblPr>
        <w:tblW w:w="10205" w:type="dxa"/>
        <w:jc w:val="left"/>
        <w:tblInd w:w="0" w:type="dxa"/>
        <w:tblLayout w:type="fixed"/>
        <w:tblCellMar>
          <w:top w:w="0" w:type="dxa"/>
          <w:left w:w="0" w:type="dxa"/>
          <w:bottom w:w="0" w:type="dxa"/>
          <w:right w:w="0" w:type="dxa"/>
        </w:tblCellMar>
      </w:tblPr>
      <w:tblGrid>
        <w:gridCol w:w="5756"/>
        <w:gridCol w:w="326"/>
        <w:gridCol w:w="211"/>
        <w:gridCol w:w="931"/>
        <w:gridCol w:w="326"/>
        <w:gridCol w:w="211"/>
        <w:gridCol w:w="931"/>
        <w:gridCol w:w="326"/>
        <w:gridCol w:w="211"/>
        <w:gridCol w:w="976"/>
      </w:tblGrid>
      <w:tr>
        <w:trPr/>
        <w:tc>
          <w:tcPr>
            <w:tcW w:w="5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55060" cy="175260"/>
                      <wp:effectExtent l="0" t="0" r="0" b="0"/>
                      <wp:wrapNone/>
                      <wp:docPr id="302" name="Frame302"/>
                      <a:graphic xmlns:a="http://schemas.openxmlformats.org/drawingml/2006/main">
                        <a:graphicData uri="http://schemas.microsoft.com/office/word/2010/wordprocessingShape">
                          <wps:wsp>
                            <wps:cNvSpPr txBox="1"/>
                            <wps:spPr>
                              <a:xfrm>
                                <a:off x="0" y="0"/>
                                <a:ext cx="365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91185" cy="175260"/>
                      <wp:effectExtent l="0" t="0" r="0" b="0"/>
                      <wp:wrapNone/>
                      <wp:docPr id="305" name="Frame3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91185" cy="175260"/>
                      <wp:effectExtent l="0" t="0" r="0" b="0"/>
                      <wp:wrapNone/>
                      <wp:docPr id="308" name="Frame3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19760" cy="175260"/>
                      <wp:effectExtent l="0" t="0" r="0" b="0"/>
                      <wp:wrapNone/>
                      <wp:docPr id="311" name="Frame31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326" w:type="dxa"/>
            <w:tcBorders/>
            <w:vAlign w:val="center"/>
          </w:tcPr>
          <w:p>
            <w:pPr>
              <w:pStyle w:val="TableContents"/>
              <w:bidi w:val="0"/>
              <w:spacing w:before="0" w:after="1"/>
              <w:ind w:left="0" w:right="0" w:hanging="0"/>
              <w:jc w:val="left"/>
              <w:rPr/>
            </w:pPr>
            <w:r>
              <w:rPr/>
              <w:t>​</w:t>
            </w:r>
          </w:p>
        </w:tc>
        <w:tc>
          <w:tcPr>
            <w:tcW w:w="4123" w:type="dxa"/>
            <w:gridSpan w:val="8"/>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25,</w:t>
            </w:r>
          </w:p>
        </w:tc>
      </w:tr>
      <w:tr>
        <w:trPr/>
        <w:tc>
          <w:tcPr>
            <w:tcW w:w="5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7,218,384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9,626,739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8,636,134</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5,799,446</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7,837,278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7,229,167</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1,418,938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1,789,461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1,406,967</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766,633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832,079</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682,253</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LOSSES (GAINS),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(12,840)</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646,534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950,184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737,554</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13,814</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INVESTMENT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(39,916)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(6,498)</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IN LOSS OF INVESTEE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3,902</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(24,707)</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11,218</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671,241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934,816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726,336</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156,784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229,852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173,972</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514,457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704,964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552,364</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(16,724)</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514,312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692,651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535,640</w:t>
            </w:r>
          </w:p>
        </w:tc>
      </w:tr>
      <w:tr>
        <w:trPr/>
        <w:tc>
          <w:tcPr>
            <w:tcW w:w="5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PER SHARE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PER SHARE – 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5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514,457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704,964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552,364</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14,836</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(5,296)</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529,293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702,466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547,068</w:t>
            </w:r>
          </w:p>
        </w:tc>
      </w:tr>
      <w:tr>
        <w:trPr/>
        <w:tc>
          <w:tcPr>
            <w:tcW w:w="57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(13,485)</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(15,039)</w:t>
            </w:r>
          </w:p>
        </w:tc>
      </w:tr>
      <w:tr>
        <w:trPr/>
        <w:tc>
          <w:tcPr>
            <w:tcW w:w="57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ATTRIBUTABLE TO 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524,493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688,981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532,029</w:t>
            </w:r>
          </w:p>
        </w:tc>
      </w:tr>
    </w:tbl>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62" w:name="_9f5923c7_714b_41ec_8122_e28b3821531b"/>
      <w:bookmarkEnd w:id="562"/>
      <w:r>
        <w:rPr>
          <w:rFonts w:ascii="Times New Roman;Times;serif" w:hAnsi="Times New Roman;Times;serif"/>
          <w:b/>
          <w:sz w:val="20"/>
        </w:rPr>
        <w:t>UFP INDUSTRIES, INC.</w:t>
      </w:r>
    </w:p>
    <w:p>
      <w:pPr>
        <w:pStyle w:val="TextBody"/>
        <w:bidi w:val="0"/>
        <w:spacing w:before="0" w:after="0"/>
        <w:ind w:left="0" w:right="0" w:hanging="0"/>
        <w:jc w:val="center"/>
        <w:rPr>
          <w:rFonts w:ascii="Times New Roman;Times;serif" w:hAnsi="Times New Roman;Times;serif"/>
          <w:b/>
          <w:sz w:val="20"/>
        </w:rPr>
      </w:pPr>
      <w:bookmarkStart w:id="563" w:name="SHAREHOLDERSEQUITY_31872"/>
      <w:bookmarkStart w:id="564" w:name="_CONSOLIDATED_STATEMENTS_OF_1"/>
      <w:bookmarkEnd w:id="563"/>
      <w:bookmarkEnd w:id="564"/>
      <w:r>
        <w:rPr>
          <w:rFonts w:ascii="Times New Roman;Times;serif" w:hAnsi="Times New Roman;Times;serif"/>
          <w:b/>
          <w:sz w:val="20"/>
        </w:rPr>
        <w:t>CONSOLIDATED STATEMENTS OF SHAREHOLDERS’ EQUITY</w:t>
      </w:r>
    </w:p>
    <w:p>
      <w:pPr>
        <w:pStyle w:val="Normal"/>
        <w:bidi w:val="0"/>
        <w:spacing w:before="0" w:after="0"/>
        <w:jc w:val="left"/>
        <w:rPr>
          <w:sz w:val="4"/>
          <w:szCs w:val="4"/>
        </w:rPr>
      </w:pPr>
      <w:r>
        <w:rPr>
          <w:sz w:val="4"/>
          <w:szCs w:val="4"/>
        </w:rPr>
      </w:r>
      <w:bookmarkStart w:id="565" w:name="Tc_b4l0inqvXk-c43uVB8WERw_47_21"/>
      <w:bookmarkStart w:id="566" w:name="Tc_oikMooaYxUa_lJByS5Xu-Q_47_18"/>
      <w:bookmarkStart w:id="567" w:name="Tc_iFtq9StLi0iXJtC0R48nZQ_47_15"/>
      <w:bookmarkStart w:id="568" w:name="Tc_-ZK6gM9WW0aqGeGPL4iaMQ_47_12"/>
      <w:bookmarkStart w:id="569" w:name="Tc_9ANP-7saP0qLdQUqiSOmgg_47_8"/>
      <w:bookmarkStart w:id="570" w:name="Tc_RubvFi3-T0-N5HMhjCxlVw_47_5"/>
      <w:bookmarkStart w:id="571" w:name="Tc_vsPYxwP7jU-G7hVBDAyAkQ_47_2"/>
      <w:bookmarkStart w:id="572" w:name="Tc_GJtbNywO5EKwWBG2nrVH5A_47_0"/>
      <w:bookmarkStart w:id="573" w:name="Tc_OII4eZJFL0-m66LdubDygw_46_0"/>
      <w:bookmarkStart w:id="574" w:name="Tc_t-L_8QbU70iScOdeW64JcA_45_0"/>
      <w:bookmarkStart w:id="575" w:name="Tc_LBC-VykfW0qvhOx7pLtGBA_44_0"/>
      <w:bookmarkStart w:id="576" w:name="Tc_6q7Rsh2qL0qhlG7cTbnvoQ_43_19"/>
      <w:bookmarkStart w:id="577" w:name="Tc_y7vtW4VRdUK0vLY0mM3HcA_43_0"/>
      <w:bookmarkStart w:id="578" w:name="Tc_BbewYOojp0aG5OkGAkxXKQ_42_0"/>
      <w:bookmarkStart w:id="579" w:name="Tc_sqMvByz5XEybfYKCPS3ayQ_41_0"/>
      <w:bookmarkStart w:id="580" w:name="Tc_5bpBHHBNJE6yjPn8Q1mGpg_40_0"/>
      <w:bookmarkStart w:id="581" w:name="Tc_g8DRQet6WkugiKr1rz8Gtg_39_19"/>
      <w:bookmarkStart w:id="582" w:name="Tc_n6Cfh7oigkqxYD_KQEhgKA_39_0"/>
      <w:bookmarkStart w:id="583" w:name="Tc_wEUlHDtNdUKY0ArHspXVBA_38_0"/>
      <w:bookmarkStart w:id="584" w:name="Tc_sdI-oMt800iuK-tbg5fuTw_37_0"/>
      <w:bookmarkStart w:id="585" w:name="Tc_d37kZ9pZeEaPWdyhudSFmw_36_0"/>
      <w:bookmarkStart w:id="586" w:name="Tc_h8QkUOyLi0SStQB-bWQuhA_35_0"/>
      <w:bookmarkStart w:id="587" w:name="Tc_RQcwtl9EPEqj32TAj0v8rw_34_0"/>
      <w:bookmarkStart w:id="588" w:name="Tc_gEKz0gLl4ECrY0ylkUTwxQ_33_0"/>
      <w:bookmarkStart w:id="589" w:name="Tc_oy7DcfYb4k6DAlF2mgUQNw_32_21"/>
      <w:bookmarkStart w:id="590" w:name="Tc_RCxDW1rqu0e5RR8N-KbOdA_32_18"/>
      <w:bookmarkStart w:id="591" w:name="Tc_OoWCxnafpE6QOZ0DBXd4eA_32_15"/>
      <w:bookmarkStart w:id="592" w:name="Tc_xxX_lvH3gUqJwtuq7Od-dQ_32_12"/>
      <w:bookmarkStart w:id="593" w:name="Tc_BFLSzK5RAEGmRrZ7kPahjA_32_8"/>
      <w:bookmarkStart w:id="594" w:name="Tc_qViGOg3Z7kaHoenbs7tIWA_32_5"/>
      <w:bookmarkStart w:id="595" w:name="Tc_E7K7cIPam0ishkAGSOQ-Ow_32_2"/>
      <w:bookmarkStart w:id="596" w:name="Tc_GfKMVttwi0a8O3VIdkUteA_32_0"/>
      <w:bookmarkStart w:id="597" w:name="Tc_bWdM02aAZ0Ov9HRJF53bNw_31_0"/>
      <w:bookmarkStart w:id="598" w:name="Tc_Zxlt4B3tNEWl_RYpqbA7eA_30_0"/>
      <w:bookmarkStart w:id="599" w:name="Tc_EMORiVkhXESYhp9u6LwXRg_29_0"/>
      <w:bookmarkStart w:id="600" w:name="Tc_5fYvp0wSw0Kd-kB9dPtL3Q_28_19"/>
      <w:bookmarkStart w:id="601" w:name="Tc_f7jDbiE2N0abomgyapAOnA_28_0"/>
      <w:bookmarkStart w:id="602" w:name="Tc_zrcat4dax0-QZi8MOfKzCw_27_0"/>
      <w:bookmarkStart w:id="603" w:name="Tc_58y20l9O40ClIsDm5_vv4w_26_0"/>
      <w:bookmarkStart w:id="604" w:name="Tc_Tlqy4iaOGkKtRTCiU6WjIg_25_0"/>
      <w:bookmarkStart w:id="605" w:name="Tc_OqcqRwpPHEuuapT4XRccMQ_24_0"/>
      <w:bookmarkStart w:id="606" w:name="Tc_sSLGv1SaR0CtxpWz9whLPw_23_19"/>
      <w:bookmarkStart w:id="607" w:name="Tc_NFftDaWdkEWSD_uMD7MmsQ_23_0"/>
      <w:bookmarkStart w:id="608" w:name="Tc_3Q-eVwCvG0-zYmeSPXyoag_22_0"/>
      <w:bookmarkStart w:id="609" w:name="Tc_O_u3SyZGJUaeJuImU9aRJg_21_0"/>
      <w:bookmarkStart w:id="610" w:name="Tc_khaXoV6-vEKJnctLtOmNyw_20_0"/>
      <w:bookmarkStart w:id="611" w:name="Tc_ec7tFXHUREKsOWO7dr7Usg_19_0"/>
      <w:bookmarkStart w:id="612" w:name="Tc__G40fk35yEGVYSdzFPbMKA_18_0"/>
      <w:bookmarkStart w:id="613" w:name="Tc_UtMPj9MNoUe4y25DgXkTFw_17_21"/>
      <w:bookmarkStart w:id="614" w:name="Tc_m4ZErC68SkWJamCuBnq9eg_17_18"/>
      <w:bookmarkStart w:id="615" w:name="Tc_lGmF-ZwZvUGz5aAlL6oNrw_17_15"/>
      <w:bookmarkStart w:id="616" w:name="Tc_sMtd-jURskSv5-_WyUwanA_17_12"/>
      <w:bookmarkStart w:id="617" w:name="Tc_05-N9bKuN0-yb79Gs7qJlg_17_8"/>
      <w:bookmarkStart w:id="618" w:name="Tc_HOmX9nEh5U6zXAgPLWE_xw_17_5"/>
      <w:bookmarkStart w:id="619" w:name="Tc_w_4hxsaimEKkr76soORVow_17_2"/>
      <w:bookmarkStart w:id="620" w:name="Tc_l5_tLXK4TUmGBARiPIFgOA_17_0"/>
      <w:bookmarkStart w:id="621" w:name="Tc_6vB12BpkaUOKksof4CJZLg_16_0"/>
      <w:bookmarkStart w:id="622" w:name="Tc_Mc3qef-Xx0yDgcbvGMXRLg_15_0"/>
      <w:bookmarkStart w:id="623" w:name="Tc_RMs7WjShSECImCFlcbTCZQ_14_19"/>
      <w:bookmarkStart w:id="624" w:name="Tc_GJmaCCJ9kkCmFn5XQNAnkA_14_0"/>
      <w:bookmarkStart w:id="625" w:name="Tc_YUlbY7xFxU23Myv8gtrfDQ_13_0"/>
      <w:bookmarkStart w:id="626" w:name="Tc_xffsEg6PfkCwFmtXKV0-EQ_12_0"/>
      <w:bookmarkStart w:id="627" w:name="Tc_1KF14Ivx6Ei9Qez30FEh7A_11_0"/>
      <w:bookmarkStart w:id="628" w:name="Tc_k8kkd5WSPUmlY8YEoxcvkA_10_0"/>
      <w:bookmarkStart w:id="629" w:name="Tc_oB0rXoqKo0SWRB0DWx5YKg_9_0"/>
      <w:bookmarkStart w:id="630" w:name="Tc_qclwt7GYIEGQzHDeZxIJ7g_8_0"/>
      <w:bookmarkStart w:id="631" w:name="Tc_tkPfBBmDp0uleeOW86nFtQ_7_0"/>
      <w:bookmarkStart w:id="632" w:name="Tc_8luqufRThkCTHi4m4yrHrQ_6_0"/>
      <w:bookmarkStart w:id="633" w:name="Tc_3khaSaVQwki3C0myFr1ByA_5_22"/>
      <w:bookmarkStart w:id="634" w:name="Tc_9GvSIk5Jmk2Fca7JQ3CSjw_5_21"/>
      <w:bookmarkStart w:id="635" w:name="Tc_vs1VVwN1zkyjlKed4JufjQ_5_18"/>
      <w:bookmarkStart w:id="636" w:name="Tc_gJuQiSJ2SkiKSTq3de1Khg_5_15"/>
      <w:bookmarkStart w:id="637" w:name="Tc_YABy3Jw3P0C6Ct5S0jMzjg_5_12"/>
      <w:bookmarkStart w:id="638" w:name="Tc_LhtgGl2X1UeNprXu-ealag_5_8"/>
      <w:bookmarkStart w:id="639" w:name="Tc_EcJkrC8vhUm21xxwGxYMbg_5_5"/>
      <w:bookmarkStart w:id="640" w:name="Tc_HXbsYfB9uEaNXfbUvi1_CA_5_2"/>
      <w:bookmarkStart w:id="641" w:name="Tc_syLRH8aXlUeqJtem3mGlYg_5_0"/>
      <w:bookmarkStart w:id="642" w:name="Tc_vdtZjM2F1ECAYAt721TcSA_4_21"/>
      <w:bookmarkStart w:id="643" w:name="Tc_fLsf1i6lyESYJ8AxeYbxFQ_4_18"/>
      <w:bookmarkStart w:id="644" w:name="Tc_UKN_w-UX_keZ_cklcNaYSA_4_15"/>
      <w:bookmarkStart w:id="645" w:name="Tc_TZ_PIjZpOkSDrvu8vWMDjw_4_12"/>
      <w:bookmarkStart w:id="646" w:name="Tc_KKzd6cVTCU6pA1UjZdUTHg_4_8"/>
      <w:bookmarkStart w:id="647" w:name="Tc_ZF4Ug8imVU2aGdzHbVlftw_4_5"/>
      <w:bookmarkStart w:id="648" w:name="Tc_DLrc9eO7nkOSf6VpipImrg_4_2"/>
      <w:bookmarkStart w:id="649" w:name="Tc_dasin1hCR0aHhVJm_fdHZQ_3_21"/>
      <w:bookmarkStart w:id="650" w:name="Tc_7GbUYXqxFUmrsLc3AekFtg_3_15"/>
      <w:bookmarkStart w:id="651" w:name="Tc_6JEyUBfqbUGaNe8d8Pnluw_3_12"/>
      <w:bookmarkStart w:id="652" w:name="Tc_wPlHL4-ukEihEPW3vwv1oQ_3_8"/>
      <w:bookmarkStart w:id="653" w:name="Tc_0hpRM2_El0-QMvZQiAm2ew_3_5"/>
      <w:bookmarkStart w:id="654" w:name="Tc_X_Cgb7F7hkuYtsFAKw0ZMg_3_2"/>
      <w:bookmarkStart w:id="655" w:name="Tc_kvJK8HbioEiDdZV2rxfaaw_2_12"/>
      <w:bookmarkStart w:id="656" w:name="Tc__TnJaor55U-kXHmGKQs7SA_2_5"/>
      <w:bookmarkStart w:id="657" w:name="Tc_lbf23R6qRkitr_JKnfBvdw_1_3"/>
      <w:bookmarkStart w:id="658" w:name="Tc_GANlRO-qGEKQT_PUHbEYig_1_0"/>
      <w:bookmarkStart w:id="659" w:name="_a941637f_9ca0_43d5_83b2_2410679cb0ab"/>
      <w:bookmarkStart w:id="660" w:name="Tc_b4l0inqvXk-c43uVB8WERw_47_21"/>
      <w:bookmarkStart w:id="661" w:name="Tc_oikMooaYxUa_lJByS5Xu-Q_47_18"/>
      <w:bookmarkStart w:id="662" w:name="Tc_iFtq9StLi0iXJtC0R48nZQ_47_15"/>
      <w:bookmarkStart w:id="663" w:name="Tc_-ZK6gM9WW0aqGeGPL4iaMQ_47_12"/>
      <w:bookmarkStart w:id="664" w:name="Tc_9ANP-7saP0qLdQUqiSOmgg_47_8"/>
      <w:bookmarkStart w:id="665" w:name="Tc_RubvFi3-T0-N5HMhjCxlVw_47_5"/>
      <w:bookmarkStart w:id="666" w:name="Tc_vsPYxwP7jU-G7hVBDAyAkQ_47_2"/>
      <w:bookmarkStart w:id="667" w:name="Tc_GJtbNywO5EKwWBG2nrVH5A_47_0"/>
      <w:bookmarkStart w:id="668" w:name="Tc_OII4eZJFL0-m66LdubDygw_46_0"/>
      <w:bookmarkStart w:id="669" w:name="Tc_t-L_8QbU70iScOdeW64JcA_45_0"/>
      <w:bookmarkStart w:id="670" w:name="Tc_LBC-VykfW0qvhOx7pLtGBA_44_0"/>
      <w:bookmarkStart w:id="671" w:name="Tc_6q7Rsh2qL0qhlG7cTbnvoQ_43_19"/>
      <w:bookmarkStart w:id="672" w:name="Tc_y7vtW4VRdUK0vLY0mM3HcA_43_0"/>
      <w:bookmarkStart w:id="673" w:name="Tc_BbewYOojp0aG5OkGAkxXKQ_42_0"/>
      <w:bookmarkStart w:id="674" w:name="Tc_sqMvByz5XEybfYKCPS3ayQ_41_0"/>
      <w:bookmarkStart w:id="675" w:name="Tc_5bpBHHBNJE6yjPn8Q1mGpg_40_0"/>
      <w:bookmarkStart w:id="676" w:name="Tc_g8DRQet6WkugiKr1rz8Gtg_39_19"/>
      <w:bookmarkStart w:id="677" w:name="Tc_n6Cfh7oigkqxYD_KQEhgKA_39_0"/>
      <w:bookmarkStart w:id="678" w:name="Tc_wEUlHDtNdUKY0ArHspXVBA_38_0"/>
      <w:bookmarkStart w:id="679" w:name="Tc_sdI-oMt800iuK-tbg5fuTw_37_0"/>
      <w:bookmarkStart w:id="680" w:name="Tc_d37kZ9pZeEaPWdyhudSFmw_36_0"/>
      <w:bookmarkStart w:id="681" w:name="Tc_h8QkUOyLi0SStQB-bWQuhA_35_0"/>
      <w:bookmarkStart w:id="682" w:name="Tc_RQcwtl9EPEqj32TAj0v8rw_34_0"/>
      <w:bookmarkStart w:id="683" w:name="Tc_gEKz0gLl4ECrY0ylkUTwxQ_33_0"/>
      <w:bookmarkStart w:id="684" w:name="Tc_oy7DcfYb4k6DAlF2mgUQNw_32_21"/>
      <w:bookmarkStart w:id="685" w:name="Tc_RCxDW1rqu0e5RR8N-KbOdA_32_18"/>
      <w:bookmarkStart w:id="686" w:name="Tc_OoWCxnafpE6QOZ0DBXd4eA_32_15"/>
      <w:bookmarkStart w:id="687" w:name="Tc_xxX_lvH3gUqJwtuq7Od-dQ_32_12"/>
      <w:bookmarkStart w:id="688" w:name="Tc_BFLSzK5RAEGmRrZ7kPahjA_32_8"/>
      <w:bookmarkStart w:id="689" w:name="Tc_qViGOg3Z7kaHoenbs7tIWA_32_5"/>
      <w:bookmarkStart w:id="690" w:name="Tc_E7K7cIPam0ishkAGSOQ-Ow_32_2"/>
      <w:bookmarkStart w:id="691" w:name="Tc_GfKMVttwi0a8O3VIdkUteA_32_0"/>
      <w:bookmarkStart w:id="692" w:name="Tc_bWdM02aAZ0Ov9HRJF53bNw_31_0"/>
      <w:bookmarkStart w:id="693" w:name="Tc_Zxlt4B3tNEWl_RYpqbA7eA_30_0"/>
      <w:bookmarkStart w:id="694" w:name="Tc_EMORiVkhXESYhp9u6LwXRg_29_0"/>
      <w:bookmarkStart w:id="695" w:name="Tc_5fYvp0wSw0Kd-kB9dPtL3Q_28_19"/>
      <w:bookmarkStart w:id="696" w:name="Tc_f7jDbiE2N0abomgyapAOnA_28_0"/>
      <w:bookmarkStart w:id="697" w:name="Tc_zrcat4dax0-QZi8MOfKzCw_27_0"/>
      <w:bookmarkStart w:id="698" w:name="Tc_58y20l9O40ClIsDm5_vv4w_26_0"/>
      <w:bookmarkStart w:id="699" w:name="Tc_Tlqy4iaOGkKtRTCiU6WjIg_25_0"/>
      <w:bookmarkStart w:id="700" w:name="Tc_OqcqRwpPHEuuapT4XRccMQ_24_0"/>
      <w:bookmarkStart w:id="701" w:name="Tc_sSLGv1SaR0CtxpWz9whLPw_23_19"/>
      <w:bookmarkStart w:id="702" w:name="Tc_NFftDaWdkEWSD_uMD7MmsQ_23_0"/>
      <w:bookmarkStart w:id="703" w:name="Tc_3Q-eVwCvG0-zYmeSPXyoag_22_0"/>
      <w:bookmarkStart w:id="704" w:name="Tc_O_u3SyZGJUaeJuImU9aRJg_21_0"/>
      <w:bookmarkStart w:id="705" w:name="Tc_khaXoV6-vEKJnctLtOmNyw_20_0"/>
      <w:bookmarkStart w:id="706" w:name="Tc_ec7tFXHUREKsOWO7dr7Usg_19_0"/>
      <w:bookmarkStart w:id="707" w:name="Tc__G40fk35yEGVYSdzFPbMKA_18_0"/>
      <w:bookmarkStart w:id="708" w:name="Tc_UtMPj9MNoUe4y25DgXkTFw_17_21"/>
      <w:bookmarkStart w:id="709" w:name="Tc_m4ZErC68SkWJamCuBnq9eg_17_18"/>
      <w:bookmarkStart w:id="710" w:name="Tc_lGmF-ZwZvUGz5aAlL6oNrw_17_15"/>
      <w:bookmarkStart w:id="711" w:name="Tc_sMtd-jURskSv5-_WyUwanA_17_12"/>
      <w:bookmarkStart w:id="712" w:name="Tc_05-N9bKuN0-yb79Gs7qJlg_17_8"/>
      <w:bookmarkStart w:id="713" w:name="Tc_HOmX9nEh5U6zXAgPLWE_xw_17_5"/>
      <w:bookmarkStart w:id="714" w:name="Tc_w_4hxsaimEKkr76soORVow_17_2"/>
      <w:bookmarkStart w:id="715" w:name="Tc_l5_tLXK4TUmGBARiPIFgOA_17_0"/>
      <w:bookmarkStart w:id="716" w:name="Tc_6vB12BpkaUOKksof4CJZLg_16_0"/>
      <w:bookmarkStart w:id="717" w:name="Tc_Mc3qef-Xx0yDgcbvGMXRLg_15_0"/>
      <w:bookmarkStart w:id="718" w:name="Tc_RMs7WjShSECImCFlcbTCZQ_14_19"/>
      <w:bookmarkStart w:id="719" w:name="Tc_GJmaCCJ9kkCmFn5XQNAnkA_14_0"/>
      <w:bookmarkStart w:id="720" w:name="Tc_YUlbY7xFxU23Myv8gtrfDQ_13_0"/>
      <w:bookmarkStart w:id="721" w:name="Tc_xffsEg6PfkCwFmtXKV0-EQ_12_0"/>
      <w:bookmarkStart w:id="722" w:name="Tc_1KF14Ivx6Ei9Qez30FEh7A_11_0"/>
      <w:bookmarkStart w:id="723" w:name="Tc_k8kkd5WSPUmlY8YEoxcvkA_10_0"/>
      <w:bookmarkStart w:id="724" w:name="Tc_oB0rXoqKo0SWRB0DWx5YKg_9_0"/>
      <w:bookmarkStart w:id="725" w:name="Tc_qclwt7GYIEGQzHDeZxIJ7g_8_0"/>
      <w:bookmarkStart w:id="726" w:name="Tc_tkPfBBmDp0uleeOW86nFtQ_7_0"/>
      <w:bookmarkStart w:id="727" w:name="Tc_8luqufRThkCTHi4m4yrHrQ_6_0"/>
      <w:bookmarkStart w:id="728" w:name="Tc_3khaSaVQwki3C0myFr1ByA_5_22"/>
      <w:bookmarkStart w:id="729" w:name="Tc_9GvSIk5Jmk2Fca7JQ3CSjw_5_21"/>
      <w:bookmarkStart w:id="730" w:name="Tc_vs1VVwN1zkyjlKed4JufjQ_5_18"/>
      <w:bookmarkStart w:id="731" w:name="Tc_gJuQiSJ2SkiKSTq3de1Khg_5_15"/>
      <w:bookmarkStart w:id="732" w:name="Tc_YABy3Jw3P0C6Ct5S0jMzjg_5_12"/>
      <w:bookmarkStart w:id="733" w:name="Tc_LhtgGl2X1UeNprXu-ealag_5_8"/>
      <w:bookmarkStart w:id="734" w:name="Tc_EcJkrC8vhUm21xxwGxYMbg_5_5"/>
      <w:bookmarkStart w:id="735" w:name="Tc_HXbsYfB9uEaNXfbUvi1_CA_5_2"/>
      <w:bookmarkStart w:id="736" w:name="Tc_syLRH8aXlUeqJtem3mGlYg_5_0"/>
      <w:bookmarkStart w:id="737" w:name="Tc_vdtZjM2F1ECAYAt721TcSA_4_21"/>
      <w:bookmarkStart w:id="738" w:name="Tc_fLsf1i6lyESYJ8AxeYbxFQ_4_18"/>
      <w:bookmarkStart w:id="739" w:name="Tc_UKN_w-UX_keZ_cklcNaYSA_4_15"/>
      <w:bookmarkStart w:id="740" w:name="Tc_TZ_PIjZpOkSDrvu8vWMDjw_4_12"/>
      <w:bookmarkStart w:id="741" w:name="Tc_KKzd6cVTCU6pA1UjZdUTHg_4_8"/>
      <w:bookmarkStart w:id="742" w:name="Tc_ZF4Ug8imVU2aGdzHbVlftw_4_5"/>
      <w:bookmarkStart w:id="743" w:name="Tc_DLrc9eO7nkOSf6VpipImrg_4_2"/>
      <w:bookmarkStart w:id="744" w:name="Tc_dasin1hCR0aHhVJm_fdHZQ_3_21"/>
      <w:bookmarkStart w:id="745" w:name="Tc_7GbUYXqxFUmrsLc3AekFtg_3_15"/>
      <w:bookmarkStart w:id="746" w:name="Tc_6JEyUBfqbUGaNe8d8Pnluw_3_12"/>
      <w:bookmarkStart w:id="747" w:name="Tc_wPlHL4-ukEihEPW3vwv1oQ_3_8"/>
      <w:bookmarkStart w:id="748" w:name="Tc_0hpRM2_El0-QMvZQiAm2ew_3_5"/>
      <w:bookmarkStart w:id="749" w:name="Tc_X_Cgb7F7hkuYtsFAKw0ZMg_3_2"/>
      <w:bookmarkStart w:id="750" w:name="Tc_kvJK8HbioEiDdZV2rxfaaw_2_12"/>
      <w:bookmarkStart w:id="751" w:name="Tc__TnJaor55U-kXHmGKQs7SA_2_5"/>
      <w:bookmarkStart w:id="752" w:name="Tc_lbf23R6qRkitr_JKnfBvdw_1_3"/>
      <w:bookmarkStart w:id="753" w:name="Tc_GANlRO-qGEKQT_PUHbEYig_1_0"/>
      <w:bookmarkStart w:id="754" w:name="_a941637f_9ca0_43d5_83b2_2410679cb0ab"/>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tbl>
      <w:tblPr>
        <w:tblW w:w="10205" w:type="dxa"/>
        <w:jc w:val="left"/>
        <w:tblInd w:w="0" w:type="dxa"/>
        <w:tblLayout w:type="fixed"/>
        <w:tblCellMar>
          <w:top w:w="0" w:type="dxa"/>
          <w:left w:w="0" w:type="dxa"/>
          <w:bottom w:w="0" w:type="dxa"/>
          <w:right w:w="0" w:type="dxa"/>
        </w:tblCellMar>
      </w:tblPr>
      <w:tblGrid>
        <w:gridCol w:w="1522"/>
        <w:gridCol w:w="206"/>
        <w:gridCol w:w="196"/>
        <w:gridCol w:w="601"/>
        <w:gridCol w:w="206"/>
        <w:gridCol w:w="196"/>
        <w:gridCol w:w="691"/>
        <w:gridCol w:w="206"/>
        <w:gridCol w:w="196"/>
        <w:gridCol w:w="826"/>
        <w:gridCol w:w="109"/>
        <w:gridCol w:w="206"/>
        <w:gridCol w:w="390"/>
        <w:gridCol w:w="826"/>
        <w:gridCol w:w="206"/>
        <w:gridCol w:w="274"/>
        <w:gridCol w:w="927"/>
        <w:gridCol w:w="206"/>
        <w:gridCol w:w="206"/>
        <w:gridCol w:w="826"/>
        <w:gridCol w:w="206"/>
        <w:gridCol w:w="212"/>
        <w:gridCol w:w="765"/>
      </w:tblGrid>
      <w:tr>
        <w:trPr/>
        <w:tc>
          <w:tcPr>
            <w:tcW w:w="1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66470" cy="175260"/>
                      <wp:effectExtent l="0" t="0" r="0" b="0"/>
                      <wp:wrapNone/>
                      <wp:docPr id="312" name="Frame312"/>
                      <a:graphic xmlns:a="http://schemas.openxmlformats.org/drawingml/2006/main">
                        <a:graphicData uri="http://schemas.microsoft.com/office/word/2010/wordprocessingShape">
                          <wps:wsp>
                            <wps:cNvSpPr txBox="1"/>
                            <wps:spPr>
                              <a:xfrm>
                                <a:off x="0" y="0"/>
                                <a:ext cx="966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0810" cy="175260"/>
                      <wp:effectExtent l="0" t="0" r="0" b="0"/>
                      <wp:wrapNone/>
                      <wp:docPr id="313" name="Frame3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81635" cy="175260"/>
                      <wp:effectExtent l="0" t="0" r="0" b="0"/>
                      <wp:wrapNone/>
                      <wp:docPr id="315" name="Frame31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0810" cy="175260"/>
                      <wp:effectExtent l="0" t="0" r="0" b="0"/>
                      <wp:wrapNone/>
                      <wp:docPr id="316" name="Frame31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7"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38785" cy="175260"/>
                      <wp:effectExtent l="0" t="0" r="0" b="0"/>
                      <wp:wrapNone/>
                      <wp:docPr id="318" name="Frame3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0810" cy="175260"/>
                      <wp:effectExtent l="0" t="0" r="0" b="0"/>
                      <wp:wrapNone/>
                      <wp:docPr id="319" name="Frame3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24510" cy="175260"/>
                      <wp:effectExtent l="0" t="0" r="0" b="0"/>
                      <wp:wrapNone/>
                      <wp:docPr id="321" name="Frame32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0810" cy="175260"/>
                      <wp:effectExtent l="0" t="0" r="0" b="0"/>
                      <wp:wrapNone/>
                      <wp:docPr id="322" name="Frame32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47650" cy="175260"/>
                      <wp:effectExtent l="0" t="0" r="0" b="0"/>
                      <wp:wrapNone/>
                      <wp:docPr id="323" name="Frame32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24510" cy="175260"/>
                      <wp:effectExtent l="0" t="0" r="0" b="0"/>
                      <wp:wrapNone/>
                      <wp:docPr id="324" name="Frame3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0810" cy="175260"/>
                      <wp:effectExtent l="0" t="0" r="0" b="0"/>
                      <wp:wrapNone/>
                      <wp:docPr id="325" name="Frame3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3990" cy="175260"/>
                      <wp:effectExtent l="0" t="0" r="0" b="0"/>
                      <wp:wrapNone/>
                      <wp:docPr id="326" name="Frame32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88645" cy="175260"/>
                      <wp:effectExtent l="0" t="0" r="0" b="0"/>
                      <wp:wrapNone/>
                      <wp:docPr id="327" name="Frame327"/>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0810" cy="175260"/>
                      <wp:effectExtent l="0" t="0" r="0" b="0"/>
                      <wp:wrapNone/>
                      <wp:docPr id="328" name="Frame3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0810" cy="175260"/>
                      <wp:effectExtent l="0" t="0" r="0" b="0"/>
                      <wp:wrapNone/>
                      <wp:docPr id="329" name="Frame32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24510" cy="175260"/>
                      <wp:effectExtent l="0" t="0" r="0" b="0"/>
                      <wp:wrapNone/>
                      <wp:docPr id="330" name="Frame3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0810" cy="175260"/>
                      <wp:effectExtent l="0" t="0" r="0" b="0"/>
                      <wp:wrapNone/>
                      <wp:docPr id="331" name="Frame3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4620" cy="175260"/>
                      <wp:effectExtent l="0" t="0" r="0" b="0"/>
                      <wp:wrapNone/>
                      <wp:docPr id="332" name="Frame33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85775" cy="175260"/>
                      <wp:effectExtent l="0" t="0" r="0" b="0"/>
                      <wp:wrapNone/>
                      <wp:docPr id="333" name="Frame33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data)</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7098" w:type="dxa"/>
            <w:gridSpan w:val="1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 Interest Shareholders’ Equity</w:t>
            </w:r>
          </w:p>
        </w:tc>
        <w:tc>
          <w:tcPr>
            <w:tcW w:w="20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pPr>
            <w:r>
              <w:rPr/>
              <w:t>​</w:t>
            </w:r>
          </w:p>
        </w:tc>
      </w:tr>
      <w:tr>
        <w:trPr/>
        <w:tc>
          <w:tcPr>
            <w:tcW w:w="1522"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20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pPr>
            <w:r>
              <w:rPr/>
              <w:t>​</w:t>
            </w:r>
          </w:p>
        </w:tc>
      </w:tr>
      <w:tr>
        <w:trPr/>
        <w:tc>
          <w:tcPr>
            <w:tcW w:w="1522"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1"/>
              <w:ind w:left="0" w:right="0" w:hanging="0"/>
              <w:jc w:val="left"/>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Temporary</w:t>
            </w:r>
          </w:p>
        </w:tc>
      </w:tr>
      <w:tr>
        <w:trPr/>
        <w:tc>
          <w:tcPr>
            <w:tcW w:w="1522"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9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06" w:type="dxa"/>
            <w:tcBorders/>
            <w:vAlign w:val="center"/>
          </w:tcPr>
          <w:p>
            <w:pPr>
              <w:pStyle w:val="TableContents"/>
              <w:bidi w:val="0"/>
              <w:spacing w:before="0" w:after="1"/>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1"/>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1"/>
              <w:ind w:left="0" w:right="0" w:hanging="0"/>
              <w:jc w:val="left"/>
              <w:rPr/>
            </w:pPr>
            <w:r>
              <w:rPr/>
              <w:t>  </w:t>
            </w:r>
          </w:p>
        </w:tc>
        <w:tc>
          <w:tcPr>
            <w:tcW w:w="120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(NCI)</w:t>
            </w:r>
          </w:p>
        </w:tc>
        <w:tc>
          <w:tcPr>
            <w:tcW w:w="206" w:type="dxa"/>
            <w:tcBorders/>
            <w:vAlign w:val="center"/>
          </w:tcPr>
          <w:p>
            <w:pPr>
              <w:pStyle w:val="TableContents"/>
              <w:bidi w:val="0"/>
              <w:spacing w:before="0" w:after="1"/>
              <w:ind w:left="0" w:right="0" w:hanging="0"/>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06" w:type="dxa"/>
            <w:tcBorders/>
            <w:vAlign w:val="center"/>
          </w:tcPr>
          <w:p>
            <w:pPr>
              <w:pStyle w:val="TableContents"/>
              <w:bidi w:val="0"/>
              <w:spacing w:before="0" w:after="1"/>
              <w:ind w:left="0" w:right="0" w:hanging="0"/>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December 26, 2020</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61,206</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218,224</w:t>
            </w:r>
          </w:p>
        </w:tc>
        <w:tc>
          <w:tcPr>
            <w:tcW w:w="20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1,182,680</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(1,794)</w:t>
            </w:r>
          </w:p>
        </w:tc>
        <w:tc>
          <w:tcPr>
            <w:tcW w:w="20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22,836</w:t>
            </w:r>
          </w:p>
        </w:tc>
        <w:tc>
          <w:tcPr>
            <w:tcW w:w="20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1,483,152</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535,640</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20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16,724</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552,364</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(2,584)</w:t>
            </w:r>
          </w:p>
        </w:tc>
        <w:tc>
          <w:tcPr>
            <w:tcW w:w="20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(1,685)</w:t>
            </w:r>
          </w:p>
        </w:tc>
        <w:tc>
          <w:tcPr>
            <w:tcW w:w="20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(4,269)</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 and other</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90"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w:t>
            </w:r>
          </w:p>
        </w:tc>
        <w:tc>
          <w:tcPr>
            <w:tcW w:w="20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  </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(6,750)</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(6,750)</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NCI related to business combinations</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6,831</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6,831</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dividends - $0.65 per share</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(40,209)</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(40,209)</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33,104 shares under employee stock purchase plan</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2,083</w:t>
            </w:r>
          </w:p>
        </w:tc>
        <w:tc>
          <w:tcPr>
            <w:tcW w:w="20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90"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2,116</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546,235 shares under stock grant programs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3,506</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4,062</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116,732 shares under deferred compensation plan</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20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90"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11,071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11,071</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9,228</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90"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pPr>
            <w:r>
              <w:rPr/>
              <w:t>  </w:t>
            </w:r>
          </w:p>
        </w:tc>
        <w:tc>
          <w:tcPr>
            <w:tcW w:w="206" w:type="dxa"/>
            <w:tcBorders/>
            <w:vAlign w:val="center"/>
          </w:tcPr>
          <w:p>
            <w:pPr>
              <w:pStyle w:val="TableContents"/>
              <w:bidi w:val="0"/>
              <w:spacing w:before="0" w:after="1"/>
              <w:ind w:left="0" w:right="0" w:hanging="0"/>
              <w:jc w:val="left"/>
              <w:rPr/>
            </w:pPr>
            <w:r>
              <w:rPr/>
              <w:t>​</w:t>
            </w:r>
          </w:p>
        </w:tc>
        <w:tc>
          <w:tcPr>
            <w:tcW w:w="274"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12" w:space="0" w:color="000000"/>
            </w:tcBorders>
            <w:tcMar>
              <w:bottom w:w="28" w:type="dxa"/>
            </w:tcMar>
            <w:vAlign w:val="center"/>
          </w:tcPr>
          <w:p>
            <w:pPr>
              <w:pStyle w:val="TableContents"/>
              <w:bidi w:val="0"/>
              <w:spacing w:before="0" w:after="1"/>
              <w:ind w:left="0" w:right="0" w:hanging="0"/>
              <w:jc w:val="right"/>
              <w:rPr/>
            </w:pPr>
            <w:r>
              <w:rPr/>
              <w:t>  </w:t>
            </w:r>
          </w:p>
        </w:tc>
        <w:tc>
          <w:tcPr>
            <w:tcW w:w="206" w:type="dxa"/>
            <w:tcBorders/>
            <w:vAlign w:val="center"/>
          </w:tcPr>
          <w:p>
            <w:pPr>
              <w:pStyle w:val="TableContents"/>
              <w:bidi w:val="0"/>
              <w:spacing w:before="0" w:after="1"/>
              <w:ind w:left="0" w:right="0" w:hanging="0"/>
              <w:jc w:val="left"/>
              <w:rPr/>
            </w:pPr>
            <w:r>
              <w:rPr/>
              <w:t>​</w:t>
            </w:r>
          </w:p>
        </w:tc>
        <w:tc>
          <w:tcPr>
            <w:tcW w:w="20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9,228</w:t>
            </w:r>
          </w:p>
        </w:tc>
        <w:tc>
          <w:tcPr>
            <w:tcW w:w="206" w:type="dxa"/>
            <w:tcBorders/>
            <w:vAlign w:val="center"/>
          </w:tcPr>
          <w:p>
            <w:pPr>
              <w:pStyle w:val="TableContents"/>
              <w:bidi w:val="0"/>
              <w:spacing w:before="0" w:after="1"/>
              <w:ind w:left="0" w:right="0" w:hanging="0"/>
              <w:jc w:val="left"/>
              <w:rPr/>
            </w:pPr>
            <w:r>
              <w:rPr/>
              <w:t>​</w:t>
            </w:r>
          </w:p>
        </w:tc>
        <w:tc>
          <w:tcPr>
            <w:tcW w:w="212"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December 25, 2021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61,902</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243,995</w:t>
            </w:r>
          </w:p>
        </w:tc>
        <w:tc>
          <w:tcPr>
            <w:tcW w:w="20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1,678,121</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(5,405)</w:t>
            </w:r>
          </w:p>
        </w:tc>
        <w:tc>
          <w:tcPr>
            <w:tcW w:w="20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37,956</w:t>
            </w:r>
          </w:p>
        </w:tc>
        <w:tc>
          <w:tcPr>
            <w:tcW w:w="20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2,016,569</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692,651</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12,210</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704,861</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(1,841)</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1,802</w:t>
            </w:r>
          </w:p>
        </w:tc>
        <w:tc>
          <w:tcPr>
            <w:tcW w:w="20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(630)</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 and other</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(1,829)</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(1,829)</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NCI</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(12,024)</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(12,024)</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Contributions to NCI</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NCI related to business combinations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Redeemable NCI</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(7,641)</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(7,641)</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7,641</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dividends - $0.95 per share</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(58,860)</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(58,860)</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44,012 shares under employee stock purchase plan</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2,725</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2,769</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805,562 shares under stock grant programs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9,919</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10,750</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113,384 shares under deferred compensation plan</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1,246,616 shares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(1,247)</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(94,527)</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(95,774)</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27,987</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27,987</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9,516</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9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7"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9,516</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December 31, 2022</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61,618</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294,029</w:t>
            </w:r>
          </w:p>
        </w:tc>
        <w:tc>
          <w:tcPr>
            <w:tcW w:w="20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2,217,410</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(9,075)</w:t>
            </w:r>
          </w:p>
        </w:tc>
        <w:tc>
          <w:tcPr>
            <w:tcW w:w="20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32,841</w:t>
            </w:r>
          </w:p>
        </w:tc>
        <w:tc>
          <w:tcPr>
            <w:tcW w:w="20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2,596,823</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6,880</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 (loss)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514,312</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663</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514,975</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9,762</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4,267</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14,029</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investments and other</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NCI</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(7,355)</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(7,355)</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remaining NCI of subsidiary</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(1,210)</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(917)</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NCI related to business combinations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13,237</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dividends - $1.10 per share</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(68,238)</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(68,238)</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32,944 shares under employee stock purchase plan</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2,717</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2,750</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820,591 shares under stock grant programs</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14,485</w:t>
            </w:r>
          </w:p>
        </w:tc>
        <w:tc>
          <w:tcPr>
            <w:tcW w:w="2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15,328</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124,145 shares under deferred compensation plan</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974,869 shares</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(975)</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(81,174)</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90"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right"/>
              <w:rPr/>
            </w:pPr>
            <w:r>
              <w:rPr/>
              <w:t>​</w:t>
            </w:r>
          </w:p>
        </w:tc>
        <w:tc>
          <w:tcPr>
            <w:tcW w:w="92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(82,149)</w:t>
            </w:r>
          </w:p>
        </w:tc>
        <w:tc>
          <w:tcPr>
            <w:tcW w:w="20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compensation arrangements</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34,727</w:t>
            </w:r>
          </w:p>
        </w:tc>
        <w:tc>
          <w:tcPr>
            <w:tcW w:w="2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90"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34,727</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15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 under deferred compensation plans</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10,895</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90"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7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10,895</w:t>
            </w:r>
          </w:p>
        </w:tc>
        <w:tc>
          <w:tcPr>
            <w:tcW w:w="206" w:type="dxa"/>
            <w:tcBorders/>
            <w:vAlign w:val="center"/>
          </w:tcPr>
          <w:p>
            <w:pPr>
              <w:pStyle w:val="TableContents"/>
              <w:bidi w:val="0"/>
              <w:spacing w:before="0" w:after="1"/>
              <w:ind w:left="0" w:right="0" w:hanging="0"/>
              <w:jc w:val="left"/>
              <w:rPr/>
            </w:pPr>
            <w:r>
              <w:rPr/>
              <w:t>​</w:t>
            </w:r>
          </w:p>
        </w:tc>
        <w:tc>
          <w:tcPr>
            <w:tcW w:w="212"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152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on December 30, 2023</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61,621</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354,702</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2,582,332</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1,106</w:t>
            </w:r>
          </w:p>
        </w:tc>
        <w:tc>
          <w:tcPr>
            <w:tcW w:w="20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30,429</w:t>
            </w:r>
          </w:p>
        </w:tc>
        <w:tc>
          <w:tcPr>
            <w:tcW w:w="20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3,030,190</w:t>
            </w:r>
          </w:p>
        </w:tc>
        <w:tc>
          <w:tcPr>
            <w:tcW w:w="20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20,030</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5" w:name="_2c575d8e_262b_4d39_8ec4_c88fffe5396a"/>
      <w:bookmarkEnd w:id="755"/>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bookmarkStart w:id="756" w:name="CASHFLOWS_274359"/>
      <w:bookmarkStart w:id="757" w:name="_CONSOLIDATED_STATEMENTS_OF_2"/>
      <w:bookmarkEnd w:id="756"/>
      <w:bookmarkEnd w:id="757"/>
      <w:r>
        <w:rPr>
          <w:rFonts w:ascii="Times New Roman;Times;serif" w:hAnsi="Times New Roman;Times;serif"/>
          <w:b/>
          <w:sz w:val="20"/>
        </w:rPr>
        <w:t>CONSOLIDATED STATEMENTS OF CASH FLOWS</w:t>
      </w:r>
    </w:p>
    <w:p>
      <w:pPr>
        <w:pStyle w:val="Normal"/>
        <w:bidi w:val="0"/>
        <w:spacing w:before="0" w:after="0"/>
        <w:jc w:val="left"/>
        <w:rPr>
          <w:sz w:val="4"/>
          <w:szCs w:val="4"/>
        </w:rPr>
      </w:pPr>
      <w:r>
        <w:rPr>
          <w:sz w:val="4"/>
          <w:szCs w:val="4"/>
        </w:rPr>
      </w:r>
      <w:bookmarkStart w:id="758" w:name="Tc_MwHH79sDbU2euJJHzl9cfQ_62_8"/>
      <w:bookmarkStart w:id="759" w:name="Tc_M83EAdj2wkG3d0NHbr0bKw_62_5"/>
      <w:bookmarkStart w:id="760" w:name="Tc_81LN-FHb8kSGMopMIJ-mCQ_62_2"/>
      <w:bookmarkStart w:id="761" w:name="Tc_moknovuUvUmwiUkoWwceRw_62_0"/>
      <w:bookmarkStart w:id="762" w:name="Tc_EcOhMBMXrUOE6B5lOv0cUQ_61_0"/>
      <w:bookmarkStart w:id="763" w:name="Tc_SajplBit0kCpswEsxYNWHQ_60_0"/>
      <w:bookmarkStart w:id="764" w:name="Tc_P42ojjNIBEKnRIfrOf7nGQ_59_0"/>
      <w:bookmarkStart w:id="765" w:name="Tc_ISzjII313ke2SNpQ-xhGrQ_58_0"/>
      <w:bookmarkStart w:id="766" w:name="Tc_oqJjxZmJV0GbOmAnJihPdQ_57_8"/>
      <w:bookmarkStart w:id="767" w:name="Tc_38TjaE7qbEWlMNlHiUjM9Q_57_5"/>
      <w:bookmarkStart w:id="768" w:name="Tc_Mg0TRKfo8UOXQPnor8lkNQ_57_2"/>
      <w:bookmarkStart w:id="769" w:name="Tc_pTZOz8WB_kuFflbPI67C0Q_57_0"/>
      <w:bookmarkStart w:id="770" w:name="Tc_jlDuS5Evi0mt-0ZQT-Wkfw_56_0"/>
      <w:bookmarkStart w:id="771" w:name="Tc_wj22lLCskE-FvY8Xt4XbBA_54_8"/>
      <w:bookmarkStart w:id="772" w:name="Tc_vR5mL144MUOwx4wT793m7Q_54_5"/>
      <w:bookmarkStart w:id="773" w:name="Tc_E9Ch4wBRFEWzpnTpIzaisQ_54_2"/>
      <w:bookmarkStart w:id="774" w:name="Tc_2gmsIDiFGES98eUqi6mAfQ_54_0"/>
      <w:bookmarkStart w:id="775" w:name="Tc_nkS4JER-rk2Xuac85Iy_nQ_53_0"/>
      <w:bookmarkStart w:id="776" w:name="Tc_qAHcSfQ8qUaYT2iPh52FOw_52_8"/>
      <w:bookmarkStart w:id="777" w:name="Tc_KNb8w6ICK0qYR57mTJoDyQ_52_5"/>
      <w:bookmarkStart w:id="778" w:name="Tc_tFjrIe1k10uR2m_AG2daDw_52_2"/>
      <w:bookmarkStart w:id="779" w:name="Tc_dYbb9_51bkSJdvnivP8QnA_52_0"/>
      <w:bookmarkStart w:id="780" w:name="Tc_OFaQIycPwkOp-DiXLLmToA_50_8"/>
      <w:bookmarkStart w:id="781" w:name="Tc_xOFFjqYXr0244dgsYQwVwg_50_5"/>
      <w:bookmarkStart w:id="782" w:name="Tc_nK6bcUD1HkyHY-o5bg7wyg_50_2"/>
      <w:bookmarkStart w:id="783" w:name="Tc_Yi3CArvfSUqZ2aCq1cPSkw_50_0"/>
      <w:bookmarkStart w:id="784" w:name="Tc_B-9nU-nnIkOY1TsNnAT7Ng_49_0"/>
      <w:bookmarkStart w:id="785" w:name="Tc_8gBT_Uz_eUympg2J_C3MRA_48_8"/>
      <w:bookmarkStart w:id="786" w:name="Tc_Gg3HR0a_ckGzjv9ceEboUg_48_5"/>
      <w:bookmarkStart w:id="787" w:name="Tc_CM7AJ9QyMkaHaZamTtS_EQ_48_2"/>
      <w:bookmarkStart w:id="788" w:name="Tc_C5DJQxGgikmM1hzdwxebXw_48_0"/>
      <w:bookmarkStart w:id="789" w:name="Tc_3v95205uAUevejGDWsTumw_47_0"/>
      <w:bookmarkStart w:id="790" w:name="Tc_2LcmiHlQe0yCvm9cfGG8Wg_45_8"/>
      <w:bookmarkStart w:id="791" w:name="Tc_gkyOf6RTykC5CvRyfKqtlg_45_5"/>
      <w:bookmarkStart w:id="792" w:name="Tc_mrm4sVkkWUSywVViOfKSyA_45_2"/>
      <w:bookmarkStart w:id="793" w:name="Tc_r-aSrQGrF0SIg7ru_41UtQ_45_0"/>
      <w:bookmarkStart w:id="794" w:name="Tc_JA4wfSNRhkKZq3ASo2mm6A_44_0"/>
      <w:bookmarkStart w:id="795" w:name="Tc_sz_GItAPhkWZlhYqBGelmg_43_0"/>
      <w:bookmarkStart w:id="796" w:name="Tc_othYjRM-RUufKGDUzGw0Iw_42_0"/>
      <w:bookmarkStart w:id="797" w:name="Tc_T3Ge4uZKEkiMEx1wfdKrHw_41_0"/>
      <w:bookmarkStart w:id="798" w:name="Tc_hSRRl4Wd2k6IgeHGtYLr7A_40_0"/>
      <w:bookmarkStart w:id="799" w:name="Tc_DxqfN756nECJ5V7j2JrbvA_39_9"/>
      <w:bookmarkStart w:id="800" w:name="Tc_O_JCztL0XEGl2CVzdmidCA_39_0"/>
      <w:bookmarkStart w:id="801" w:name="Tc_bcG04zsn4EKeg2lsQTDKhg_38_0"/>
      <w:bookmarkStart w:id="802" w:name="Tc_ZTpejUS6xEu54TJPTdPNxQ_37_0"/>
      <w:bookmarkStart w:id="803" w:name="Tc_J6NrcNrtwkuxXpT9SXOYeA_36_0"/>
      <w:bookmarkStart w:id="804" w:name="Tc_zldmKoaF6Eejmxiu0fhc1g_35_0"/>
      <w:bookmarkStart w:id="805" w:name="Tc_w0mKDiPRLECpLk0-UQ1KQw_34_9"/>
      <w:bookmarkStart w:id="806" w:name="Tc_yC161jCvc0mq3Qp9cfMnbw_34_0"/>
      <w:bookmarkStart w:id="807" w:name="Tc_dNxz2eWqk0WQbk7AKpibeg_33_0"/>
      <w:bookmarkStart w:id="808" w:name="Tc_7pXMe_l6c0Cpbj6H_YaYAA_32_0"/>
      <w:bookmarkStart w:id="809" w:name="Tc_WLDmllAfZUOJfq44MBhGpA_31_0"/>
      <w:bookmarkStart w:id="810" w:name="Tc_w9Fo_ypPA0il6d5TepvLhA_30_0"/>
      <w:bookmarkStart w:id="811" w:name="Tc_2oubV-VvJUOsiv9P0a5tbQ_29_0"/>
      <w:bookmarkStart w:id="812" w:name="Tc_DbNrDlOEGUeUNSETAparUg_28_0"/>
      <w:bookmarkStart w:id="813" w:name="Tc_TYSFdbciVES0v94ePFVaRw_27_0"/>
      <w:bookmarkStart w:id="814" w:name="Tc_Pxeva3WVI0aQc9GkBHorCw_26_9"/>
      <w:bookmarkStart w:id="815" w:name="Tc_jsSvdUPnWkCvRE3Baj0pvA_26_6"/>
      <w:bookmarkStart w:id="816" w:name="Tc_tTOTlHQSBUuPLm-OEhwAKQ_26_0"/>
      <w:bookmarkStart w:id="817" w:name="Tc_Ww7Q4w9gE0GMM5V_Sem5oQ_25_0"/>
      <w:bookmarkStart w:id="818" w:name="Tc_HXy9ImE4yEOFOvP5DaeA0g_24_0"/>
      <w:bookmarkStart w:id="819" w:name="Tc_JKhKgqvDY0qnatUwim8VIQ_23_0"/>
      <w:bookmarkStart w:id="820" w:name="Tc_-y-vPVqfJ0Sw-Cgc38G0Ww_22_0"/>
      <w:bookmarkStart w:id="821" w:name="Tc_GvNdf5rg30-kDwDy3jRApA_21_0"/>
      <w:bookmarkStart w:id="822" w:name="Tc_Hv2iynBDlUSJkLa2WipwDA_20_0"/>
      <w:bookmarkStart w:id="823" w:name="Tc_j90IVcopvEiL-ZqPSqD-Qw_19_0"/>
      <w:bookmarkStart w:id="824" w:name="Tc_Aek2RdhoC0mPO2cInq046g_18_0"/>
      <w:bookmarkStart w:id="825" w:name="Tc_b7LiH_9j1UuVsCPZ2o6X4w_17_0"/>
      <w:bookmarkStart w:id="826" w:name="Tc_GEATpoPqaU-2JY15tgHhRw_16_0"/>
      <w:bookmarkStart w:id="827" w:name="Tc_aAIwp2OFBEeMhmpRt_OMQw_15_9"/>
      <w:bookmarkStart w:id="828" w:name="Tc_pa8Hki5M4km763IPIeHkwQ_15_6"/>
      <w:bookmarkStart w:id="829" w:name="Tc_ekTVQocZRUqqCyIfCRadxQ_15_0"/>
      <w:bookmarkStart w:id="830" w:name="Tc_ACuHDC1QME2pN57dPzPJNA_14_9"/>
      <w:bookmarkStart w:id="831" w:name="Tc_9tFD9yLxSUOuAYib9e4trA_14_3"/>
      <w:bookmarkStart w:id="832" w:name="Tc_S65Kli_48UiGuWsOFZ3mQQ_14_0"/>
      <w:bookmarkStart w:id="833" w:name="Tc_yvDNEWD3oUyik8YLY8D8_w_13_0"/>
      <w:bookmarkStart w:id="834" w:name="Tc_yLcwZg9epEmhife3ErVuqQ_12_0"/>
      <w:bookmarkStart w:id="835" w:name="Tc_EqzjIh6bakSIh_oKMS9CEg_11_0"/>
      <w:bookmarkStart w:id="836" w:name="Tc_scccwMpYJEOxIKMj-XFg_w_10_0"/>
      <w:bookmarkStart w:id="837" w:name="Tc_IB7mfpA2bk6WMCzAtJhsKQ_9_0"/>
      <w:bookmarkStart w:id="838" w:name="Tc_6DIDaFaWY0Se5DStgc3MLA_8_0"/>
      <w:bookmarkStart w:id="839" w:name="Tc__RkqNbFaWk6DsPP_E9vkog_7_0"/>
      <w:bookmarkStart w:id="840" w:name="Tc_QPlU8HeW-ESzI0BECI1zew_6_0"/>
      <w:bookmarkStart w:id="841" w:name="Tc_8goo85ZkfEyBCL_Qk5ykrw_5_8"/>
      <w:bookmarkStart w:id="842" w:name="Tc_DKyS8ugOO02IZEk3AlLxqg_5_5"/>
      <w:bookmarkStart w:id="843" w:name="Tc_87CT8oRSu0CyaDiM6w7Dhw_5_2"/>
      <w:bookmarkStart w:id="844" w:name="Tc_0Ew5GbVDpUi-GtdINDfimQ_5_0"/>
      <w:bookmarkStart w:id="845" w:name="Tc_uXSUcQCW8EWm8XuWWg53Wg_4_0"/>
      <w:bookmarkStart w:id="846" w:name="Tc_b6Q7MMAzDUmg5x5lh-5BEg_3_8"/>
      <w:bookmarkStart w:id="847" w:name="Tc_59l_ht95yEqwex-f1N-SfA_3_5"/>
      <w:bookmarkStart w:id="848" w:name="Tc_AFm5s4mV60eblABPl5jBpQ_3_2"/>
      <w:bookmarkStart w:id="849" w:name="Tc_2Oiv61Tgfk-EISdY8kE9oA_2_8"/>
      <w:bookmarkStart w:id="850" w:name="Tc_z1BrWPPsYUarEgTbTvTJUw_2_5"/>
      <w:bookmarkStart w:id="851" w:name="Tc_OKB-Hx9C5U-5lwgtTuio2g_2_2"/>
      <w:bookmarkStart w:id="852" w:name="Tc_BxfgD7sSmUyRfo0ncbvLGA_1_2"/>
      <w:bookmarkStart w:id="853" w:name="Tc_ipKpevYb4U6C0zoXVKrmGA_1_0"/>
      <w:bookmarkStart w:id="854" w:name="_84babd1a_f0a2_4b26_8f40_201bc5d500a5"/>
      <w:bookmarkStart w:id="855" w:name="Tc_MwHH79sDbU2euJJHzl9cfQ_62_8"/>
      <w:bookmarkStart w:id="856" w:name="Tc_M83EAdj2wkG3d0NHbr0bKw_62_5"/>
      <w:bookmarkStart w:id="857" w:name="Tc_81LN-FHb8kSGMopMIJ-mCQ_62_2"/>
      <w:bookmarkStart w:id="858" w:name="Tc_moknovuUvUmwiUkoWwceRw_62_0"/>
      <w:bookmarkStart w:id="859" w:name="Tc_EcOhMBMXrUOE6B5lOv0cUQ_61_0"/>
      <w:bookmarkStart w:id="860" w:name="Tc_SajplBit0kCpswEsxYNWHQ_60_0"/>
      <w:bookmarkStart w:id="861" w:name="Tc_P42ojjNIBEKnRIfrOf7nGQ_59_0"/>
      <w:bookmarkStart w:id="862" w:name="Tc_ISzjII313ke2SNpQ-xhGrQ_58_0"/>
      <w:bookmarkStart w:id="863" w:name="Tc_oqJjxZmJV0GbOmAnJihPdQ_57_8"/>
      <w:bookmarkStart w:id="864" w:name="Tc_38TjaE7qbEWlMNlHiUjM9Q_57_5"/>
      <w:bookmarkStart w:id="865" w:name="Tc_Mg0TRKfo8UOXQPnor8lkNQ_57_2"/>
      <w:bookmarkStart w:id="866" w:name="Tc_pTZOz8WB_kuFflbPI67C0Q_57_0"/>
      <w:bookmarkStart w:id="867" w:name="Tc_jlDuS5Evi0mt-0ZQT-Wkfw_56_0"/>
      <w:bookmarkStart w:id="868" w:name="Tc_wj22lLCskE-FvY8Xt4XbBA_54_8"/>
      <w:bookmarkStart w:id="869" w:name="Tc_vR5mL144MUOwx4wT793m7Q_54_5"/>
      <w:bookmarkStart w:id="870" w:name="Tc_E9Ch4wBRFEWzpnTpIzaisQ_54_2"/>
      <w:bookmarkStart w:id="871" w:name="Tc_2gmsIDiFGES98eUqi6mAfQ_54_0"/>
      <w:bookmarkStart w:id="872" w:name="Tc_nkS4JER-rk2Xuac85Iy_nQ_53_0"/>
      <w:bookmarkStart w:id="873" w:name="Tc_qAHcSfQ8qUaYT2iPh52FOw_52_8"/>
      <w:bookmarkStart w:id="874" w:name="Tc_KNb8w6ICK0qYR57mTJoDyQ_52_5"/>
      <w:bookmarkStart w:id="875" w:name="Tc_tFjrIe1k10uR2m_AG2daDw_52_2"/>
      <w:bookmarkStart w:id="876" w:name="Tc_dYbb9_51bkSJdvnivP8QnA_52_0"/>
      <w:bookmarkStart w:id="877" w:name="Tc_OFaQIycPwkOp-DiXLLmToA_50_8"/>
      <w:bookmarkStart w:id="878" w:name="Tc_xOFFjqYXr0244dgsYQwVwg_50_5"/>
      <w:bookmarkStart w:id="879" w:name="Tc_nK6bcUD1HkyHY-o5bg7wyg_50_2"/>
      <w:bookmarkStart w:id="880" w:name="Tc_Yi3CArvfSUqZ2aCq1cPSkw_50_0"/>
      <w:bookmarkStart w:id="881" w:name="Tc_B-9nU-nnIkOY1TsNnAT7Ng_49_0"/>
      <w:bookmarkStart w:id="882" w:name="Tc_8gBT_Uz_eUympg2J_C3MRA_48_8"/>
      <w:bookmarkStart w:id="883" w:name="Tc_Gg3HR0a_ckGzjv9ceEboUg_48_5"/>
      <w:bookmarkStart w:id="884" w:name="Tc_CM7AJ9QyMkaHaZamTtS_EQ_48_2"/>
      <w:bookmarkStart w:id="885" w:name="Tc_C5DJQxGgikmM1hzdwxebXw_48_0"/>
      <w:bookmarkStart w:id="886" w:name="Tc_3v95205uAUevejGDWsTumw_47_0"/>
      <w:bookmarkStart w:id="887" w:name="Tc_2LcmiHlQe0yCvm9cfGG8Wg_45_8"/>
      <w:bookmarkStart w:id="888" w:name="Tc_gkyOf6RTykC5CvRyfKqtlg_45_5"/>
      <w:bookmarkStart w:id="889" w:name="Tc_mrm4sVkkWUSywVViOfKSyA_45_2"/>
      <w:bookmarkStart w:id="890" w:name="Tc_r-aSrQGrF0SIg7ru_41UtQ_45_0"/>
      <w:bookmarkStart w:id="891" w:name="Tc_JA4wfSNRhkKZq3ASo2mm6A_44_0"/>
      <w:bookmarkStart w:id="892" w:name="Tc_sz_GItAPhkWZlhYqBGelmg_43_0"/>
      <w:bookmarkStart w:id="893" w:name="Tc_othYjRM-RUufKGDUzGw0Iw_42_0"/>
      <w:bookmarkStart w:id="894" w:name="Tc_T3Ge4uZKEkiMEx1wfdKrHw_41_0"/>
      <w:bookmarkStart w:id="895" w:name="Tc_hSRRl4Wd2k6IgeHGtYLr7A_40_0"/>
      <w:bookmarkStart w:id="896" w:name="Tc_DxqfN756nECJ5V7j2JrbvA_39_9"/>
      <w:bookmarkStart w:id="897" w:name="Tc_O_JCztL0XEGl2CVzdmidCA_39_0"/>
      <w:bookmarkStart w:id="898" w:name="Tc_bcG04zsn4EKeg2lsQTDKhg_38_0"/>
      <w:bookmarkStart w:id="899" w:name="Tc_ZTpejUS6xEu54TJPTdPNxQ_37_0"/>
      <w:bookmarkStart w:id="900" w:name="Tc_J6NrcNrtwkuxXpT9SXOYeA_36_0"/>
      <w:bookmarkStart w:id="901" w:name="Tc_zldmKoaF6Eejmxiu0fhc1g_35_0"/>
      <w:bookmarkStart w:id="902" w:name="Tc_w0mKDiPRLECpLk0-UQ1KQw_34_9"/>
      <w:bookmarkStart w:id="903" w:name="Tc_yC161jCvc0mq3Qp9cfMnbw_34_0"/>
      <w:bookmarkStart w:id="904" w:name="Tc_dNxz2eWqk0WQbk7AKpibeg_33_0"/>
      <w:bookmarkStart w:id="905" w:name="Tc_7pXMe_l6c0Cpbj6H_YaYAA_32_0"/>
      <w:bookmarkStart w:id="906" w:name="Tc_WLDmllAfZUOJfq44MBhGpA_31_0"/>
      <w:bookmarkStart w:id="907" w:name="Tc_w9Fo_ypPA0il6d5TepvLhA_30_0"/>
      <w:bookmarkStart w:id="908" w:name="Tc_2oubV-VvJUOsiv9P0a5tbQ_29_0"/>
      <w:bookmarkStart w:id="909" w:name="Tc_DbNrDlOEGUeUNSETAparUg_28_0"/>
      <w:bookmarkStart w:id="910" w:name="Tc_TYSFdbciVES0v94ePFVaRw_27_0"/>
      <w:bookmarkStart w:id="911" w:name="Tc_Pxeva3WVI0aQc9GkBHorCw_26_9"/>
      <w:bookmarkStart w:id="912" w:name="Tc_jsSvdUPnWkCvRE3Baj0pvA_26_6"/>
      <w:bookmarkStart w:id="913" w:name="Tc_tTOTlHQSBUuPLm-OEhwAKQ_26_0"/>
      <w:bookmarkStart w:id="914" w:name="Tc_Ww7Q4w9gE0GMM5V_Sem5oQ_25_0"/>
      <w:bookmarkStart w:id="915" w:name="Tc_HXy9ImE4yEOFOvP5DaeA0g_24_0"/>
      <w:bookmarkStart w:id="916" w:name="Tc_JKhKgqvDY0qnatUwim8VIQ_23_0"/>
      <w:bookmarkStart w:id="917" w:name="Tc_-y-vPVqfJ0Sw-Cgc38G0Ww_22_0"/>
      <w:bookmarkStart w:id="918" w:name="Tc_GvNdf5rg30-kDwDy3jRApA_21_0"/>
      <w:bookmarkStart w:id="919" w:name="Tc_Hv2iynBDlUSJkLa2WipwDA_20_0"/>
      <w:bookmarkStart w:id="920" w:name="Tc_j90IVcopvEiL-ZqPSqD-Qw_19_0"/>
      <w:bookmarkStart w:id="921" w:name="Tc_Aek2RdhoC0mPO2cInq046g_18_0"/>
      <w:bookmarkStart w:id="922" w:name="Tc_b7LiH_9j1UuVsCPZ2o6X4w_17_0"/>
      <w:bookmarkStart w:id="923" w:name="Tc_GEATpoPqaU-2JY15tgHhRw_16_0"/>
      <w:bookmarkStart w:id="924" w:name="Tc_aAIwp2OFBEeMhmpRt_OMQw_15_9"/>
      <w:bookmarkStart w:id="925" w:name="Tc_pa8Hki5M4km763IPIeHkwQ_15_6"/>
      <w:bookmarkStart w:id="926" w:name="Tc_ekTVQocZRUqqCyIfCRadxQ_15_0"/>
      <w:bookmarkStart w:id="927" w:name="Tc_ACuHDC1QME2pN57dPzPJNA_14_9"/>
      <w:bookmarkStart w:id="928" w:name="Tc_9tFD9yLxSUOuAYib9e4trA_14_3"/>
      <w:bookmarkStart w:id="929" w:name="Tc_S65Kli_48UiGuWsOFZ3mQQ_14_0"/>
      <w:bookmarkStart w:id="930" w:name="Tc_yvDNEWD3oUyik8YLY8D8_w_13_0"/>
      <w:bookmarkStart w:id="931" w:name="Tc_yLcwZg9epEmhife3ErVuqQ_12_0"/>
      <w:bookmarkStart w:id="932" w:name="Tc_EqzjIh6bakSIh_oKMS9CEg_11_0"/>
      <w:bookmarkStart w:id="933" w:name="Tc_scccwMpYJEOxIKMj-XFg_w_10_0"/>
      <w:bookmarkStart w:id="934" w:name="Tc_IB7mfpA2bk6WMCzAtJhsKQ_9_0"/>
      <w:bookmarkStart w:id="935" w:name="Tc_6DIDaFaWY0Se5DStgc3MLA_8_0"/>
      <w:bookmarkStart w:id="936" w:name="Tc__RkqNbFaWk6DsPP_E9vkog_7_0"/>
      <w:bookmarkStart w:id="937" w:name="Tc_QPlU8HeW-ESzI0BECI1zew_6_0"/>
      <w:bookmarkStart w:id="938" w:name="Tc_8goo85ZkfEyBCL_Qk5ykrw_5_8"/>
      <w:bookmarkStart w:id="939" w:name="Tc_DKyS8ugOO02IZEk3AlLxqg_5_5"/>
      <w:bookmarkStart w:id="940" w:name="Tc_87CT8oRSu0CyaDiM6w7Dhw_5_2"/>
      <w:bookmarkStart w:id="941" w:name="Tc_0Ew5GbVDpUi-GtdINDfimQ_5_0"/>
      <w:bookmarkStart w:id="942" w:name="Tc_uXSUcQCW8EWm8XuWWg53Wg_4_0"/>
      <w:bookmarkStart w:id="943" w:name="Tc_b6Q7MMAzDUmg5x5lh-5BEg_3_8"/>
      <w:bookmarkStart w:id="944" w:name="Tc_59l_ht95yEqwex-f1N-SfA_3_5"/>
      <w:bookmarkStart w:id="945" w:name="Tc_AFm5s4mV60eblABPl5jBpQ_3_2"/>
      <w:bookmarkStart w:id="946" w:name="Tc_2Oiv61Tgfk-EISdY8kE9oA_2_8"/>
      <w:bookmarkStart w:id="947" w:name="Tc_z1BrWPPsYUarEgTbTvTJUw_2_5"/>
      <w:bookmarkStart w:id="948" w:name="Tc_OKB-Hx9C5U-5lwgtTuio2g_2_2"/>
      <w:bookmarkStart w:id="949" w:name="Tc_BxfgD7sSmUyRfo0ncbvLGA_1_2"/>
      <w:bookmarkStart w:id="950" w:name="Tc_ipKpevYb4U6C0zoXVKrmGA_1_0"/>
      <w:bookmarkStart w:id="951" w:name="_84babd1a_f0a2_4b26_8f40_201bc5d500a5"/>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tbl>
      <w:tblPr>
        <w:tblW w:w="10205" w:type="dxa"/>
        <w:jc w:val="left"/>
        <w:tblInd w:w="0" w:type="dxa"/>
        <w:tblLayout w:type="fixed"/>
        <w:tblCellMar>
          <w:top w:w="0" w:type="dxa"/>
          <w:left w:w="0" w:type="dxa"/>
          <w:bottom w:w="0" w:type="dxa"/>
          <w:right w:w="0" w:type="dxa"/>
        </w:tblCellMar>
      </w:tblPr>
      <w:tblGrid>
        <w:gridCol w:w="5915"/>
        <w:gridCol w:w="326"/>
        <w:gridCol w:w="207"/>
        <w:gridCol w:w="880"/>
        <w:gridCol w:w="326"/>
        <w:gridCol w:w="224"/>
        <w:gridCol w:w="864"/>
        <w:gridCol w:w="326"/>
        <w:gridCol w:w="222"/>
        <w:gridCol w:w="915"/>
      </w:tblGrid>
      <w:tr>
        <w:trPr/>
        <w:tc>
          <w:tcPr>
            <w:tcW w:w="5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756025" cy="175260"/>
                      <wp:effectExtent l="0" t="0" r="0" b="0"/>
                      <wp:wrapNone/>
                      <wp:docPr id="334" name="Frame334"/>
                      <a:graphic xmlns:a="http://schemas.openxmlformats.org/drawingml/2006/main">
                        <a:graphicData uri="http://schemas.microsoft.com/office/word/2010/wordprocessingShape">
                          <wps:wsp>
                            <wps:cNvSpPr txBox="1"/>
                            <wps:spPr>
                              <a:xfrm>
                                <a:off x="0" y="0"/>
                                <a:ext cx="3756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1445" cy="175260"/>
                      <wp:effectExtent l="0" t="0" r="0" b="0"/>
                      <wp:wrapNone/>
                      <wp:docPr id="336" name="Frame33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58800" cy="175260"/>
                      <wp:effectExtent l="0" t="0" r="0" b="0"/>
                      <wp:wrapNone/>
                      <wp:docPr id="337" name="Frame337"/>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42240" cy="175260"/>
                      <wp:effectExtent l="0" t="0" r="0" b="0"/>
                      <wp:wrapNone/>
                      <wp:docPr id="339" name="Frame33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48640" cy="175260"/>
                      <wp:effectExtent l="0" t="0" r="0" b="0"/>
                      <wp:wrapNone/>
                      <wp:docPr id="340" name="Frame34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40970" cy="175260"/>
                      <wp:effectExtent l="0" t="0" r="0" b="0"/>
                      <wp:wrapNone/>
                      <wp:docPr id="342" name="Frame34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81025" cy="175260"/>
                      <wp:effectExtent l="0" t="0" r="0" b="0"/>
                      <wp:wrapNone/>
                      <wp:docPr id="343" name="Frame34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396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left"/>
              <w:rPr/>
            </w:pPr>
            <w:r>
              <w:rPr/>
              <w:t>​</w:t>
            </w:r>
          </w:p>
        </w:tc>
        <w:tc>
          <w:tcPr>
            <w:tcW w:w="108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left"/>
              <w:rPr/>
            </w:pPr>
            <w:r>
              <w:rPr/>
              <w:t>​</w:t>
            </w:r>
          </w:p>
        </w:tc>
        <w:tc>
          <w:tcPr>
            <w:tcW w:w="11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25,</w:t>
            </w:r>
          </w:p>
        </w:tc>
      </w:tr>
      <w:tr>
        <w:trPr/>
        <w:tc>
          <w:tcPr>
            <w:tcW w:w="5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3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514,457</w:t>
            </w:r>
          </w:p>
        </w:tc>
        <w:tc>
          <w:tcPr>
            <w:tcW w:w="32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704,964</w:t>
            </w:r>
          </w:p>
        </w:tc>
        <w:tc>
          <w:tcPr>
            <w:tcW w:w="326" w:type="dxa"/>
            <w:tcBorders/>
            <w:vAlign w:val="center"/>
          </w:tcPr>
          <w:p>
            <w:pPr>
              <w:pStyle w:val="TableContents"/>
              <w:bidi w:val="0"/>
              <w:spacing w:before="0" w:after="1"/>
              <w:ind w:left="0" w:right="0" w:hanging="0"/>
              <w:jc w:val="left"/>
              <w:rPr/>
            </w:pPr>
            <w:r>
              <w:rPr/>
              <w:t>    </w:t>
            </w:r>
          </w:p>
        </w:tc>
        <w:tc>
          <w:tcPr>
            <w:tcW w:w="2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552,364</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earnings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110,563</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94,063</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84,184</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21,327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19,499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13,948</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 associated with share-based and grant compensation arrangements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34,899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28,156</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11,224</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 (credit)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(16,289)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5,653</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investments and other</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5,768</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(4,118)</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in loss of investee</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3,902</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sale and disposition of assets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1,285</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(11,992)</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goodwill and other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4,261</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from reduction of estimated earnout liability</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(3,177)</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81,659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130,704</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(85,439)</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250,561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(260,301)</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cash overdraft</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(137,907)</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78,060</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liabilities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(40,920)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(5,838)</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124,992</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FROM OPERATING ACTIVITIES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959,890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831,567</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512,477</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property, plant and equipment</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(180,382)</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(174,124)</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(151,166)</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3,805</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29,973</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Acquisitions, net of cash received and purchase of equity method investment</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(52,383)</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(180,151)</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(475,960)</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remaining noncontrolling interest of subsidiary</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(29,806)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(19,875)</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(23,797)</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29,935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14,882</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(8,692)</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64"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3,535</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(5,119)</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(240,164)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(353,936)</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(611,187)</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USED IN FINANCING ACTIVITIES: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 under revolving credit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28,462</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605,101</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892,072</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under revolving credit facilities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(30,125)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(607,549)</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(888,695)</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debt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(38,719)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Contingent consideration payments and other</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(6,262)</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(2,856)</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(3,176)</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2,116</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paid to shareholders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(68,238)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(58,860)</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(40,209)</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(6,750)</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(82,149)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(95,774)</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(162,860)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(210,210)</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(45,006)</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(1,669)</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CHANGE IN CASH AND CASH EQUIVALENTS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562,633</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268,400</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(145,385)</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YEAR</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559,623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291,223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436,608</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1,122,256</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559,623</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291,223</w:t>
            </w:r>
          </w:p>
        </w:tc>
      </w:tr>
      <w:tr>
        <w:trPr/>
        <w:tc>
          <w:tcPr>
            <w:tcW w:w="591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RECONCILIATION OF CASH AND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559,397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286,662</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436,507</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 beginning of period</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4,561</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559,623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291,223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436,608</w:t>
            </w:r>
          </w:p>
        </w:tc>
      </w:tr>
      <w:tr>
        <w:trPr/>
        <w:tc>
          <w:tcPr>
            <w:tcW w:w="5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1,118,329</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559,397</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286,662</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 end of period</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3,927</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4,561</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1,122,256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559,623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291,223</w:t>
            </w:r>
          </w:p>
        </w:tc>
      </w:tr>
      <w:tr>
        <w:trPr/>
        <w:tc>
          <w:tcPr>
            <w:tcW w:w="59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12,736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13,953</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14,077</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 paid</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158,145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274,616</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167,043</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INVESTING ACTIVITIES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3,178</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3,185</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3,256</w:t>
            </w:r>
          </w:p>
        </w:tc>
      </w:tr>
      <w:tr>
        <w:trPr/>
        <w:tc>
          <w:tcPr>
            <w:tcW w:w="59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FINANCING ACTIVITIES:</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r>
      <w:tr>
        <w:trPr/>
        <w:tc>
          <w:tcPr>
            <w:tcW w:w="59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under deferred compensation plans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10,978</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9,282</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5"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7,487</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hanging="0"/>
        <w:jc w:val="center"/>
        <w:rPr>
          <w:rFonts w:ascii="Times New Roman;Times;serif" w:hAnsi="Times New Roman;Times;serif"/>
          <w:b/>
          <w:sz w:val="20"/>
        </w:rPr>
      </w:pPr>
      <w:bookmarkStart w:id="952" w:name="NOTESTOCONSOLIDATEDFINANCIALSTATEMENTS_5"/>
      <w:bookmarkEnd w:id="952"/>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whose subsidiaries supply products primarily made from wood, wood and non-wood composites, and other materials to three markets: retail, construction and packaging. Founded in 1955, we are headquartered in Grand Rapids, Michigan, with affiliates throughout North America, Europe, Asia and Australia.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conformity with accounting principles generally accepted in the United States of America (“GAAP”) and with the rules and regulations of the Securities and Exchange Commission (the "SEC"), represent our assets and liabilities and operating results. The consolidated financial statements include our accounts and those of our wholly-owned and majority-owned subsidiaries and partnerships. All significant intercompany balances and transactions have been eliminated in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 (i) 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December 30, 2023, the carrying value of our investment in Dempsey is $61.4 million and is recorded in Other Assets. Our maximum exposure to loss consists of our investment amount and any contingent loss that may occur in the future as a result of a change in the fair value of Dempsey relative to the strike price of the put option.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NONCONTROLLING INTEREST IN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FISCAL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fiscal year is a 52 or 53 week period, ending on the last Saturday of December. Unless otherwise stated, references to 2023, 2022, and 2021 relate to the fiscal years ended December 30, 2023, December 31, 2022, and December 25, 2021, respectively. Fiscal year 2023 was comprised of 52 weeks, fiscal year 2022 was comprised of 53 weeks and fiscal year 2021 was comprised of 52 weeks.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3" w:name="Tc_e9jXxhAkwEyLRDWWqNEFlQ_10_11"/>
      <w:bookmarkStart w:id="954" w:name="Tc_kPlmY7hHpUGsUUgxnOgSww_10_8"/>
      <w:bookmarkStart w:id="955" w:name="Tc_DMKArzIRWUKznLWU3tCMHA_10_5"/>
      <w:bookmarkStart w:id="956" w:name="Tc_hveGQ_cqi0y6gOGGaUzH0w_10_2"/>
      <w:bookmarkStart w:id="957" w:name="Tc_TsMpTHdkcEyO5M6bboot-w_10_0"/>
      <w:bookmarkStart w:id="958" w:name="Tc_1LiFOGYZ40OZJaK4YB6H0A_9_0"/>
      <w:bookmarkStart w:id="959" w:name="Tc_-X23HujMYEWz8mGLqQzZ4g_8_11"/>
      <w:bookmarkStart w:id="960" w:name="Tc_62xslPu2tEqprPzNPPSx-Q_8_8"/>
      <w:bookmarkStart w:id="961" w:name="Tc_Eo3azO0Am02QrtBxSBVjtA_8_5"/>
      <w:bookmarkStart w:id="962" w:name="Tc_B0oEpBNxI0uZQOptCtgqVA_8_2"/>
      <w:bookmarkStart w:id="963" w:name="Tc_swLlE5_q4Ueioe_JY5bSjQ_8_0"/>
      <w:bookmarkStart w:id="964" w:name="Tc_E_FLdxeeGkeVzowut6ssDQ_7_0"/>
      <w:bookmarkStart w:id="965" w:name="Tc_8HaKtFgOqk2p-9xCKNqmfw_6_11"/>
      <w:bookmarkStart w:id="966" w:name="Tc_2-IpHH_bV0eZk_f_cDCqgw_6_8"/>
      <w:bookmarkStart w:id="967" w:name="Tc_jHo6U24JNU6MyvEnLU_tPA_6_5"/>
      <w:bookmarkStart w:id="968" w:name="Tc_s2-6T-1PjEOAcbMqsWjsgw_6_2"/>
      <w:bookmarkStart w:id="969" w:name="Tc_lFTGTV7hd0C_mxqeZV2n3w_6_0"/>
      <w:bookmarkStart w:id="970" w:name="Tc_xCPzhR8IrEWjFRAGwLxvBg_5_0"/>
      <w:bookmarkStart w:id="971" w:name="Tc_Djw6aLmyIUqkdaD48gxRew_4_11"/>
      <w:bookmarkStart w:id="972" w:name="Tc_kNOr9O7-KkuKL166c7kueg_4_8"/>
      <w:bookmarkStart w:id="973" w:name="Tc_2P1hA22A5EuzL6abecnyqw_4_5"/>
      <w:bookmarkStart w:id="974" w:name="Tc_zxZwDS3NcUuyZ802RzPkow_4_2"/>
      <w:bookmarkStart w:id="975" w:name="Tc_M1MATT15y06S9Xbng8VIpQ_3_11"/>
      <w:bookmarkStart w:id="976" w:name="Tc_98g3qhD_y0GTaW7oo8bLtg_3_5"/>
      <w:bookmarkStart w:id="977" w:name="Tc_BA5qqVVadkO3-Vjg_NmZYQ_3_2"/>
      <w:bookmarkStart w:id="978" w:name="Tc_lZVOYoVGy0eYREq8jyDjtw_2_5"/>
      <w:bookmarkStart w:id="979" w:name="Tc_pafTFNubdkyrlJLoPukMAw_1_5"/>
      <w:bookmarkStart w:id="980" w:name="_62bdb6f1_dece_4053_9e29_b50e274e9ff0"/>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sz w:val="20"/>
        </w:rPr>
        <w:t>FAIR VALUE DISCLOSURES OF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follow ASC Topic 820, </w:t>
      </w:r>
      <w:r>
        <w:rPr>
          <w:rFonts w:ascii="Times New Roman;Times;serif" w:hAnsi="Times New Roman;Times;serif"/>
          <w:i/>
          <w:sz w:val="20"/>
        </w:rPr>
        <w:t>Fair Value Measurements and Disclosures</w:t>
      </w:r>
      <w:r>
        <w:rPr>
          <w:rFonts w:ascii="Times New Roman;Times;serif" w:hAnsi="Times New Roman;Times;serif"/>
          <w:sz w:val="20"/>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Financial instruments with unadjusted, quoted prices listed on active market exchanges.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Financial instruments not actively traded on a market exchange and there is little, if any, market activity. Values are determined using significant unobservable inputs or valuation techniques.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investment portfolio includes restricted investments within our wholly-owned subsidiary, Ardellis Insurance Ltd. There are $24.8 million of restricted investments recorded as of December 30, 2023. </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and cash equivalents consist of cash and highly liquid investments purchased with an original maturity of three months or less.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Investments are deemed to be "available for sale" and are, accordingly, carried at fair value being the quoted market value.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ACCOUNTS RECEIVABLE AND ALLOWANCES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perform periodic credit evaluations of our customers and generally do not require collateral. Accounts receivable are due under a range of terms we offer to our customers. Discounts are offered, in most instances, as an incentive for early payment.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base our allowances related to receivables on historical credit and collections experience, reasonable and supportable forecasts,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activity in our accounts receivable allowances (in thousands):</w:t>
      </w:r>
    </w:p>
    <w:tbl>
      <w:tblPr>
        <w:tblW w:w="9472" w:type="dxa"/>
        <w:jc w:val="left"/>
        <w:tblInd w:w="0" w:type="dxa"/>
        <w:tblLayout w:type="fixed"/>
        <w:tblCellMar>
          <w:top w:w="0" w:type="dxa"/>
          <w:left w:w="0" w:type="dxa"/>
          <w:bottom w:w="0" w:type="dxa"/>
          <w:right w:w="0" w:type="dxa"/>
        </w:tblCellMar>
      </w:tblPr>
      <w:tblGrid>
        <w:gridCol w:w="4411"/>
        <w:gridCol w:w="326"/>
        <w:gridCol w:w="211"/>
        <w:gridCol w:w="676"/>
        <w:gridCol w:w="326"/>
        <w:gridCol w:w="221"/>
        <w:gridCol w:w="710"/>
        <w:gridCol w:w="326"/>
        <w:gridCol w:w="211"/>
        <w:gridCol w:w="796"/>
        <w:gridCol w:w="326"/>
        <w:gridCol w:w="211"/>
        <w:gridCol w:w="72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800985" cy="175260"/>
                      <wp:effectExtent l="0" t="0" r="0" b="0"/>
                      <wp:wrapNone/>
                      <wp:docPr id="344" name="Frame344"/>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29260" cy="175260"/>
                      <wp:effectExtent l="0" t="0" r="0" b="0"/>
                      <wp:wrapNone/>
                      <wp:docPr id="347" name="Frame3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0335" cy="175260"/>
                      <wp:effectExtent l="0" t="0" r="0" b="0"/>
                      <wp:wrapNone/>
                      <wp:docPr id="349" name="Frame34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50850" cy="175260"/>
                      <wp:effectExtent l="0" t="0" r="0" b="0"/>
                      <wp:wrapNone/>
                      <wp:docPr id="350" name="Frame350"/>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05460" cy="175260"/>
                      <wp:effectExtent l="0" t="0" r="0" b="0"/>
                      <wp:wrapNone/>
                      <wp:docPr id="353" name="Frame3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57835" cy="175260"/>
                      <wp:effectExtent l="0" t="0" r="0" b="0"/>
                      <wp:wrapNone/>
                      <wp:docPr id="356" name="Frame3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 and</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Ending</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December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possible losses on accounts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11,727</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5,133</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possible losses on accounts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5,085</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11,727</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December 25, 2021: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possible losses on accounts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4,629</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5,085</w:t>
            </w:r>
          </w:p>
        </w:tc>
      </w:tr>
    </w:tbl>
    <w:tbl>
      <w:tblPr>
        <w:tblW w:w="7622" w:type="dxa"/>
        <w:jc w:val="left"/>
        <w:tblInd w:w="0" w:type="dxa"/>
        <w:tblLayout w:type="fixed"/>
        <w:tblCellMar>
          <w:top w:w="0" w:type="dxa"/>
          <w:left w:w="0" w:type="dxa"/>
          <w:bottom w:w="0" w:type="dxa"/>
          <w:right w:w="0" w:type="dxa"/>
        </w:tblCellMar>
      </w:tblPr>
      <w:tblGrid>
        <w:gridCol w:w="211"/>
        <w:gridCol w:w="7411"/>
      </w:tblGrid>
      <w:tr>
        <w:trPr/>
        <w:tc>
          <w:tcPr>
            <w:tcW w:w="211" w:type="dxa"/>
            <w:tcBorders/>
            <w:vAlign w:val="center"/>
          </w:tcPr>
          <w:p>
            <w:pPr>
              <w:pStyle w:val="TableContents"/>
              <w:bidi w:val="0"/>
              <w:spacing w:before="120" w:after="240"/>
              <w:jc w:val="left"/>
              <w:rPr>
                <w:rFonts w:ascii="Times New Roman;Times;serif" w:hAnsi="Times New Roman;Times;serif"/>
                <w:sz w:val="16"/>
              </w:rPr>
            </w:pPr>
            <w:r>
              <w:rPr>
                <w:rFonts w:ascii="Times New Roman;Times;serif" w:hAnsi="Times New Roman;Times;serif"/>
                <w:sz w:val="16"/>
              </w:rPr>
              <w:t>*</w:t>
            </w:r>
          </w:p>
        </w:tc>
        <w:tc>
          <w:tcPr>
            <w:tcW w:w="7411" w:type="dxa"/>
            <w:tcBorders/>
            <w:vAlign w:val="center"/>
          </w:tcPr>
          <w:p>
            <w:pPr>
              <w:pStyle w:val="TableContents"/>
              <w:bidi w:val="0"/>
              <w:spacing w:before="120" w:after="240"/>
              <w:jc w:val="left"/>
              <w:rPr>
                <w:rFonts w:ascii="Times New Roman;Times;serif" w:hAnsi="Times New Roman;Times;serif"/>
                <w:sz w:val="16"/>
              </w:rPr>
            </w:pPr>
            <w:r>
              <w:rPr>
                <w:rFonts w:ascii="Times New Roman;Times;serif" w:hAnsi="Times New Roman;Times;serif"/>
                <w:sz w:val="16"/>
              </w:rPr>
              <w:t>Includes accounts charged off, discounts given to customers and actual customer returns and allowances.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estimated sales returns, discounts, and other applicable adjustments as a reduction of net sales in the same period revenue is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retainage amounts related to long term construction contracts totaled $8.2 million and $8.0 million as of December 30, 2023 and December 31, 2022, respectively. All amounts are expected to be collected within 18 months. Concentration of accounts receivable related to our two largest customers totaled $118.0 million and $131.0 million as of December 30, 2023 and December 31,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GUIDANCE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operating segments, we are currently evaluating the impact of adopting this guidance on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2021, the FASB issued ASU 2021-08, Business Combinations (Topic 805), Accounting for Contract Assets and Contract Liabilities from Contracts with Customers. The ASU requires that an acquirer recognize and measure contract assets and contract liabilities in a business combination in accordance with Topic 606. The ASU is effective for fiscal years beginning after December 15, 2022, including interim periods within those fiscal years and has been applied prospectively to all business combinations occurring after this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 We have inventory on consignment at customer locations valued at $23.2 million as of December 30, 2023 and $27.9 million as of December 31,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write down the value of inventory, the impact of which is reflected in cost of goods sold in the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1" w:name="Tc_f1otFbXkekyyfE9oEFhDkg_9_5"/>
      <w:bookmarkStart w:id="982" w:name="Tc_SDKaOYlPsE6Q9eEWEB2NMg_9_2"/>
      <w:bookmarkStart w:id="983" w:name="Tc_zlyGl5Z8wEajTUFvBwbmow_9_0"/>
      <w:bookmarkStart w:id="984" w:name="Tc_uFT8zz2WhUujER3WOI5Fsg_8_0"/>
      <w:bookmarkStart w:id="985" w:name="Tc_zaM9P_7_p0q3tKuhEFcGqw_7_0"/>
      <w:bookmarkStart w:id="986" w:name="Tc_mwYelY-6RUmhozd8sxU7KQ_6_0"/>
      <w:bookmarkStart w:id="987" w:name="Tc_B0WoiejyhEW2NBKFJWoB0A_5_0"/>
      <w:bookmarkStart w:id="988" w:name="Tc_hGslQ4Q8kUWb9o0_rmGcCQ_4_5"/>
      <w:bookmarkStart w:id="989" w:name="Tc_7s439Cu9iEmAxMZFaKJuoA_4_2"/>
      <w:bookmarkStart w:id="990" w:name="Tc_1PyuNCgF0UCc5xJpVv13Tw_4_0"/>
      <w:bookmarkStart w:id="991" w:name="Tc_NlSFv0WqrkmKsOEIZ2mZ3Q_3_5"/>
      <w:bookmarkStart w:id="992" w:name="Tc_mgNVINBwPUOxVuBipldR3A_3_2"/>
      <w:bookmarkStart w:id="993" w:name="Tc_F5Cq9UQH30-5mVCa27Joww_2_5"/>
      <w:bookmarkStart w:id="994" w:name="Tc_MYSM_1A6ZEipm7AepjPwbQ_2_2"/>
      <w:bookmarkStart w:id="995" w:name="Tc_vtRATX12Bk2eZIO_Ov9CoQ_1_2"/>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b/>
          <w:sz w:val="20"/>
        </w:rPr>
        <w:t>PROPERTY, PLANT,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plant, and equipment are stated at cost. Expenditures for renewals and betterments are capitalized, and maintenance and repairs are expensed as incurred. The components of property, plant and equipment as of December 30, 2023 and December 31, 2022 were as follows:</w:t>
      </w:r>
    </w:p>
    <w:p>
      <w:pPr>
        <w:pStyle w:val="TextBody"/>
        <w:bidi w:val="0"/>
        <w:spacing w:before="0" w:after="0"/>
        <w:ind w:left="0" w:right="0" w:hanging="0"/>
        <w:jc w:val="left"/>
        <w:rPr/>
      </w:pPr>
      <w:r>
        <w:rPr/>
        <w:t>​</w:t>
      </w:r>
    </w:p>
    <w:tbl>
      <w:tblPr>
        <w:tblW w:w="6672" w:type="dxa"/>
        <w:jc w:val="left"/>
        <w:tblInd w:w="0" w:type="dxa"/>
        <w:tblLayout w:type="fixed"/>
        <w:tblCellMar>
          <w:top w:w="0" w:type="dxa"/>
          <w:left w:w="0" w:type="dxa"/>
          <w:bottom w:w="0" w:type="dxa"/>
          <w:right w:w="0" w:type="dxa"/>
        </w:tblCellMar>
      </w:tblPr>
      <w:tblGrid>
        <w:gridCol w:w="3631"/>
        <w:gridCol w:w="326"/>
        <w:gridCol w:w="211"/>
        <w:gridCol w:w="931"/>
        <w:gridCol w:w="326"/>
        <w:gridCol w:w="211"/>
        <w:gridCol w:w="103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305685" cy="175260"/>
                      <wp:effectExtent l="0" t="0" r="0" b="0"/>
                      <wp:wrapNone/>
                      <wp:docPr id="357" name="Frame357"/>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91185" cy="175260"/>
                      <wp:effectExtent l="0" t="0" r="0" b="0"/>
                      <wp:wrapNone/>
                      <wp:docPr id="360" name="Frame3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57860" cy="175260"/>
                      <wp:effectExtent l="0" t="0" r="0" b="0"/>
                      <wp:wrapNone/>
                      <wp:docPr id="363" name="Frame3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and improvements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171,729</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 and improvements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355,228</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884,880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708,095</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23,186</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121,730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 Gross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1,559,304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1,379,968</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Amortization of assets held under finance leases is included in depreciation and amortized over the shorter of the estimated useful life of the asset or the lease term. Depreciation is computed principally by the straight-line method over the estimated useful lives of the assets as follows:</w:t>
      </w:r>
    </w:p>
    <w:p>
      <w:pPr>
        <w:pStyle w:val="TextBody"/>
        <w:bidi w:val="0"/>
        <w:spacing w:before="0" w:after="0"/>
        <w:ind w:left="0" w:right="0" w:hanging="0"/>
        <w:jc w:val="left"/>
        <w:rPr/>
      </w:pPr>
      <w:r>
        <w:rPr/>
        <w:t>​</w:t>
      </w:r>
    </w:p>
    <w:tbl>
      <w:tblPr>
        <w:tblW w:w="5188" w:type="dxa"/>
        <w:jc w:val="left"/>
        <w:tblInd w:w="0" w:type="dxa"/>
        <w:tblLayout w:type="fixed"/>
        <w:tblCellMar>
          <w:top w:w="0" w:type="dxa"/>
          <w:left w:w="0" w:type="dxa"/>
          <w:bottom w:w="0" w:type="dxa"/>
          <w:right w:w="0" w:type="dxa"/>
        </w:tblCellMar>
      </w:tblPr>
      <w:tblGrid>
        <w:gridCol w:w="3571"/>
        <w:gridCol w:w="326"/>
        <w:gridCol w:w="129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267585" cy="175260"/>
                      <wp:effectExtent l="0" t="0" r="0" b="0"/>
                      <wp:wrapNone/>
                      <wp:docPr id="364" name="Frame364"/>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819785" cy="175260"/>
                      <wp:effectExtent l="0" t="0" r="0" b="0"/>
                      <wp:wrapNone/>
                      <wp:docPr id="366" name="Frame36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to </w:t>
            </w:r>
            <w:r>
              <w:rPr>
                <w:rFonts w:ascii="Times New Roman;Times;serif" w:hAnsi="Times New Roman;Times;serif"/>
                <w:b w:val="false"/>
                <w:i w:val="false"/>
                <w:caps w:val="false"/>
                <w:smallCaps w:val="false"/>
                <w:sz w:val="20"/>
              </w:rPr>
              <w:t>15 years</w:t>
            </w:r>
          </w:p>
        </w:tc>
      </w:tr>
      <w:tr>
        <w:trPr/>
        <w:tc>
          <w:tcPr>
            <w:tcW w:w="357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Buildings and improvements</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 to </w:t>
            </w:r>
            <w:r>
              <w:rPr>
                <w:rFonts w:ascii="Times New Roman;Times;serif" w:hAnsi="Times New Roman;Times;serif"/>
                <w:b w:val="false"/>
                <w:i w:val="false"/>
                <w:caps w:val="false"/>
                <w:smallCaps w:val="false"/>
                <w:sz w:val="20"/>
              </w:rPr>
              <w:t>32 years</w:t>
            </w:r>
          </w:p>
        </w:tc>
      </w:tr>
      <w:tr>
        <w:trPr/>
        <w:tc>
          <w:tcPr>
            <w:tcW w:w="357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Machinery, equipment and office furniture</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2 to </w:t>
            </w:r>
            <w:r>
              <w:rPr>
                <w:rFonts w:ascii="Times New Roman;Times;serif" w:hAnsi="Times New Roman;Times;serif"/>
                <w:b w:val="false"/>
                <w:i w:val="false"/>
                <w:caps w:val="false"/>
                <w:smallCaps w:val="false"/>
                <w:sz w:val="20"/>
              </w:rPr>
              <w:t>20 years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Software costs are included in machinery and equipment on the balance sheet with gross amounts and accumulated amortization totaling $5.8 million and $5.7 million as of December 30, 2023, and $5.7 million and $5.4 million as of December 31, 2022,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accordance with ASC 360, </w:t>
      </w:r>
      <w:r>
        <w:rPr>
          <w:rFonts w:ascii="Times New Roman;Times;serif" w:hAnsi="Times New Roman;Times;serif"/>
          <w:i/>
          <w:sz w:val="20"/>
        </w:rPr>
        <w:t>Property, Plant, and Equipment</w:t>
      </w:r>
      <w:r>
        <w:rPr>
          <w:rFonts w:ascii="Times New Roman;Times;serif" w:hAnsi="Times New Roman;Times;serif"/>
          <w:sz w:val="20"/>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As of the date of the most recent goodwill impairment test, which utilized data and assumptions as of September 30, 2023, it was determined that the fair values exceed the carrying values and there were no indicators for impairment for all of our reporting units. In the fourth quarter of 2022, we recorded a non-cash goodwill impairment charge of $2.5 million related to the Italian reporting unit within our all other segment. Subsequently, the Italian reporting unit was divested in 2023. We believe we have sufficient available information, both current and historical, to support our assumptions, judgments and estimates used in the goodwill impairment test.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annual testing date for evaluating goodwill and indefinite-lived intangible asset impairment is the first day of our fourth fiscal quarter for all reporting units. Additionally, we review various triggering events throughout the year to determine whether a mid-year impairment analysis is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6" w:name="_Hlk94122500"/>
      <w:bookmarkEnd w:id="996"/>
      <w:r>
        <w:rPr>
          <w:rFonts w:ascii="Times New Roman;Times;serif" w:hAnsi="Times New Roman;Times;serif"/>
          <w:b/>
          <w:sz w:val="20"/>
        </w:rPr>
        <w:t>FOREIGN CURRENCY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 RESERVES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30, 2023 and December 31, 2022.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providing coverage for the Company, Ardellis provides Excess Loss Insurance (primarily medical and prescription drug) and Excess General Liability and Property Insurance to certain third parties. As of December 30, 2023, Ardellis had 207 such contracts in place. Reserves associated with these contracts were $7.5 million at December 30, 2023, and $5.0 million at December 31, 2022, and are accrued based on third party actuarial valuations of the expected future liabilities.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Within the three primary segments (Retail, Packaging,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997" w:name="Tc_aqO0r6bulkm6h8kkgKgGvw_4_0"/>
      <w:bookmarkStart w:id="998" w:name="Tc_s6AV8TuMyE2KuKvLLpHxUA_3_5"/>
      <w:bookmarkStart w:id="999" w:name="Tc_ZE-H5Gj-AEeYAAxQunRglg_3_2"/>
      <w:bookmarkStart w:id="1000" w:name="Tc_7gv6SHN5vkqvnczqQ5XDKQ_3_0"/>
      <w:bookmarkStart w:id="1001" w:name="Tc_9WpV-e8wIUu9ye23NgTNuA_2_5"/>
      <w:bookmarkStart w:id="1002" w:name="Tc_ZaDByxgWo0qJSgXHWmshUg_2_2"/>
      <w:bookmarkStart w:id="1003" w:name="Tc_6OXZBONzDk6cOsG7cQcudA_1_5"/>
      <w:bookmarkStart w:id="1004" w:name="Tc_E7nVyfICBkmQipMvMEvLcw_1_2"/>
      <w:bookmarkStart w:id="1005" w:name="_bd2f68eb_045d_4d6e_ad05_0f5ad04193f4"/>
      <w:bookmarkStart w:id="1006" w:name="Tc_DwhE-bWY_0KU8TTIDqB6cg_6_8"/>
      <w:bookmarkStart w:id="1007" w:name="Tc_R-6k0yu64k-P76nXebIJEA_6_5"/>
      <w:bookmarkStart w:id="1008" w:name="Tc_YW-DLQQ9FEOts2A_1KkD2Q_6_2"/>
      <w:bookmarkStart w:id="1009" w:name="Tc_TSE2C11MD02EejG7kETZwQ_6_0"/>
      <w:bookmarkStart w:id="1010" w:name="Tc_vpA6ov7B4USDUMLaUMvVMg_5_0"/>
      <w:bookmarkStart w:id="1011" w:name="Tc_o6Hn3Hwt9Ey0hmpDUa62ZQ_4_8"/>
      <w:bookmarkStart w:id="1012" w:name="Tc_xIN-6f8hdkiSuUnWcdlhDQ_4_5"/>
      <w:bookmarkStart w:id="1013" w:name="Tc_161TksmVCE-qnTrg-iu9Yg_4_2"/>
      <w:bookmarkStart w:id="1014" w:name="Tc_BjgR6Xr4IEGRTEWGKcCjJg_4_0"/>
      <w:bookmarkStart w:id="1015" w:name="Tc_C1nPVuwfpU2K41FxnYF4XA_3_13"/>
      <w:bookmarkStart w:id="1016" w:name="Tc_M9uC3ZexQ0SqP6nEL-DrmQ_3_11"/>
      <w:bookmarkStart w:id="1017" w:name="Tc_RAWUN8uMrEK53qUC8YUcXA_3_8"/>
      <w:bookmarkStart w:id="1018" w:name="Tc_GC2iZrraSECn942zSlUHpA_3_5"/>
      <w:bookmarkStart w:id="1019" w:name="Tc_DXmV385E506nkn6L6fawNA_3_2"/>
      <w:bookmarkStart w:id="1020" w:name="Tc_PVrQgCN-kEyyziMNCea9vA_2_13"/>
      <w:bookmarkStart w:id="1021" w:name="Tc_uJXteE0jhUOrrsvsKOa_vg_2_11"/>
      <w:bookmarkStart w:id="1022" w:name="Tc_CBKjIdO9MkSHzAN7r2wd3Q_2_8"/>
      <w:bookmarkStart w:id="1023" w:name="Tc_0BdTYvt-CEuVjYDKKgQJog_2_5"/>
      <w:bookmarkStart w:id="1024" w:name="Tc_H6HcSmVMKkW_6nVMzRHTIw_2_2"/>
      <w:bookmarkStart w:id="1025" w:name="Tc_-5HFNjxu9UChBbpDi9gnbA_1_2"/>
      <w:bookmarkStart w:id="1026" w:name="_6a6f90f4_1b7f_4202_af44_4f8a7ec97cae"/>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sz w:val="20"/>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Our construction contracts are generally entered into with a fixed price and completion of the projects can range from </w:t>
      </w:r>
      <w:r>
        <w:rPr>
          <w:rFonts w:ascii="Times New Roman;Times;serif" w:hAnsi="Times New Roman;Times;serif"/>
          <w:b w:val="false"/>
          <w:i w:val="false"/>
          <w:caps w:val="false"/>
          <w:smallCaps w:val="false"/>
          <w:sz w:val="20"/>
        </w:rPr>
        <w:t>6</w:t>
      </w:r>
      <w:r>
        <w:rPr>
          <w:rFonts w:ascii="Times New Roman;Times;serif" w:hAnsi="Times New Roman;Times;serif"/>
          <w:sz w:val="20"/>
        </w:rPr>
        <w:t xml:space="preserve">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pStyle w:val="TextBody"/>
        <w:bidi w:val="0"/>
        <w:spacing w:before="0" w:after="240"/>
        <w:ind w:left="540" w:right="0" w:hanging="0"/>
        <w:jc w:val="left"/>
        <w:rPr>
          <w:rFonts w:ascii="Times New Roman;Times;serif" w:hAnsi="Times New Roman;Times;serif"/>
          <w:sz w:val="20"/>
        </w:rPr>
      </w:pPr>
      <w:r>
        <w:rPr>
          <w:rFonts w:ascii="Times New Roman;Times;serif" w:hAnsi="Times New Roman;Times;serif"/>
          <w:sz w:val="20"/>
        </w:rPr>
        <w:t>The following table presents our net sales disaggregated by revenue source (in thousands):</w:t>
      </w:r>
    </w:p>
    <w:tbl>
      <w:tblPr>
        <w:tblW w:w="8885" w:type="dxa"/>
        <w:jc w:val="left"/>
        <w:tblInd w:w="0" w:type="dxa"/>
        <w:tblLayout w:type="fixed"/>
        <w:tblCellMar>
          <w:top w:w="0" w:type="dxa"/>
          <w:left w:w="0" w:type="dxa"/>
          <w:bottom w:w="0" w:type="dxa"/>
          <w:right w:w="0" w:type="dxa"/>
        </w:tblCellMar>
      </w:tblPr>
      <w:tblGrid>
        <w:gridCol w:w="1996"/>
        <w:gridCol w:w="326"/>
        <w:gridCol w:w="211"/>
        <w:gridCol w:w="931"/>
        <w:gridCol w:w="326"/>
        <w:gridCol w:w="211"/>
        <w:gridCol w:w="931"/>
        <w:gridCol w:w="109"/>
        <w:gridCol w:w="211"/>
        <w:gridCol w:w="931"/>
        <w:gridCol w:w="326"/>
        <w:gridCol w:w="1111"/>
        <w:gridCol w:w="109"/>
        <w:gridCol w:w="115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67460" cy="175260"/>
                      <wp:effectExtent l="0" t="0" r="0" b="0"/>
                      <wp:wrapNone/>
                      <wp:docPr id="367" name="Frame36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91185" cy="175260"/>
                      <wp:effectExtent l="0" t="0" r="0" b="0"/>
                      <wp:wrapNone/>
                      <wp:docPr id="370" name="Frame3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91185" cy="175260"/>
                      <wp:effectExtent l="0" t="0" r="0" b="0"/>
                      <wp:wrapNone/>
                      <wp:docPr id="373" name="Frame3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91185" cy="175260"/>
                      <wp:effectExtent l="0" t="0" r="0" b="0"/>
                      <wp:wrapNone/>
                      <wp:docPr id="376" name="Frame3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05485" cy="175260"/>
                      <wp:effectExtent l="0" t="0" r="0" b="0"/>
                      <wp:wrapNone/>
                      <wp:docPr id="378" name="Frame37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34060" cy="175260"/>
                      <wp:effectExtent l="0" t="0" r="0" b="0"/>
                      <wp:wrapNone/>
                      <wp:docPr id="380" name="Frame38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563" w:type="dxa"/>
            <w:gridSpan w:val="1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25,</w:t>
            </w:r>
          </w:p>
        </w:tc>
        <w:tc>
          <w:tcPr>
            <w:tcW w:w="326" w:type="dxa"/>
            <w:tcBorders/>
            <w:vAlign w:val="center"/>
          </w:tcPr>
          <w:p>
            <w:pPr>
              <w:pStyle w:val="TableContents"/>
              <w:bidi w:val="0"/>
              <w:spacing w:before="0" w:after="1"/>
              <w:ind w:left="0" w:right="0" w:hanging="0"/>
              <w:jc w:val="center"/>
              <w:rPr/>
            </w:pPr>
            <w:r>
              <w:rPr/>
              <w:t>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c>
          <w:tcPr>
            <w:tcW w:w="109"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 vs. 2021</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w:t>
            </w:r>
          </w:p>
        </w:tc>
        <w:tc>
          <w:tcPr>
            <w:tcW w:w="111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115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Point in Time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7,069,690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9,442,794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8,512,012</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109"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Time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124,122</w:t>
            </w:r>
          </w:p>
        </w:tc>
        <w:tc>
          <w:tcPr>
            <w:tcW w:w="326" w:type="dxa"/>
            <w:tcBorders/>
            <w:vAlign w:val="center"/>
          </w:tcPr>
          <w:p>
            <w:pPr>
              <w:pStyle w:val="TableContents"/>
              <w:bidi w:val="0"/>
              <w:spacing w:before="0" w:after="1"/>
              <w:ind w:left="0" w:right="0" w:hanging="0"/>
              <w:jc w:val="left"/>
              <w:rPr/>
            </w:pPr>
            <w:r>
              <w:rPr/>
              <w:t> </w:t>
            </w:r>
          </w:p>
        </w:tc>
        <w:tc>
          <w:tcPr>
            <w:tcW w:w="111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1"/>
              <w:ind w:left="0" w:right="0" w:hanging="0"/>
              <w:jc w:val="left"/>
              <w:rPr/>
            </w:pPr>
            <w:r>
              <w:rPr/>
              <w:t>​</w:t>
            </w:r>
          </w:p>
        </w:tc>
        <w:tc>
          <w:tcPr>
            <w:tcW w:w="115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7,218,384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9,626,739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8,636,134</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09" w:type="dxa"/>
            <w:tcBorders/>
            <w:shd w:fill="CCEEFF" w:val="clear"/>
            <w:vAlign w:val="center"/>
          </w:tcPr>
          <w:p>
            <w:pPr>
              <w:pStyle w:val="TableContents"/>
              <w:bidi w:val="0"/>
              <w:spacing w:before="0" w:after="1"/>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Construction segment comprises the construction contract revenue shown above. Construction contract revenue is primarily made up of site-built and framing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balances of over time accounting accounts on December 30, 2023 and December 31, 2022 which are included in “Other current assets” and “Accrued liabilities: Other”, respectively (in thousands):</w:t>
      </w:r>
    </w:p>
    <w:tbl>
      <w:tblPr>
        <w:tblW w:w="6218" w:type="dxa"/>
        <w:jc w:val="left"/>
        <w:tblInd w:w="0" w:type="dxa"/>
        <w:tblLayout w:type="fixed"/>
        <w:tblCellMar>
          <w:top w:w="0" w:type="dxa"/>
          <w:left w:w="0" w:type="dxa"/>
          <w:bottom w:w="0" w:type="dxa"/>
          <w:right w:w="0" w:type="dxa"/>
        </w:tblCellMar>
      </w:tblPr>
      <w:tblGrid>
        <w:gridCol w:w="3331"/>
        <w:gridCol w:w="326"/>
        <w:gridCol w:w="295"/>
        <w:gridCol w:w="800"/>
        <w:gridCol w:w="326"/>
        <w:gridCol w:w="242"/>
        <w:gridCol w:w="898"/>
      </w:tblGrid>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and Earnings in Excess of Billings</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c>
          <w:tcPr>
            <w:tcW w:w="32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r>
      <w:tr>
        <w:trPr/>
        <w:tc>
          <w:tcPr>
            <w:tcW w:w="33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Billings in Excess of Cost and Earnings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9,487</w:t>
            </w:r>
          </w:p>
        </w:tc>
        <w:tc>
          <w:tcPr>
            <w:tcW w:w="3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SHIPPING AND HANDLING OF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Shipping and handling costs that are charged to and reimbursed by the customer are recognized as revenue. Costs incurred related to the shipment and handling of products are classified in cost of goods sold.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account for share-based awards in accordance with ASC Topic 718, </w:t>
      </w:r>
      <w:r>
        <w:rPr>
          <w:rFonts w:ascii="Times New Roman;Times;serif" w:hAnsi="Times New Roman;Times;serif"/>
          <w:i/>
          <w:sz w:val="20"/>
        </w:rPr>
        <w:t>Compensation – Stock Compensation</w:t>
      </w:r>
      <w:r>
        <w:rPr>
          <w:rFonts w:ascii="Times New Roman;Times;serif" w:hAnsi="Times New Roman;Times;serif"/>
          <w:sz w:val="20"/>
        </w:rPr>
        <w:t xml:space="preserve"> (“ASC 718”), which requires recognition of share-based compensation costs in financial statements based on fair value. Compensation cost is recognized over the period during which an employee is required to provide services in exchange for the award (the requisite service period). Forfeitures are recognized as they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27" w:name="Tc_gRiKplS4YUmAHX1jLTaRuA_16_8"/>
      <w:bookmarkStart w:id="1028" w:name="Tc_gJKqEB4qkkyVEn_788erzw_16_5"/>
      <w:bookmarkStart w:id="1029" w:name="Tc_dhLwBeQn20yelMn4iE8Zsg_16_2"/>
      <w:bookmarkStart w:id="1030" w:name="Tc_QxMvAj1XYE2An9oWcpmoyA_16_0"/>
      <w:bookmarkStart w:id="1031" w:name="Tc_V5zkGXf2j0ulp6ss06F0QA_15_8"/>
      <w:bookmarkStart w:id="1032" w:name="Tc_WvwHUCwGCEycw_HLEBHMHw_15_5"/>
      <w:bookmarkStart w:id="1033" w:name="Tc_AYjKUpuh_keOhwlS1995qA_15_2"/>
      <w:bookmarkStart w:id="1034" w:name="Tc_Uc9oEfk590yugXQR2S7okg_15_0"/>
      <w:bookmarkStart w:id="1035" w:name="Tc_5peu4WNZHkGPWyCqXtQ8Lw_14_0"/>
      <w:bookmarkStart w:id="1036" w:name="Tc_UrSC8Qh2ZEi6f0wQS6bf5w_13_0"/>
      <w:bookmarkStart w:id="1037" w:name="Tc_LvW5qfSziESoWipkhjsDlQ_12_0"/>
      <w:bookmarkStart w:id="1038" w:name="Tc_SGFnRJHFxki_AN5NChG0Tg_11_0"/>
      <w:bookmarkStart w:id="1039" w:name="Tc_a1I8Ptakjkyzm-PvTV33ww_10_0"/>
      <w:bookmarkStart w:id="1040" w:name="Tc_oDE2GyfC5kyCxbPiBfX3vA_9_0"/>
      <w:bookmarkStart w:id="1041" w:name="Tc_tq0hYAXBo0aLAopbYj1EPw_8_0"/>
      <w:bookmarkStart w:id="1042" w:name="Tc_rDZMgupBOEGZpXE7ZpnQxw_7_8"/>
      <w:bookmarkStart w:id="1043" w:name="Tc_wa6J9nSLg0ymF1kTIqtpEg_7_5"/>
      <w:bookmarkStart w:id="1044" w:name="Tc_vcE3eo9aTUaf_eD4Z_iP8g_7_2"/>
      <w:bookmarkStart w:id="1045" w:name="Tc_yrVihyRDY0Cp_dRFh0Vd-w_7_0"/>
      <w:bookmarkStart w:id="1046" w:name="Tc_9ta16XkYbUi5bkIgUYAfCg_6_0"/>
      <w:bookmarkStart w:id="1047" w:name="Tc_DhWiSmw7vU-1DMK5n1mISA_5_8"/>
      <w:bookmarkStart w:id="1048" w:name="Tc__VDK1PwJek6waef5KaMIDA_5_5"/>
      <w:bookmarkStart w:id="1049" w:name="Tc_LjOi8m5OPUePHCjK5VQ4Nw_5_2"/>
      <w:bookmarkStart w:id="1050" w:name="Tc_3o5cMyH8QEGpzyhjKR0nOw_5_0"/>
      <w:bookmarkStart w:id="1051" w:name="Tc_MoS9UoEyiUycHZUUP2W92A_4_0"/>
      <w:bookmarkStart w:id="1052" w:name="Tc_JdH5iDLm40iRYI9Nh1BNoA_3_8"/>
      <w:bookmarkStart w:id="1053" w:name="Tc_aD2NqW6l50WqHXi2MTPG5Q_3_5"/>
      <w:bookmarkStart w:id="1054" w:name="Tc_QbHMGM2AZkKJOgWIW-3Dhw_3_2"/>
      <w:bookmarkStart w:id="1055" w:name="Tc_LWc9emAYmE-WI9UsJP8f4g_2_8"/>
      <w:bookmarkStart w:id="1056" w:name="Tc_XtVJtKhtskyA34aakRPbEQ_2_5"/>
      <w:bookmarkStart w:id="1057" w:name="Tc_cgsbmmwbZk6Y7bCpW1BhaA_2_2"/>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b/>
          <w:sz w:val="20"/>
        </w:rPr>
        <w:t>EARNINGS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Earnings per share (“EPS”) is computed using the two-class method. The two-class method determines EPS for each class of common stock and participating securities according to dividends and their respective participation rights in undistributed earnings. Participating securities include non-vested shares of restricted stock in which the participants have non-forfeitable rights to dividends during the performance period. EPS, basic and diluted, is calculated by dividing net earnings attributable to controlling interest, net of applicable taxes, by the weighted average number of shares of common stock outstanding for the period. The computation of EPS is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22"/>
        <w:gridCol w:w="326"/>
        <w:gridCol w:w="230"/>
        <w:gridCol w:w="856"/>
        <w:gridCol w:w="326"/>
        <w:gridCol w:w="230"/>
        <w:gridCol w:w="856"/>
        <w:gridCol w:w="326"/>
        <w:gridCol w:w="230"/>
        <w:gridCol w:w="903"/>
      </w:tblGrid>
      <w:tr>
        <w:trPr/>
        <w:tc>
          <w:tcPr>
            <w:tcW w:w="5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760470" cy="175260"/>
                      <wp:effectExtent l="0" t="0" r="0" b="0"/>
                      <wp:wrapNone/>
                      <wp:docPr id="381" name="Frame381"/>
                      <a:graphic xmlns:a="http://schemas.openxmlformats.org/drawingml/2006/main">
                        <a:graphicData uri="http://schemas.microsoft.com/office/word/2010/wordprocessingShape">
                          <wps:wsp>
                            <wps:cNvSpPr txBox="1"/>
                            <wps:spPr>
                              <a:xfrm>
                                <a:off x="0" y="0"/>
                                <a:ext cx="3760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6050" cy="175260"/>
                      <wp:effectExtent l="0" t="0" r="0" b="0"/>
                      <wp:wrapNone/>
                      <wp:docPr id="383" name="Frame38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43560" cy="175260"/>
                      <wp:effectExtent l="0" t="0" r="0" b="0"/>
                      <wp:wrapNone/>
                      <wp:docPr id="384" name="Frame38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46050" cy="175260"/>
                      <wp:effectExtent l="0" t="0" r="0" b="0"/>
                      <wp:wrapNone/>
                      <wp:docPr id="386" name="Frame38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43560" cy="175260"/>
                      <wp:effectExtent l="0" t="0" r="0" b="0"/>
                      <wp:wrapNone/>
                      <wp:docPr id="387" name="Frame38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46050" cy="175260"/>
                      <wp:effectExtent l="0" t="0" r="0" b="0"/>
                      <wp:wrapNone/>
                      <wp:docPr id="389" name="Frame38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73405" cy="175260"/>
                      <wp:effectExtent l="0" t="0" r="0" b="0"/>
                      <wp:wrapNone/>
                      <wp:docPr id="390" name="Frame390"/>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left"/>
              <w:rPr/>
            </w:pPr>
            <w:r>
              <w:rPr/>
              <w:t>​</w:t>
            </w:r>
          </w:p>
        </w:tc>
      </w:tr>
      <w:tr>
        <w:trPr/>
        <w:tc>
          <w:tcPr>
            <w:tcW w:w="5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1"/>
              <w:ind w:left="0" w:right="0" w:hanging="0"/>
              <w:jc w:val="left"/>
              <w:rPr/>
            </w:pPr>
            <w:r>
              <w:rPr/>
              <w:t>    </w:t>
            </w:r>
          </w:p>
        </w:tc>
        <w:tc>
          <w:tcPr>
            <w:tcW w:w="1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left"/>
              <w:rPr/>
            </w:pPr>
            <w:r>
              <w:rPr/>
              <w:t>    </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25,</w:t>
            </w:r>
          </w:p>
        </w:tc>
      </w:tr>
      <w:tr>
        <w:trPr/>
        <w:tc>
          <w:tcPr>
            <w:tcW w:w="5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6"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086"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pPr>
            <w:r>
              <w:rPr/>
              <w:t>  </w:t>
            </w:r>
          </w:p>
        </w:tc>
      </w:tr>
      <w:tr>
        <w:trPr/>
        <w:tc>
          <w:tcPr>
            <w:tcW w:w="59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attributable to controlling interest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514,312</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692,651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535,640</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 for earnings allocated to non-vested restricted common stock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(27,488)</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(17,342)</w:t>
            </w:r>
          </w:p>
        </w:tc>
      </w:tr>
      <w:tr>
        <w:trPr/>
        <w:tc>
          <w:tcPr>
            <w:tcW w:w="59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for calculating EPS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489,173</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665,163</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518,298</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pPr>
            <w:r>
              <w:rPr/>
              <w:t>  </w:t>
            </w:r>
          </w:p>
        </w:tc>
      </w:tr>
      <w:tr>
        <w:trPr/>
        <w:tc>
          <w:tcPr>
            <w:tcW w:w="59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62,683</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62,667</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62,209</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 for non-vested restricted common stock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(2,014)</w:t>
            </w:r>
          </w:p>
        </w:tc>
      </w:tr>
      <w:tr>
        <w:trPr/>
        <w:tc>
          <w:tcPr>
            <w:tcW w:w="59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for calculating basic EPS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59,619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60,180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60,195</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restricted common stock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59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for calculating diluted EPS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60,639</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60,653</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60,354</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pPr>
            <w:r>
              <w:rPr/>
              <w:t>  </w:t>
            </w:r>
          </w:p>
        </w:tc>
      </w:tr>
      <w:tr>
        <w:trPr/>
        <w:tc>
          <w:tcPr>
            <w:tcW w:w="59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59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8.59</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8" w:name="Tc_dQmaEU_f4UeymZGitIt8eQ_19_23"/>
      <w:bookmarkStart w:id="1059" w:name="Tc_9LrQL6ASFES8dHgZMGoYRQ_19_20"/>
      <w:bookmarkStart w:id="1060" w:name="Tc_hsR2hwFEu0Ghy35E4kAmsw_19_17"/>
      <w:bookmarkStart w:id="1061" w:name="Tc_hb7dj55PcEagPrJXEtLV2Q_19_14"/>
      <w:bookmarkStart w:id="1062" w:name="Tc_tjvR6gKytku5M2UZBBrBZw_19_11"/>
      <w:bookmarkStart w:id="1063" w:name="Tc_7YcvzW5tEEmWnwu94XF5gA_19_8"/>
      <w:bookmarkStart w:id="1064" w:name="Tc__ZtL9KohhEa8sCknLAHV1g_19_5"/>
      <w:bookmarkStart w:id="1065" w:name="Tc_OY8oIYiv0UqQkCgSAZmOGg_19_2"/>
      <w:bookmarkStart w:id="1066" w:name="Tc_s-m06PQ2rUSmZaThqchQVg_19_0"/>
      <w:bookmarkStart w:id="1067" w:name="Tc_ZAKY7zEATUibxCkjS28biA_18_21"/>
      <w:bookmarkStart w:id="1068" w:name="Tc_Yhu4ipVeAEmnXgllI0Cr7w_18_18"/>
      <w:bookmarkStart w:id="1069" w:name="Tc_pj_t-Jo4h0qmH3vMCZIyfg_18_9"/>
      <w:bookmarkStart w:id="1070" w:name="Tc_wGbEb4vIsUOf4SCRw7cm9A_18_6"/>
      <w:bookmarkStart w:id="1071" w:name="Tc_48zafaCqt0SM4f1YAsAbyQ_18_0"/>
      <w:bookmarkStart w:id="1072" w:name="Tc_wI5XZ1xxqkOYYODLX_5w_A_17_21"/>
      <w:bookmarkStart w:id="1073" w:name="Tc_tq1NilU-gUeCnYhJuqMIdg_17_18"/>
      <w:bookmarkStart w:id="1074" w:name="Tc_fA2OQuZKt0mYXM0L3qS8-w_17_9"/>
      <w:bookmarkStart w:id="1075" w:name="Tc_R38nOhO8zEycjNZYcLLeqQ_17_6"/>
      <w:bookmarkStart w:id="1076" w:name="Tc_5ZiG2yD6BkeLex6R-SbApw_17_0"/>
      <w:bookmarkStart w:id="1077" w:name="Tc_fYiBCkc4kkae8PMHs9G_uA_16_21"/>
      <w:bookmarkStart w:id="1078" w:name="Tc_LcRQIFYIuEC9zrP6tQXrUg_16_18"/>
      <w:bookmarkStart w:id="1079" w:name="Tc_iuuyOZIuM0C0DaRyF_r5Mw_16_9"/>
      <w:bookmarkStart w:id="1080" w:name="Tc_mhyCBkF8zECa9aQ7FuYu7Q_16_6"/>
      <w:bookmarkStart w:id="1081" w:name="Tc_xCm_jg2kc0GHLZOr7YbJpA_16_0"/>
      <w:bookmarkStart w:id="1082" w:name="Tc_utAODR57o0mlxZFidgxtYg_15_21"/>
      <w:bookmarkStart w:id="1083" w:name="Tc_35Q7UkGZp0GnDKKwl9O6FQ_15_18"/>
      <w:bookmarkStart w:id="1084" w:name="Tc_oqjgudy-nEGsTOUSOqm_Cg_15_9"/>
      <w:bookmarkStart w:id="1085" w:name="Tc_Sv79jFHWG0aRaFefiWUOKA_15_6"/>
      <w:bookmarkStart w:id="1086" w:name="Tc_jgLSHCgZ10qE2qQ2pKx5QQ_15_0"/>
      <w:bookmarkStart w:id="1087" w:name="Tc_jjkG5HlHRUaSVoecmgalKg_14_21"/>
      <w:bookmarkStart w:id="1088" w:name="Tc_ubL7pv9Gu02iLhdKWmAS9A_14_18"/>
      <w:bookmarkStart w:id="1089" w:name="Tc_sV6F1rBFb0S2cGO9Hv_R0w_14_9"/>
      <w:bookmarkStart w:id="1090" w:name="Tc_FYpIoCI9mEqPFWRsvwfnEA_14_6"/>
      <w:bookmarkStart w:id="1091" w:name="Tc_cq035T8b80evKhCq7N7OTw_14_0"/>
      <w:bookmarkStart w:id="1092" w:name="Tc_0uKKPoPdREWWhGJlNk8eeg_13_21"/>
      <w:bookmarkStart w:id="1093" w:name="Tc_pzayvQsrrk64OuEgaXve2Q_13_18"/>
      <w:bookmarkStart w:id="1094" w:name="Tc_Pu4klMZsz0ux-Z4BVahM4Q_13_9"/>
      <w:bookmarkStart w:id="1095" w:name="Tc_0dDx8xmaJkCSysS5c78hhQ_13_6"/>
      <w:bookmarkStart w:id="1096" w:name="Tc_MNyZIwwF_EOoF5kult8dMg_13_0"/>
      <w:bookmarkStart w:id="1097" w:name="Tc_aoEmUcfxN0eI9RzqEJBN0g_12_0"/>
      <w:bookmarkStart w:id="1098" w:name="Tc_xkO8jxONSkuBYemPewVVQg_11_18"/>
      <w:bookmarkStart w:id="1099" w:name="Tc_UBA3TK4FWUCkHczLz_-o7g_11_15"/>
      <w:bookmarkStart w:id="1100" w:name="Tc_nTDrPsZs_ke9TMxKzcl6HQ_11_6"/>
      <w:bookmarkStart w:id="1101" w:name="Tc_-NmcXN_wakqu8FP1we_uSA_11_3"/>
      <w:bookmarkStart w:id="1102" w:name="Tc_9qYvo0UHtUirb7JKh3jnaA_11_0"/>
      <w:bookmarkStart w:id="1103" w:name="Tc_kAf8tNvfFUKJkKxNgiRdAA_10_21"/>
      <w:bookmarkStart w:id="1104" w:name="Tc_HaAEb1cyQUyYM3ddEZ3UKA_10_18"/>
      <w:bookmarkStart w:id="1105" w:name="Tc_bAklreiV5UC0vLmQOxCZ2Q_10_6"/>
      <w:bookmarkStart w:id="1106" w:name="Tc_fqvDqD-IUkCKO-y_8Uem0A_10_0"/>
      <w:bookmarkStart w:id="1107" w:name="Tc_n_5kYeQCkEy3pMA3yegIRw_9_21"/>
      <w:bookmarkStart w:id="1108" w:name="Tc_lTZh1vDVhEybwmxMi_04Cg_9_18"/>
      <w:bookmarkStart w:id="1109" w:name="Tc_3tPmCITyFEuK7-I6XdXXfw_9_9"/>
      <w:bookmarkStart w:id="1110" w:name="Tc_4YUrJNRCYkea7imj7PD9Kg_9_6"/>
      <w:bookmarkStart w:id="1111" w:name="Tc_7Yw9FCyc30KGYnrb323fBw_9_0"/>
      <w:bookmarkStart w:id="1112" w:name="Tc_x-ZMiD4DTkyo0gBRiP9xuw_8_21"/>
      <w:bookmarkStart w:id="1113" w:name="Tc_ikvEyYsH1Uqix-roWGvhEw_8_9"/>
      <w:bookmarkStart w:id="1114" w:name="Tc_EsO8F8rkzUyOp9xy1asx_A_8_0"/>
      <w:bookmarkStart w:id="1115" w:name="Tc_LjnXaWAnxUWSCsES06uQOg_7_23"/>
      <w:bookmarkStart w:id="1116" w:name="Tc_wclTQuNwS0yJ20ZHFt5m3Q_7_21"/>
      <w:bookmarkStart w:id="1117" w:name="Tc_LWLBvJU59EmzzAZ3BUAkQg_7_20"/>
      <w:bookmarkStart w:id="1118" w:name="Tc_JZij5IGKo020IGOovr74QA_7_17"/>
      <w:bookmarkStart w:id="1119" w:name="Tc_S42SETkGVEK7YVjfmPcFIw_7_14"/>
      <w:bookmarkStart w:id="1120" w:name="Tc_rdcrLx-5Qkq_HtsKp8FKzA_7_11"/>
      <w:bookmarkStart w:id="1121" w:name="Tc_FBawC8VBuke6WyA5-xQ1rA_7_9"/>
      <w:bookmarkStart w:id="1122" w:name="Tc_i2Lxn3cNwE2MyXFEPwNoTQ_7_8"/>
      <w:bookmarkStart w:id="1123" w:name="Tc_TXj0v90QhEqacRoJy3euQg_7_5"/>
      <w:bookmarkStart w:id="1124" w:name="Tc_h5lJ4J1ZQ0SQ-UtB2VNveg_7_2"/>
      <w:bookmarkStart w:id="1125" w:name="Tc_LgK-RI_jxkqvQxB80zJ6uA_7_0"/>
      <w:bookmarkStart w:id="1126" w:name="Tc_HCAFDgWBckGD82__rg-GyA_6_23"/>
      <w:bookmarkStart w:id="1127" w:name="Tc_IoWKIEYv6EaDsEPwZ78amA_6_21"/>
      <w:bookmarkStart w:id="1128" w:name="Tc_hpqggeedxUOB2jZqAvFoRQ_6_17"/>
      <w:bookmarkStart w:id="1129" w:name="Tc_MxboTNuuBUGm_xFe50nGvQ_6_14"/>
      <w:bookmarkStart w:id="1130" w:name="Tc_4iaG2ANz5UiV78SZk32EGg_6_11"/>
      <w:bookmarkStart w:id="1131" w:name="Tc_jmz5QlmOFUqZQBBslRt8Uw_6_9"/>
      <w:bookmarkStart w:id="1132" w:name="Tc_teymFJBL5US2_So792mMbA_6_5"/>
      <w:bookmarkStart w:id="1133" w:name="Tc_V8LV7NRw30in7_oee2T8cQ_6_2"/>
      <w:bookmarkStart w:id="1134" w:name="Tc_844uND9_yEWXM792Hn0gQg_5_21"/>
      <w:bookmarkStart w:id="1135" w:name="Tc_507PVkk8dE62IxcuLYBcVg_5_17"/>
      <w:bookmarkStart w:id="1136" w:name="Tc_OFnvsLJ8FkGcZg_tpNWduA_5_14"/>
      <w:bookmarkStart w:id="1137" w:name="Tc_dBu0bfT_dku-K_iqeJB-fg_5_9"/>
      <w:bookmarkStart w:id="1138" w:name="Tc_5PTYjZNWaku6XNFm4eeXKQ_5_5"/>
      <w:bookmarkStart w:id="1139" w:name="Tc_XIgBxY1evEWXnYrRwhZ54w_5_2"/>
      <w:bookmarkStart w:id="1140" w:name="Tc_Ws2hDjZmw0qBIMEXoniGIQ_4_21"/>
      <w:bookmarkStart w:id="1141" w:name="Tc_G5cN6t-lxUKoEJfi7rNNMA_4_17"/>
      <w:bookmarkStart w:id="1142" w:name="Tc_bcXB9P_pSkevA_CMy659WA_4_14"/>
      <w:bookmarkStart w:id="1143" w:name="Tc_utoBUomMQUOf8yx015VIeA_4_9"/>
      <w:bookmarkStart w:id="1144" w:name="Tc_cAxkTc4uWEC7WqFlYZ883A_4_5"/>
      <w:bookmarkStart w:id="1145" w:name="Tc_m39UffflDEKIOQhhlPl3Lg_4_2"/>
      <w:bookmarkStart w:id="1146" w:name="Tc_JNbHhMvFUEGYaJ3mP0GNPQ_3_21"/>
      <w:bookmarkStart w:id="1147" w:name="Tc_4gJNLEtJh0241yLnq400Jg_3_17"/>
      <w:bookmarkStart w:id="1148" w:name="Tc_QKyrP1pkiEGtE4iRsXts3g_3_14"/>
      <w:bookmarkStart w:id="1149" w:name="Tc_J7UhV24BQ0S3VCb0c05ecw_3_9"/>
      <w:bookmarkStart w:id="1150" w:name="Tc_gbSyExe_Nki_fG2nrojdlw_3_5"/>
      <w:bookmarkStart w:id="1151" w:name="Tc_totMr1SOtUq31Py1wk4_8Q_3_2"/>
      <w:bookmarkStart w:id="1152" w:name="Tc_bj8jIrXJmEmRdYuk3ZwK6g_2_17"/>
      <w:bookmarkStart w:id="1153" w:name="Tc_GQAOuWzeJ0iMxIC7a-bvag_2_14"/>
      <w:bookmarkStart w:id="1154" w:name="Tc_BZEUpKzfdUWNte7CO3N49g_2_5"/>
      <w:bookmarkStart w:id="1155" w:name="Tc_4RXeIzzpRUqgOakrNmOw6w_2_2"/>
      <w:bookmarkStart w:id="1156" w:name="Tc_x8Ctu6cb9ka32ZvhqzF-jw_1_14"/>
      <w:bookmarkStart w:id="1157" w:name="Tc_lrPxXPObdk-W1-2pK8PbRg_1_2"/>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ascii="Times New Roman;Times;serif" w:hAnsi="Times New Roman;Times;serif"/>
          <w:b/>
          <w:i w:val="false"/>
          <w:caps w:val="false"/>
          <w:smallCaps w:val="false"/>
          <w:sz w:val="20"/>
        </w:rPr>
        <w:t>B.</w:t>
      </w:r>
      <w:r>
        <w:rPr>
          <w:rFonts w:ascii="Times New Roman;Times;serif" w:hAnsi="Times New Roman;Times;serif"/>
          <w:b/>
          <w:sz w:val="20"/>
        </w:rPr>
        <w:t>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apply the provisions of ASC 820, </w:t>
      </w:r>
      <w:r>
        <w:rPr>
          <w:rFonts w:ascii="Times New Roman;Times;serif" w:hAnsi="Times New Roman;Times;serif"/>
          <w:i/>
          <w:sz w:val="20"/>
        </w:rPr>
        <w:t>Fair Value Measurements and Disclosures,</w:t>
      </w:r>
      <w:r>
        <w:rPr>
          <w:rFonts w:ascii="Times New Roman;Times;serif" w:hAnsi="Times New Roman;Times;serif"/>
          <w:sz w:val="20"/>
        </w:rPr>
        <w:t xml:space="preserve"> to assets and liabilities measured at fair value. Assets and liabilities measured at fair value are as follows (in thousands):</w:t>
      </w:r>
    </w:p>
    <w:p>
      <w:pPr>
        <w:pStyle w:val="TextBody"/>
        <w:bidi w:val="0"/>
        <w:spacing w:before="0" w:after="0"/>
        <w:ind w:left="0" w:right="0" w:hanging="0"/>
        <w:jc w:val="left"/>
        <w:rPr/>
      </w:pPr>
      <w:r>
        <w:rPr/>
        <w:t>​</w:t>
      </w:r>
    </w:p>
    <w:tbl>
      <w:tblPr>
        <w:tblW w:w="12328" w:type="dxa"/>
        <w:jc w:val="left"/>
        <w:tblInd w:w="0" w:type="dxa"/>
        <w:tblLayout w:type="fixed"/>
        <w:tblCellMar>
          <w:top w:w="0" w:type="dxa"/>
          <w:left w:w="0" w:type="dxa"/>
          <w:bottom w:w="0" w:type="dxa"/>
          <w:right w:w="0" w:type="dxa"/>
        </w:tblCellMar>
      </w:tblPr>
      <w:tblGrid>
        <w:gridCol w:w="1171"/>
        <w:gridCol w:w="326"/>
        <w:gridCol w:w="211"/>
        <w:gridCol w:w="781"/>
        <w:gridCol w:w="326"/>
        <w:gridCol w:w="221"/>
        <w:gridCol w:w="710"/>
        <w:gridCol w:w="326"/>
        <w:gridCol w:w="211"/>
        <w:gridCol w:w="1096"/>
        <w:gridCol w:w="326"/>
        <w:gridCol w:w="211"/>
        <w:gridCol w:w="781"/>
        <w:gridCol w:w="326"/>
        <w:gridCol w:w="211"/>
        <w:gridCol w:w="781"/>
        <w:gridCol w:w="326"/>
        <w:gridCol w:w="221"/>
        <w:gridCol w:w="710"/>
        <w:gridCol w:w="326"/>
        <w:gridCol w:w="211"/>
        <w:gridCol w:w="1096"/>
        <w:gridCol w:w="326"/>
        <w:gridCol w:w="211"/>
        <w:gridCol w:w="886"/>
      </w:tblGrid>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3" name="Frame3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40335" cy="175260"/>
                      <wp:effectExtent l="0" t="0" r="0" b="0"/>
                      <wp:wrapNone/>
                      <wp:docPr id="395" name="Frame39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50850" cy="175260"/>
                      <wp:effectExtent l="0" t="0" r="0" b="0"/>
                      <wp:wrapNone/>
                      <wp:docPr id="396" name="Frame39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5960" cy="175260"/>
                      <wp:effectExtent l="0" t="0" r="0" b="0"/>
                      <wp:wrapNone/>
                      <wp:docPr id="399" name="Frame39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95935" cy="175260"/>
                      <wp:effectExtent l="0" t="0" r="0" b="0"/>
                      <wp:wrapNone/>
                      <wp:docPr id="402" name="Frame4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95935" cy="175260"/>
                      <wp:effectExtent l="0" t="0" r="0" b="0"/>
                      <wp:wrapNone/>
                      <wp:docPr id="405" name="Frame4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40335" cy="175260"/>
                      <wp:effectExtent l="0" t="0" r="0" b="0"/>
                      <wp:wrapNone/>
                      <wp:docPr id="407" name="Frame40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50850" cy="175260"/>
                      <wp:effectExtent l="0" t="0" r="0" b="0"/>
                      <wp:wrapNone/>
                      <wp:docPr id="408" name="Frame408"/>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5960" cy="175260"/>
                      <wp:effectExtent l="0" t="0" r="0" b="0"/>
                      <wp:wrapNone/>
                      <wp:docPr id="411" name="Frame41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62610" cy="175260"/>
                      <wp:effectExtent l="0" t="0" r="0" b="0"/>
                      <wp:wrapNone/>
                      <wp:docPr id="414" name="Frame4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00"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c>
          <w:tcPr>
            <w:tcW w:w="326" w:type="dxa"/>
            <w:tcBorders/>
            <w:vAlign w:val="center"/>
          </w:tcPr>
          <w:p>
            <w:pPr>
              <w:pStyle w:val="TableContents"/>
              <w:bidi w:val="0"/>
              <w:spacing w:before="0" w:after="0"/>
              <w:ind w:left="0" w:right="0" w:hanging="0"/>
              <w:jc w:val="left"/>
              <w:rPr/>
            </w:pPr>
            <w:r>
              <w:rPr/>
              <w:t>​</w:t>
            </w:r>
          </w:p>
        </w:tc>
        <w:tc>
          <w:tcPr>
            <w:tcW w:w="5305"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with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492,800</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6,133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498,933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390,219</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391,505</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Fixed income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5,112</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18,976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16,692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19,286</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16,411</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17,337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17,337</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Alternative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Mutual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Domestic stock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13,330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13,067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13,067</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International stock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1,414</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Target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Bond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Alternative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474</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mutual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14,327</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15,093</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15,093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528,994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25,109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568,655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425,586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17,978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447,666</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the assets measured at fair value as of December 30, 2023, listed in the table above, $498.5 million of money market funds are held in Cash and Cash Equivalents, $34.8 million of mutual funds, equity securities, and alternative investments are held in Investments, $10.5 million of equity securities are held in Other Assets, $0.1 million of money market and mutual funds are held in Other Assets for our deferred compensation plan, and $24.4 million of fixed income funds and $0.4 million of money market funds are held in Restricted Investments. As of December 31, 2022, $36.1 million of mutual funds, equity securities, and alternative investments were held in Investments, $391.2 million of money market funds were held in Cash and Cash Equivalents, $0.5 million of money market and mutual funds were held in Other Assets for our deferred compensation plan, and $19.6 million of fixed income funds and $0.3 million of money market funds were held in Restricted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Times;serif" w:hAnsi="Times New Roman;Times;serif"/>
          <w:i/>
          <w:sz w:val="20"/>
        </w:rPr>
        <w:t>Financial Instruments,</w:t>
      </w:r>
      <w:r>
        <w:rPr>
          <w:rFonts w:ascii="Times New Roman;Times;serif" w:hAnsi="Times New Roman;Times;serif"/>
          <w:sz w:val="20"/>
        </w:rPr>
        <w:t xml:space="preserve"> to any of our financial instruments except for those expressly required by U.S. GAAP.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2023, we made $10.5 million of investments through our Innov8 Fund, which is designed to invest in emerging projects, services, and technologies. These investments are valued as Level 3 assets and are categorized as “Equity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158" w:name="Tc_2iRRaiyQ8kWhSstKoqs6MQ_9_17"/>
      <w:bookmarkStart w:id="1159" w:name="Tc_M89PsDBWbEqEIz9TZBcfCw_9_14"/>
      <w:bookmarkStart w:id="1160" w:name="Tc_hLindqnb_EmvlSQ96exN7w_9_11"/>
      <w:bookmarkStart w:id="1161" w:name="Tc_PAyTV7mQ10-1SvReFURRuA_9_8"/>
      <w:bookmarkStart w:id="1162" w:name="Tc_x1k8NSzhSUKwzBvc9p4ZaA_9_5"/>
      <w:bookmarkStart w:id="1163" w:name="Tc_Uf_JY37fTUKHHDeaMDexEQ_9_2"/>
      <w:bookmarkStart w:id="1164" w:name="Tc_-i0gQe2nm0-SdBYTMTdGbw_9_0"/>
      <w:bookmarkStart w:id="1165" w:name="Tc_OkL7skby70S1iznL7ebv6g_8_0"/>
      <w:bookmarkStart w:id="1166" w:name="Tc_4qVmjlOiEkul21rUXtIWag_7_0"/>
      <w:bookmarkStart w:id="1167" w:name="Tc_kRVUJIdaCUm3FCgWa5icfQ_6_0"/>
      <w:bookmarkStart w:id="1168" w:name="Tc_QK5rvZmKOkGK75RqroIFnw_5_15"/>
      <w:bookmarkStart w:id="1169" w:name="Tc_WTw_VJAxsUWGtDRjfZFs-A_5_6"/>
      <w:bookmarkStart w:id="1170" w:name="Tc_cmikeqpDUEOUVsZuuRlZLw_5_0"/>
      <w:bookmarkStart w:id="1171" w:name="Tc_Kmt9Zy4uRUuBlCCW9j2-bQ_4_17"/>
      <w:bookmarkStart w:id="1172" w:name="Tc_d155Wd9Oe0iJ0tPAX1VnXA_4_14"/>
      <w:bookmarkStart w:id="1173" w:name="Tc_g16aDZICE0KZbO8lVdMKQQ_4_11"/>
      <w:bookmarkStart w:id="1174" w:name="Tc_fGbebmU9L0yJIqJsE5htaw_4_8"/>
      <w:bookmarkStart w:id="1175" w:name="Tc_k6gGbt-hzkObfhq1Kj-Ppw_4_5"/>
      <w:bookmarkStart w:id="1176" w:name="Tc_i9uUVGw4EUmO0MF7DKTEig_4_2"/>
      <w:bookmarkStart w:id="1177" w:name="Tc_5rBKGPh4jEWW691NzhXvpw_4_0"/>
      <w:bookmarkStart w:id="1178" w:name="Tc_TDRaI807Lk6dDQoyncmMHA_3_17"/>
      <w:bookmarkStart w:id="1179" w:name="Tc_WGJr9UzigkiSrbu-qlUy1g_3_14"/>
      <w:bookmarkStart w:id="1180" w:name="Tc_gd2eV5L_606BNy3H7sGpRQ_3_11"/>
      <w:bookmarkStart w:id="1181" w:name="Tc_w3a533BTGUOv6amaFY6njQ_3_8"/>
      <w:bookmarkStart w:id="1182" w:name="Tc_HHQrIdFLhUCcx7CIQUy4iA_3_5"/>
      <w:bookmarkStart w:id="1183" w:name="Tc_bl7CRRKiekqV-IwAHCsP-Q_3_2"/>
      <w:bookmarkStart w:id="1184" w:name="Tc_z8hmUnN0m0GS6gOHgYkOqg_2_14"/>
      <w:bookmarkStart w:id="1185" w:name="Tc_asXOD4fSUkKrtC5sT6t-Bg_2_5"/>
      <w:bookmarkStart w:id="1186" w:name="Tc_ewB4Klbi8UeungxlDK_K4g_1_11"/>
      <w:bookmarkStart w:id="1187" w:name="Tc_KSBLi0xTgkGhpEFR7C_WxQ_1_2"/>
      <w:bookmarkStart w:id="1188" w:name="_0b68f36f_8f67_435c_8944_4a2536835c8b"/>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r>
        <w:rPr>
          <w:rFonts w:ascii="Times New Roman;Times;serif" w:hAnsi="Times New Roman;Times;serif"/>
          <w:sz w:val="20"/>
        </w:rPr>
        <w:t>In accordance with our investment policy, our wholly-owned company, Ardellis Insurance Ltd. ("Ardellis"), maintains an investment portfolio, totaling $59.2 million and $55.6 million as of December 30, 2023 and December 31, 2022, respectively, which has been included in the aforementioned table of total investments. This portfolio consists of domestic and international equity securities, alternative investments, and fixed income bonds.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Ardellis’ available for sale investment portfolio, including funds held with the State of Michigan, consists of the following (in thousands):</w:t>
      </w:r>
    </w:p>
    <w:tbl>
      <w:tblPr>
        <w:tblW w:w="9555" w:type="dxa"/>
        <w:jc w:val="left"/>
        <w:tblInd w:w="0" w:type="dxa"/>
        <w:tblLayout w:type="fixed"/>
        <w:tblCellMar>
          <w:top w:w="0" w:type="dxa"/>
          <w:left w:w="0" w:type="dxa"/>
          <w:bottom w:w="0" w:type="dxa"/>
          <w:right w:w="0" w:type="dxa"/>
        </w:tblCellMar>
      </w:tblPr>
      <w:tblGrid>
        <w:gridCol w:w="2056"/>
        <w:gridCol w:w="326"/>
        <w:gridCol w:w="211"/>
        <w:gridCol w:w="676"/>
        <w:gridCol w:w="326"/>
        <w:gridCol w:w="221"/>
        <w:gridCol w:w="724"/>
        <w:gridCol w:w="326"/>
        <w:gridCol w:w="211"/>
        <w:gridCol w:w="676"/>
        <w:gridCol w:w="326"/>
        <w:gridCol w:w="211"/>
        <w:gridCol w:w="676"/>
        <w:gridCol w:w="326"/>
        <w:gridCol w:w="221"/>
        <w:gridCol w:w="724"/>
        <w:gridCol w:w="326"/>
        <w:gridCol w:w="211"/>
        <w:gridCol w:w="78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05560" cy="175260"/>
                      <wp:effectExtent l="0" t="0" r="0" b="0"/>
                      <wp:wrapNone/>
                      <wp:docPr id="415" name="Frame41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29260" cy="175260"/>
                      <wp:effectExtent l="0" t="0" r="0" b="0"/>
                      <wp:wrapNone/>
                      <wp:docPr id="418" name="Frame4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0335" cy="175260"/>
                      <wp:effectExtent l="0" t="0" r="0" b="0"/>
                      <wp:wrapNone/>
                      <wp:docPr id="420" name="Frame42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59740" cy="175260"/>
                      <wp:effectExtent l="0" t="0" r="0" b="0"/>
                      <wp:wrapNone/>
                      <wp:docPr id="421" name="Frame42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29260" cy="175260"/>
                      <wp:effectExtent l="0" t="0" r="0" b="0"/>
                      <wp:wrapNone/>
                      <wp:docPr id="424" name="Frame4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29260" cy="175260"/>
                      <wp:effectExtent l="0" t="0" r="0" b="0"/>
                      <wp:wrapNone/>
                      <wp:docPr id="427" name="Frame4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40335" cy="175260"/>
                      <wp:effectExtent l="0" t="0" r="0" b="0"/>
                      <wp:wrapNone/>
                      <wp:docPr id="429" name="Frame42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59740" cy="175260"/>
                      <wp:effectExtent l="0" t="0" r="0" b="0"/>
                      <wp:wrapNone/>
                      <wp:docPr id="430" name="Frame43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95935" cy="175260"/>
                      <wp:effectExtent l="0" t="0" r="0" b="0"/>
                      <wp:wrapNone/>
                      <wp:docPr id="433" name="Frame4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71"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c>
          <w:tcPr>
            <w:tcW w:w="326" w:type="dxa"/>
            <w:tcBorders/>
            <w:vAlign w:val="center"/>
          </w:tcPr>
          <w:p>
            <w:pPr>
              <w:pStyle w:val="TableContents"/>
              <w:bidi w:val="0"/>
              <w:spacing w:before="0" w:after="0"/>
              <w:ind w:left="0" w:right="0" w:hanging="0"/>
              <w:jc w:val="left"/>
              <w:rPr/>
            </w:pPr>
            <w:r>
              <w:rPr/>
              <w:t>​</w:t>
            </w:r>
          </w:p>
        </w:tc>
        <w:tc>
          <w:tcPr>
            <w:tcW w:w="3476"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25,514</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21,399</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19,286</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17,337</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14,574</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54,940</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54,039</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55,642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was $4.2 million and $1.6 million as of December 30, 2023 and December 31, 2022. Carrying amounts above are recorded in the investments and restricted investments line items within the balance sheet as of December 30, 2023 and December 31,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89" w:name="Tc_ITldrHTSl0-B5r8PoFeDUw_13_1"/>
      <w:bookmarkStart w:id="1190" w:name="Tc_qgzNKXRh0EarlHKFhKFw5Q_13_0"/>
      <w:bookmarkStart w:id="1191" w:name="Tc_CYBCw-dEw0KLr0-2OtBiJg_12_7"/>
      <w:bookmarkStart w:id="1192" w:name="Tc_09q70s54JkO2gQDw_bYayw_12_5"/>
      <w:bookmarkStart w:id="1193" w:name="Tc_UCXEmO7Mj0CHihrN7aOlpA_12_3"/>
      <w:bookmarkStart w:id="1194" w:name="Tc_X4gvRdKmeUqgqbdE3r36ig_12_2"/>
      <w:bookmarkStart w:id="1195" w:name="Tc_BEyULePpZUes-81DbFcUAw_12_1"/>
      <w:bookmarkStart w:id="1196" w:name="Tc_Gz2K_RUaFUGL9wwFLJP9rg_11_1"/>
      <w:bookmarkStart w:id="1197" w:name="Tc_SuBGS8gZa0yK7Wwkdr-4jQ_11_0"/>
      <w:bookmarkStart w:id="1198" w:name="Tc_VPw9oeVl20SBmCFYnodZEA_10_7"/>
      <w:bookmarkStart w:id="1199" w:name="Tc_Y82FTmueNESQjHa1vJmyMQ_10_5"/>
      <w:bookmarkStart w:id="1200" w:name="Tc_44Gqn9ljTECWWWzpVdxW5w_10_3"/>
      <w:bookmarkStart w:id="1201" w:name="Tc_-ALYNqsUKU-113yr-mkZ5g_10_2"/>
      <w:bookmarkStart w:id="1202" w:name="Tc_BJV0mZaTyEeCTv9A-YdG5Q_10_1"/>
      <w:bookmarkStart w:id="1203" w:name="Tc_tyAi2DBZaU2JpJxsxH7dIA_9_1"/>
      <w:bookmarkStart w:id="1204" w:name="Tc_yp8K-4-Ly0WYQIusRZRLJg_9_0"/>
      <w:bookmarkStart w:id="1205" w:name="Tc_gzN9iftOPkiISot17RaZUQ_8_7"/>
      <w:bookmarkStart w:id="1206" w:name="Tc_Ej97Vd6IekanNQE-J7NShg_8_5"/>
      <w:bookmarkStart w:id="1207" w:name="Tc_rCy0xdXGKUyW13TtC5wIrg_8_3"/>
      <w:bookmarkStart w:id="1208" w:name="Tc_DYjAkBPCX02uX4OBbrYB8A_8_2"/>
      <w:bookmarkStart w:id="1209" w:name="Tc__uiZBWRx6EScQvFRIJnOVA_8_1"/>
      <w:bookmarkStart w:id="1210" w:name="Tc_z0gPKViPkUOkVPzOMahVaw_7_1"/>
      <w:bookmarkStart w:id="1211" w:name="Tc_VVaKb6dfxEqo74yvIxlxaA_7_0"/>
      <w:bookmarkStart w:id="1212" w:name="Tc_-5xvLPTxRkiibdanHnQzYg_6_7"/>
      <w:bookmarkStart w:id="1213" w:name="Tc_ONha-YpsLkit-p8Glr8_rw_6_5"/>
      <w:bookmarkStart w:id="1214" w:name="Tc_6GArhrdMWUy_dcfGSb0dDw_6_3"/>
      <w:bookmarkStart w:id="1215" w:name="Tc_bT6JerIAQk2xISo-JfAEjA_6_2"/>
      <w:bookmarkStart w:id="1216" w:name="Tc_zxvzR997LU2E_Fx4NeCy2A_6_1"/>
      <w:bookmarkStart w:id="1217" w:name="Tc_YEk2DTo1Q0mYdvwYRTBr_Q_5_1"/>
      <w:bookmarkStart w:id="1218" w:name="Tc_ho_hpwdyfkSyxv6vUk29BA_5_0"/>
      <w:bookmarkStart w:id="1219" w:name="Tc_8nCCqURJuUytJ0zi1zQZpw_4_7"/>
      <w:bookmarkStart w:id="1220" w:name="Tc_HlccRmBfpkC7gexnPG6p6g_4_5"/>
      <w:bookmarkStart w:id="1221" w:name="Tc_XFJK0GjRZEGQzWqRjFuJEA_4_3"/>
      <w:bookmarkStart w:id="1222" w:name="Tc_QImq2qGCBkCIh9sTPUbiuw_4_2"/>
      <w:bookmarkStart w:id="1223" w:name="Tc_cOSWki7fNUKTeldR7GloYw_4_1"/>
      <w:bookmarkStart w:id="1224" w:name="Tc_7Y7TT4Ml_kqJNTaQZU7R9Q_3_7"/>
      <w:bookmarkStart w:id="1225" w:name="Tc_o-M1Ukv3306UDwcTVlnGrA_3_5"/>
      <w:bookmarkStart w:id="1226" w:name="Tc_GMUyGRP8wEOMd4_zNF52Bw_3_3"/>
      <w:bookmarkStart w:id="1227" w:name="Tc_cG8TmsvvDk2wled5EU2zYw_3_2"/>
      <w:bookmarkStart w:id="1228" w:name="Tc_HpRdG6LkVUe9V-zIExfetA_3_1"/>
      <w:bookmarkStart w:id="1229" w:name="Tc_VHKGsrpQ60G4raa5OVp3mA_3_0"/>
      <w:bookmarkStart w:id="1230" w:name="Tc_e7MY9eNwvEeW0uHFYhdO2Q_2_7"/>
      <w:bookmarkStart w:id="1231" w:name="Tc_v5QME-xUKk68lbSicmi6QQ_2_5"/>
      <w:bookmarkStart w:id="1232" w:name="Tc_-1-rWvjAN0KeWHT8n4aVcA_2_3"/>
      <w:bookmarkStart w:id="1233" w:name="Tc_Hg6w59FjlE2ga7m9_Mr0Hg_2_1"/>
      <w:bookmarkStart w:id="1234" w:name="Tc_Ru1PeVF7O02CZcbXDNGJiw_2_0"/>
      <w:bookmarkStart w:id="1235" w:name="Tc_ZHonXNZmGkyBshA2DcrgTw_1_5"/>
      <w:bookmarkStart w:id="1236" w:name="_33ea2bab_7592_47f2_9a89_6b3056bfee25"/>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Pr>
          <w:rFonts w:ascii="Times New Roman;Times;serif" w:hAnsi="Times New Roman;Times;serif"/>
          <w:b/>
          <w:i w:val="false"/>
          <w:caps w:val="false"/>
          <w:smallCaps w:val="false"/>
          <w:sz w:val="20"/>
        </w:rPr>
        <w:t>C.</w:t>
      </w:r>
      <w:r>
        <w:rPr>
          <w:rFonts w:ascii="Times New Roman;Times;serif" w:hAnsi="Times New Roman;Times;serif"/>
          <w:b/>
          <w:sz w:val="20"/>
        </w:rPr>
        <w:t>BUSINESS COMBINATIONS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completed the following business combinations in fiscal 2023 and 2022, which were accounted for using the purchase or equity method (in thousands).</w:t>
      </w:r>
    </w:p>
    <w:tbl>
      <w:tblPr>
        <w:tblW w:w="10205" w:type="dxa"/>
        <w:jc w:val="left"/>
        <w:tblInd w:w="0" w:type="dxa"/>
        <w:tblLayout w:type="fixed"/>
        <w:tblCellMar>
          <w:top w:w="0" w:type="dxa"/>
          <w:left w:w="0" w:type="dxa"/>
          <w:bottom w:w="0" w:type="dxa"/>
          <w:right w:w="0" w:type="dxa"/>
        </w:tblCellMar>
      </w:tblPr>
      <w:tblGrid>
        <w:gridCol w:w="1675"/>
        <w:gridCol w:w="1421"/>
        <w:gridCol w:w="3717"/>
        <w:gridCol w:w="279"/>
        <w:gridCol w:w="861"/>
        <w:gridCol w:w="244"/>
        <w:gridCol w:w="751"/>
        <w:gridCol w:w="1257"/>
      </w:tblGrid>
      <w:tr>
        <w:trPr/>
        <w:tc>
          <w:tcPr>
            <w:tcW w:w="1675" w:type="dxa"/>
            <w:tcBorders/>
            <w:vAlign w:val="center"/>
          </w:tcPr>
          <w:p>
            <w:pPr>
              <w:pStyle w:val="TableContents"/>
              <w:bidi w:val="0"/>
              <w:spacing w:before="0" w:after="0"/>
              <w:ind w:left="0" w:right="0" w:hanging="0"/>
              <w:jc w:val="left"/>
              <w:rPr/>
            </w:pPr>
            <w:r>
              <w:rPr/>
              <w:t>​</w:t>
            </w:r>
          </w:p>
        </w:tc>
        <w:tc>
          <w:tcPr>
            <w:tcW w:w="1421" w:type="dxa"/>
            <w:tcBorders/>
            <w:vAlign w:val="center"/>
          </w:tcPr>
          <w:p>
            <w:pPr>
              <w:pStyle w:val="TableContents"/>
              <w:bidi w:val="0"/>
              <w:spacing w:before="0" w:after="0"/>
              <w:ind w:left="0" w:right="0" w:hanging="0"/>
              <w:jc w:val="left"/>
              <w:rPr/>
            </w:pPr>
            <w:r>
              <w:rPr/>
              <w:t>​</w:t>
            </w:r>
          </w:p>
        </w:tc>
        <w:tc>
          <w:tcPr>
            <w:tcW w:w="3717"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r>
      <w:tr>
        <w:trPr/>
        <w:tc>
          <w:tcPr>
            <w:tcW w:w="1675"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w:t>
            </w:r>
          </w:p>
        </w:tc>
        <w:tc>
          <w:tcPr>
            <w:tcW w:w="142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w:t>
            </w:r>
          </w:p>
        </w:tc>
        <w:tc>
          <w:tcPr>
            <w:tcW w:w="3717"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w:t>
            </w:r>
          </w:p>
        </w:tc>
        <w:tc>
          <w:tcPr>
            <w:tcW w:w="11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w:t>
            </w:r>
          </w:p>
        </w:tc>
        <w:tc>
          <w:tcPr>
            <w:tcW w:w="9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 </w:t>
            </w:r>
          </w:p>
        </w:tc>
        <w:tc>
          <w:tcPr>
            <w:tcW w:w="1257"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w:t>
            </w:r>
          </w:p>
        </w:tc>
      </w:tr>
      <w:tr>
        <w:trPr/>
        <w:tc>
          <w:tcPr>
            <w:tcW w:w="1675"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Company</w:t>
            </w:r>
          </w:p>
        </w:tc>
        <w:tc>
          <w:tcPr>
            <w:tcW w:w="142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Acquisition </w:t>
            </w:r>
          </w:p>
        </w:tc>
        <w:tc>
          <w:tcPr>
            <w:tcW w:w="371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pPr>
            <w:r>
              <w:rPr/>
              <w:t>​</w:t>
            </w:r>
          </w:p>
        </w:tc>
        <w:tc>
          <w:tcPr>
            <w:tcW w:w="114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Intangible </w:t>
            </w:r>
          </w:p>
        </w:tc>
        <w:tc>
          <w:tcPr>
            <w:tcW w:w="99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Tangible </w:t>
            </w:r>
          </w:p>
        </w:tc>
        <w:tc>
          <w:tcPr>
            <w:tcW w:w="125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Operating</w:t>
            </w:r>
          </w:p>
        </w:tc>
      </w:tr>
      <w:tr>
        <w:trPr/>
        <w:tc>
          <w:tcPr>
            <w:tcW w:w="16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w:t>
            </w:r>
          </w:p>
        </w:tc>
        <w:tc>
          <w:tcPr>
            <w:tcW w:w="142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371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Purchase Price</w:t>
            </w:r>
          </w:p>
        </w:tc>
        <w:tc>
          <w:tcPr>
            <w:tcW w:w="1140" w:type="dxa"/>
            <w:gridSpan w:val="2"/>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995" w:type="dxa"/>
            <w:gridSpan w:val="2"/>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1257"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Segment</w:t>
            </w:r>
          </w:p>
        </w:tc>
      </w:tr>
      <w:tr>
        <w:trPr/>
        <w:tc>
          <w:tcPr>
            <w:tcW w:w="1675" w:type="dxa"/>
            <w:tcBorders>
              <w:left w:val="single" w:sz="2" w:space="0" w:color="000000"/>
              <w:right w:val="single" w:sz="2" w:space="0" w:color="000000"/>
            </w:tcBorders>
            <w:shd w:fill="CCEBFF" w:val="clear"/>
            <w:tcMar>
              <w:left w:w="28" w:type="dxa"/>
              <w:right w:w="28" w:type="dxa"/>
            </w:tcMar>
            <w:vAlign w:val="center"/>
          </w:tcPr>
          <w:p>
            <w:pPr>
              <w:pStyle w:val="TableContents"/>
              <w:bidi w:val="0"/>
              <w:spacing w:before="0" w:after="0"/>
              <w:ind w:left="0" w:right="0" w:hanging="0"/>
              <w:jc w:val="left"/>
              <w:rPr/>
            </w:pPr>
            <w:r>
              <w:rPr/>
              <w:t>​</w:t>
            </w:r>
          </w:p>
        </w:tc>
        <w:tc>
          <w:tcPr>
            <w:tcW w:w="1421"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September 20, 2023</w:t>
            </w:r>
          </w:p>
        </w:tc>
        <w:tc>
          <w:tcPr>
            <w:tcW w:w="3717"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$52,841</w:t>
              <w:br/>
              <w:t>consideration for 80% stock purchase, net of acquired cash</w:t>
            </w:r>
          </w:p>
        </w:tc>
        <w:tc>
          <w:tcPr>
            <w:tcW w:w="279"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1"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43,785</w:t>
            </w:r>
          </w:p>
        </w:tc>
        <w:tc>
          <w:tcPr>
            <w:tcW w:w="244"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9,056</w:t>
            </w:r>
          </w:p>
        </w:tc>
        <w:tc>
          <w:tcPr>
            <w:tcW w:w="1257"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International</w:t>
            </w:r>
          </w:p>
        </w:tc>
      </w:tr>
      <w:tr>
        <w:trPr/>
        <w:tc>
          <w:tcPr>
            <w:tcW w:w="1675" w:type="dxa"/>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UFP Palets y Embalajes SL (UFP Palets) </w:t>
            </w:r>
          </w:p>
        </w:tc>
        <w:tc>
          <w:tcPr>
            <w:tcW w:w="8530" w:type="dxa"/>
            <w:gridSpan w:val="7"/>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Headquartered in Castellón, Spain, UFP Palets (formerly known as Palets Suller Group) is the market leader in machine-built wood pallets, serving the region's large ceramic tile industry. The company had trailing 12-month sales of approximately $38 million through August 2023.</w:t>
            </w:r>
          </w:p>
        </w:tc>
      </w:tr>
      <w:tr>
        <w:trPr/>
        <w:tc>
          <w:tcPr>
            <w:tcW w:w="167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before="0" w:after="0"/>
              <w:ind w:left="0" w:right="0" w:hanging="0"/>
              <w:jc w:val="center"/>
              <w:rPr/>
            </w:pPr>
            <w:r>
              <w:rPr/>
              <w:t>​</w:t>
            </w:r>
          </w:p>
        </w:tc>
        <w:tc>
          <w:tcPr>
            <w:tcW w:w="1421"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December 6, 2022</w:t>
            </w:r>
          </w:p>
        </w:tc>
        <w:tc>
          <w:tcPr>
            <w:tcW w:w="3717"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$70,942</w:t>
              <w:br/>
              <w:t>consideration for 100% asset purchase</w:t>
            </w:r>
          </w:p>
        </w:tc>
        <w:tc>
          <w:tcPr>
            <w:tcW w:w="279" w:type="dxa"/>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48,745</w:t>
            </w:r>
          </w:p>
        </w:tc>
        <w:tc>
          <w:tcPr>
            <w:tcW w:w="244" w:type="dxa"/>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22,197</w:t>
            </w:r>
          </w:p>
        </w:tc>
        <w:tc>
          <w:tcPr>
            <w:tcW w:w="1257"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Packaging</w:t>
            </w:r>
          </w:p>
        </w:tc>
      </w:tr>
      <w:tr>
        <w:trPr/>
        <w:tc>
          <w:tcPr>
            <w:tcW w:w="1675"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Titan Corrugated, Inc. (Titan) and All Boxed Up, LLC (ABU)</w:t>
            </w:r>
          </w:p>
        </w:tc>
        <w:tc>
          <w:tcPr>
            <w:tcW w:w="8530" w:type="dxa"/>
            <w:gridSpan w:val="7"/>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Located in Flower Mound, TX and founded in 2003, Titan’s primary products include boxes used in moving and storage, jumbo boxes for industrial products, corrugated shipping containers, and point-of-purchase displays. ABU distributes common box sizes manufactured by Titan throughout the United States. The combined companies had trailing 12-month sales through October 2022 of approximately $46.5 million.</w:t>
            </w:r>
          </w:p>
        </w:tc>
      </w:tr>
      <w:tr>
        <w:trPr/>
        <w:tc>
          <w:tcPr>
            <w:tcW w:w="1675" w:type="dxa"/>
            <w:tcBorders>
              <w:left w:val="single" w:sz="2" w:space="0" w:color="000000"/>
              <w:right w:val="single" w:sz="2" w:space="0" w:color="000000"/>
            </w:tcBorders>
            <w:shd w:fill="CCEBFF" w:val="clear"/>
            <w:tcMar>
              <w:left w:w="28" w:type="dxa"/>
              <w:right w:w="28" w:type="dxa"/>
            </w:tcMar>
            <w:vAlign w:val="center"/>
          </w:tcPr>
          <w:p>
            <w:pPr>
              <w:pStyle w:val="TableContents"/>
              <w:bidi w:val="0"/>
              <w:spacing w:before="0" w:after="0"/>
              <w:ind w:left="0" w:right="0" w:hanging="0"/>
              <w:jc w:val="left"/>
              <w:rPr/>
            </w:pPr>
            <w:r>
              <w:rPr/>
              <w:t>​</w:t>
            </w:r>
          </w:p>
        </w:tc>
        <w:tc>
          <w:tcPr>
            <w:tcW w:w="1421"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June 27, 2022</w:t>
            </w:r>
          </w:p>
        </w:tc>
        <w:tc>
          <w:tcPr>
            <w:tcW w:w="3717"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$69,791</w:t>
              <w:br/>
              <w:t>consideration for equity method investment</w:t>
            </w:r>
          </w:p>
        </w:tc>
        <w:tc>
          <w:tcPr>
            <w:tcW w:w="279"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1"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34,552</w:t>
            </w:r>
          </w:p>
        </w:tc>
        <w:tc>
          <w:tcPr>
            <w:tcW w:w="244"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35,239</w:t>
            </w:r>
          </w:p>
        </w:tc>
        <w:tc>
          <w:tcPr>
            <w:tcW w:w="1257"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Packaging</w:t>
            </w:r>
          </w:p>
        </w:tc>
      </w:tr>
      <w:tr>
        <w:trPr/>
        <w:tc>
          <w:tcPr>
            <w:tcW w:w="1675" w:type="dxa"/>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Dempsey Wood Products, Inc. (Dempsey)</w:t>
            </w:r>
          </w:p>
        </w:tc>
        <w:tc>
          <w:tcPr>
            <w:tcW w:w="8530" w:type="dxa"/>
            <w:gridSpan w:val="7"/>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Located in Orangeburg, South Carolina and founded in 1988, Dempsey is a sawmill which produces products such as kiln dried finished lumber, industrial lumber, green cut stock lumber, pine chips and shavings, landscaping mulch, and sawdust. The Company had sales of approximately $69 million in 2021. </w:t>
            </w:r>
          </w:p>
        </w:tc>
      </w:tr>
      <w:tr>
        <w:trPr/>
        <w:tc>
          <w:tcPr>
            <w:tcW w:w="167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before="0" w:after="0"/>
              <w:ind w:left="0" w:right="0" w:hanging="0"/>
              <w:jc w:val="center"/>
              <w:rPr/>
            </w:pPr>
            <w:r>
              <w:rPr/>
              <w:t>​</w:t>
            </w:r>
          </w:p>
        </w:tc>
        <w:tc>
          <w:tcPr>
            <w:tcW w:w="1421"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May 9, 2022</w:t>
            </w:r>
          </w:p>
        </w:tc>
        <w:tc>
          <w:tcPr>
            <w:tcW w:w="3717"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$15,398</w:t>
              <w:br/>
              <w:t>consideration for 100% asset purchase</w:t>
            </w:r>
          </w:p>
        </w:tc>
        <w:tc>
          <w:tcPr>
            <w:tcW w:w="279" w:type="dxa"/>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4,821</w:t>
            </w:r>
          </w:p>
        </w:tc>
        <w:tc>
          <w:tcPr>
            <w:tcW w:w="244" w:type="dxa"/>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10,577</w:t>
            </w:r>
          </w:p>
        </w:tc>
        <w:tc>
          <w:tcPr>
            <w:tcW w:w="1257"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Retail</w:t>
            </w:r>
          </w:p>
        </w:tc>
      </w:tr>
      <w:tr>
        <w:trPr/>
        <w:tc>
          <w:tcPr>
            <w:tcW w:w="1675"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Cedar Poly, LLC</w:t>
            </w:r>
          </w:p>
        </w:tc>
        <w:tc>
          <w:tcPr>
            <w:tcW w:w="8530" w:type="dxa"/>
            <w:gridSpan w:val="7"/>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Located in Tipton, Iowa, Cedar Poly is a full-service recycler of high-density and low-density polyethylene (HDPE and LDPE) flakes and pellets used in various products, including composite decking. The company also recycles corrugate and operates its own transportation fleet. Cedar Poly had 2021 sales of approximately $17.3 million and operates in UFP’s Deckorators business unit.</w:t>
            </w:r>
          </w:p>
        </w:tc>
      </w:tr>
      <w:tr>
        <w:trPr/>
        <w:tc>
          <w:tcPr>
            <w:tcW w:w="1675" w:type="dxa"/>
            <w:tcBorders>
              <w:left w:val="single" w:sz="2" w:space="0" w:color="000000"/>
              <w:right w:val="single" w:sz="2" w:space="0" w:color="000000"/>
            </w:tcBorders>
            <w:shd w:fill="CCEBFF" w:val="clear"/>
            <w:tcMar>
              <w:left w:w="28" w:type="dxa"/>
              <w:right w:w="28" w:type="dxa"/>
            </w:tcMar>
            <w:vAlign w:val="center"/>
          </w:tcPr>
          <w:p>
            <w:pPr>
              <w:pStyle w:val="TableContents"/>
              <w:bidi w:val="0"/>
              <w:spacing w:before="0" w:after="0"/>
              <w:ind w:left="0" w:right="0" w:hanging="0"/>
              <w:jc w:val="left"/>
              <w:rPr/>
            </w:pPr>
            <w:r>
              <w:rPr/>
              <w:t>​</w:t>
            </w:r>
          </w:p>
        </w:tc>
        <w:tc>
          <w:tcPr>
            <w:tcW w:w="1421"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December 27, 2021</w:t>
            </w:r>
          </w:p>
        </w:tc>
        <w:tc>
          <w:tcPr>
            <w:tcW w:w="3717"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$24,057</w:t>
              <w:br/>
              <w:t>consideration for 100% stock purchase, net of acquired cash and $2,000 estimated contingent consideration</w:t>
            </w:r>
          </w:p>
        </w:tc>
        <w:tc>
          <w:tcPr>
            <w:tcW w:w="279"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1"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20,390</w:t>
            </w:r>
          </w:p>
        </w:tc>
        <w:tc>
          <w:tcPr>
            <w:tcW w:w="244" w:type="dxa"/>
            <w:tcBorders>
              <w:left w:val="single" w:sz="2" w:space="0" w:color="000000"/>
              <w:bottom w:val="single" w:sz="2" w:space="0" w:color="000000"/>
            </w:tcBorders>
            <w:shd w:fill="CCEB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single" w:sz="2" w:space="0" w:color="000000"/>
              <w:right w:val="single" w:sz="2" w:space="0" w:color="000000"/>
            </w:tcBorders>
            <w:shd w:fill="CCEB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5,667</w:t>
            </w:r>
          </w:p>
        </w:tc>
        <w:tc>
          <w:tcPr>
            <w:tcW w:w="1257" w:type="dxa"/>
            <w:tcBorders>
              <w:left w:val="single" w:sz="2" w:space="0" w:color="000000"/>
              <w:bottom w:val="single" w:sz="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Retail</w:t>
            </w:r>
          </w:p>
        </w:tc>
      </w:tr>
      <w:tr>
        <w:trPr/>
        <w:tc>
          <w:tcPr>
            <w:tcW w:w="1675" w:type="dxa"/>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Ultra Aluminum Manufacturing, Inc. (Ultra)</w:t>
            </w:r>
          </w:p>
        </w:tc>
        <w:tc>
          <w:tcPr>
            <w:tcW w:w="8530" w:type="dxa"/>
            <w:gridSpan w:val="7"/>
            <w:tcBorders>
              <w:left w:val="single" w:sz="2" w:space="0" w:color="000000"/>
              <w:bottom w:val="single" w:sz="12" w:space="0" w:color="000000"/>
              <w:right w:val="single" w:sz="2" w:space="0" w:color="000000"/>
            </w:tcBorders>
            <w:shd w:fill="CCEB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Located in Howell, Michigan and founded in 1996, Ultra is a leading manufacturer of aluminum fencing, gates and railing. The company designs and produces an extensive selection of ornamental aluminum fence and railing products for contractors, landscapers, fence dealers and wholesalers. The Company had sales of approximately $45 million in 2021.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intangible assets for each acquisition were finalized and allocated to their respective identifiable intangible asset and goodwill accounts during 2023, except for the acquisition of UFP Palets. In aggregate, acquisitions made during 2023 and 2022, contributed approximately $95.0 million in net sales and $3.3 million in operating profit during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237" w:name="Tc_zvUkdEWJeEC0PlJpNtBllQ_8_9"/>
      <w:bookmarkStart w:id="1238" w:name="Tc_A1cHSFTPrUOV9aCG7uWoOg_8_6"/>
      <w:bookmarkStart w:id="1239" w:name="Tc_hcTrnIcRE0a11l2AYaU-kA_8_3"/>
      <w:bookmarkStart w:id="1240" w:name="Tc__6lDo4wetEusQySiY96QHQ_8_0"/>
      <w:bookmarkStart w:id="1241" w:name="Tc_L_J52Mjebk64EUWA8aWx2Q_7_9"/>
      <w:bookmarkStart w:id="1242" w:name="Tc_QogFV1eg4kWeq84pN5UQEA_7_6"/>
      <w:bookmarkStart w:id="1243" w:name="Tc_kUUul80V7kidqUgIoSwYrQ_7_0"/>
      <w:bookmarkStart w:id="1244" w:name="Tc_MHgFMfoHFUujR3CyyGQ8AQ_6_9"/>
      <w:bookmarkStart w:id="1245" w:name="Tc_EnWhTB_6W0mrsLYczAFZnw_6_3"/>
      <w:bookmarkStart w:id="1246" w:name="Tc_9ZgP7cv0SE-cGikBQGbQAw_6_0"/>
      <w:bookmarkStart w:id="1247" w:name="Tc_DnhSt95mjEiEr8WNy94P0w_5_9"/>
      <w:bookmarkStart w:id="1248" w:name="Tc_oxWDZIh5vUKXQkX9vK-4Jw_5_3"/>
      <w:bookmarkStart w:id="1249" w:name="Tc_MwdIhSrWRUajeOWyzX8Mkg_5_0"/>
      <w:bookmarkStart w:id="1250" w:name="Tc_OQUw3IZv30SFQnkZbn8Nnw_4_20"/>
      <w:bookmarkStart w:id="1251" w:name="Tc_MHx8azl1ZkaXBbul6OU8Fg_4_19"/>
      <w:bookmarkStart w:id="1252" w:name="Tc__2XY3aavlU-Bhh8PcXuIgQ_4_17"/>
      <w:bookmarkStart w:id="1253" w:name="Tc_KEA_Pjbz40eDT8P2d8fjPQ_4_15"/>
      <w:bookmarkStart w:id="1254" w:name="Tc_cVpPwTAuUEGyYZRUOOaMTQ_4_14"/>
      <w:bookmarkStart w:id="1255" w:name="Tc_m6WowXZWuk2JdT-3UB0ZRg_4_13"/>
      <w:bookmarkStart w:id="1256" w:name="Tc_uksd1JtKi0S-FbwLPnc9qA_4_11"/>
      <w:bookmarkStart w:id="1257" w:name="Tc_e1NAca7WgU67jR1LQ6lzrg_4_9"/>
      <w:bookmarkStart w:id="1258" w:name="Tc_kl1YRzXRPU2xZ7PDN_m73g_4_8"/>
      <w:bookmarkStart w:id="1259" w:name="Tc_WyD_tPuZu0qJRE3yoLrb2A_4_6"/>
      <w:bookmarkStart w:id="1260" w:name="Tc_VtBHizgi-E-JTCGBGlMZ-Q_4_5"/>
      <w:bookmarkStart w:id="1261" w:name="Tc_KXVZIXdF9ECaOm9Jgy31iw_4_3"/>
      <w:bookmarkStart w:id="1262" w:name="Tc_CJXsP479ZEWirKConUUWqw_4_2"/>
      <w:bookmarkStart w:id="1263" w:name="Tc_pVmidqXxmkW23k2i1rjCHQ_4_0"/>
      <w:bookmarkStart w:id="1264" w:name="Tc_koUWJxCRBkuISpV1eol5-g_3_20"/>
      <w:bookmarkStart w:id="1265" w:name="Tc_4ah3gQuOI0CC73I0TOrVSg_3_17"/>
      <w:bookmarkStart w:id="1266" w:name="Tc_afWNkYD2LEKF-zPUd2oexg_3_14"/>
      <w:bookmarkStart w:id="1267" w:name="Tc_KqV7y__0wU-ifE22YRxzeA_3_11"/>
      <w:bookmarkStart w:id="1268" w:name="Tc_1QfAe0sGa0yBZgQIsPT3wA_3_8"/>
      <w:bookmarkStart w:id="1269" w:name="Tc_vdoF4s3-NE6Ps9yyCUJisg_3_5"/>
      <w:bookmarkStart w:id="1270" w:name="Tc_K_5ueV5HmUWAPZxXfGxmQA_3_2"/>
      <w:bookmarkStart w:id="1271" w:name="Tc_Yjmi9UvKH0CaYNq-5cHKrw_2_20"/>
      <w:bookmarkStart w:id="1272" w:name="Tc_cHTyzNGl3kmoN_Ye_WhCTA_2_11"/>
      <w:bookmarkStart w:id="1273" w:name="Tc_YAbzbiKPXk-UTVkYdB2bCA_2_2"/>
      <w:bookmarkStart w:id="1274" w:name="Tc_MkZ5Nc8lSkekjbQRr5q8-w_1_20"/>
      <w:bookmarkStart w:id="1275" w:name="Tc_Sil6pYmSwUCKe1FxYR2g_Q_1_2"/>
      <w:bookmarkStart w:id="1276" w:name="_581be1e3_e150_4854_8252_8c1372d3fa55"/>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Pr>
          <w:rFonts w:ascii="Times New Roman;Times;serif" w:hAnsi="Times New Roman;Times;serif"/>
          <w:sz w:val="20"/>
        </w:rPr>
        <w:t>We acquired UFP Palets on September 20, 2023, in which we own 80% of the issued equity of that entity, and the remaining 20% of the issued equity is owned by the previous owner (“Seller”). In the fourth quarter of 2023, we gained control over UFP Palets and thus began consolidating this entity. The investment in UFP Palets is accounted for as a business acquisition. Per the contract, the Seller has a put right to sell their equity interest to us and we have a call right to purchase the Seller’s equity interest, which are both first exercisable in September 2026. The values of the put and call options are based upon future performance. As a result of this redemption feature, we recorded redeemable noncontrolling interest, at its acquisition</w:t>
        <w:noBreakHyphen/>
        <w:t>date fair value, that is classified as temporary equity in the accompanying consolidated balance sheets at December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amounts assigned to major intangible classes for the business combinations mentioned above are as follows (in thousands):</w:t>
      </w:r>
    </w:p>
    <w:tbl>
      <w:tblPr>
        <w:tblW w:w="10016" w:type="dxa"/>
        <w:jc w:val="left"/>
        <w:tblInd w:w="0" w:type="dxa"/>
        <w:tblLayout w:type="fixed"/>
        <w:tblCellMar>
          <w:top w:w="0" w:type="dxa"/>
          <w:left w:w="0" w:type="dxa"/>
          <w:bottom w:w="0" w:type="dxa"/>
          <w:right w:w="0" w:type="dxa"/>
        </w:tblCellMar>
      </w:tblPr>
      <w:tblGrid>
        <w:gridCol w:w="1246"/>
        <w:gridCol w:w="326"/>
        <w:gridCol w:w="319"/>
        <w:gridCol w:w="642"/>
        <w:gridCol w:w="326"/>
        <w:gridCol w:w="255"/>
        <w:gridCol w:w="691"/>
        <w:gridCol w:w="326"/>
        <w:gridCol w:w="244"/>
        <w:gridCol w:w="402"/>
        <w:gridCol w:w="326"/>
        <w:gridCol w:w="253"/>
        <w:gridCol w:w="813"/>
        <w:gridCol w:w="326"/>
        <w:gridCol w:w="251"/>
        <w:gridCol w:w="680"/>
        <w:gridCol w:w="326"/>
        <w:gridCol w:w="211"/>
        <w:gridCol w:w="676"/>
        <w:gridCol w:w="326"/>
        <w:gridCol w:w="223"/>
        <w:gridCol w:w="828"/>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91210" cy="175260"/>
                      <wp:effectExtent l="0" t="0" r="0" b="0"/>
                      <wp:wrapNone/>
                      <wp:docPr id="434" name="Frame43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2565" cy="175260"/>
                      <wp:effectExtent l="0" t="0" r="0" b="0"/>
                      <wp:wrapNone/>
                      <wp:docPr id="436" name="Frame43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07670" cy="175260"/>
                      <wp:effectExtent l="0" t="0" r="0" b="0"/>
                      <wp:wrapNone/>
                      <wp:docPr id="437" name="Frame437"/>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61925" cy="175260"/>
                      <wp:effectExtent l="0" t="0" r="0" b="0"/>
                      <wp:wrapNone/>
                      <wp:docPr id="439" name="Frame43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38785" cy="175260"/>
                      <wp:effectExtent l="0" t="0" r="0" b="0"/>
                      <wp:wrapNone/>
                      <wp:docPr id="440" name="Frame4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54940" cy="175260"/>
                      <wp:effectExtent l="0" t="0" r="0" b="0"/>
                      <wp:wrapNone/>
                      <wp:docPr id="442" name="Frame44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55270" cy="175260"/>
                      <wp:effectExtent l="0" t="0" r="0" b="0"/>
                      <wp:wrapNone/>
                      <wp:docPr id="443" name="Frame443"/>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60655" cy="175260"/>
                      <wp:effectExtent l="0" t="0" r="0" b="0"/>
                      <wp:wrapNone/>
                      <wp:docPr id="445" name="Frame44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16255" cy="175260"/>
                      <wp:effectExtent l="0" t="0" r="0" b="0"/>
                      <wp:wrapNone/>
                      <wp:docPr id="446" name="Frame44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59385" cy="175260"/>
                      <wp:effectExtent l="0" t="0" r="0" b="0"/>
                      <wp:wrapNone/>
                      <wp:docPr id="448" name="Frame44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31800" cy="175260"/>
                      <wp:effectExtent l="0" t="0" r="0" b="0"/>
                      <wp:wrapNone/>
                      <wp:docPr id="449" name="Frame44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29260" cy="175260"/>
                      <wp:effectExtent l="0" t="0" r="0" b="0"/>
                      <wp:wrapNone/>
                      <wp:docPr id="452" name="Frame4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41605" cy="175260"/>
                      <wp:effectExtent l="0" t="0" r="0" b="0"/>
                      <wp:wrapNone/>
                      <wp:docPr id="454" name="Frame45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25780" cy="175260"/>
                      <wp:effectExtent l="0" t="0" r="0" b="0"/>
                      <wp:wrapNone/>
                      <wp:docPr id="455" name="Frame45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Intangibles -</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Compete</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Agreements</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326" w:type="dxa"/>
            <w:tcBorders/>
            <w:vAlign w:val="center"/>
          </w:tcPr>
          <w:p>
            <w:pPr>
              <w:pStyle w:val="TableContents"/>
              <w:bidi w:val="0"/>
              <w:spacing w:before="0" w:after="0"/>
              <w:ind w:left="0" w:right="0" w:hanging="0"/>
              <w:jc w:val="center"/>
              <w:rPr/>
            </w:pPr>
            <w:r>
              <w:rPr/>
              <w:t>​</w:t>
            </w:r>
          </w:p>
        </w:tc>
        <w:tc>
          <w:tcPr>
            <w:tcW w:w="64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Goodwill</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Deductible</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Palets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36,708</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43,785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Boxed Up</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32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Titan</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9,607</w:t>
            </w:r>
          </w:p>
        </w:tc>
        <w:tc>
          <w:tcPr>
            <w:tcW w:w="326"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21,136</w:t>
            </w:r>
          </w:p>
        </w:tc>
        <w:tc>
          <w:tcPr>
            <w:tcW w:w="326" w:type="dxa"/>
            <w:tcBorders/>
            <w:shd w:fill="CCEEFF" w:val="clear"/>
            <w:vAlign w:val="center"/>
          </w:tcPr>
          <w:p>
            <w:pPr>
              <w:pStyle w:val="TableContents"/>
              <w:bidi w:val="0"/>
              <w:spacing w:before="0" w:after="0"/>
              <w:ind w:left="0" w:right="0" w:hanging="0"/>
              <w:jc w:val="center"/>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15,367</w:t>
            </w:r>
          </w:p>
        </w:tc>
        <w:tc>
          <w:tcPr>
            <w:tcW w:w="32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46,831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Cedar Poly</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32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32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Ultra</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w:t>
            </w:r>
          </w:p>
        </w:tc>
        <w:tc>
          <w:tcPr>
            <w:tcW w:w="326" w:type="dxa"/>
            <w:tcBorders/>
            <w:shd w:fill="CCEEFF" w:val="clear"/>
            <w:vAlign w:val="center"/>
          </w:tcPr>
          <w:p>
            <w:pPr>
              <w:pStyle w:val="TableContents"/>
              <w:bidi w:val="0"/>
              <w:spacing w:before="0" w:after="0"/>
              <w:ind w:left="0" w:right="0" w:hanging="0"/>
              <w:jc w:val="center"/>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w:t>
            </w:r>
          </w:p>
        </w:tc>
        <w:tc>
          <w:tcPr>
            <w:tcW w:w="32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20,390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*(estimate)</w:t>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business combinations mentioned above were not significant to our operating results individually or in aggregate, and thus pro forma results for 2023 and 2022 are not presented. </w:t>
      </w:r>
    </w:p>
    <w:p>
      <w:pPr>
        <w:pStyle w:val="TextBody"/>
        <w:bidi w:val="0"/>
        <w:spacing w:before="0" w:after="240"/>
        <w:ind w:left="0" w:right="0" w:hanging="0"/>
        <w:jc w:val="left"/>
        <w:rPr>
          <w:rFonts w:ascii="Times New Roman;Times;serif" w:hAnsi="Times New Roman;Times;serif"/>
          <w:b/>
          <w:sz w:val="20"/>
        </w:rPr>
      </w:pPr>
      <w:bookmarkStart w:id="1277" w:name="Tc_9dV0s41siE2CpfA5Ik1HJw_11_17"/>
      <w:bookmarkStart w:id="1278" w:name="Tc__a1ZYzY2dEqPylx5x4IFIw_11_15"/>
      <w:bookmarkStart w:id="1279" w:name="Tc_g4A5-FHXhEaLw1QnACbS3g_11_14"/>
      <w:bookmarkStart w:id="1280" w:name="Tc_zF_Vit3fD0G0761F3P5TYA_11_11"/>
      <w:bookmarkStart w:id="1281" w:name="Tc_oA-hTqJHuUa0HA_kmjYrGQ_11_8"/>
      <w:bookmarkStart w:id="1282" w:name="Tc_M5yosNz7MECR6dyPqZmNTg_11_5"/>
      <w:bookmarkStart w:id="1283" w:name="Tc_kIGkT6bCmE6K1Su1XMD6jg_11_2"/>
      <w:bookmarkStart w:id="1284" w:name="Tc_2MLdNrUA-02BMKu0PcxVXA_11_0"/>
      <w:bookmarkStart w:id="1285" w:name="Tc_Cru-CSZnhUOXOnjoBGiS_g_10_15"/>
      <w:bookmarkStart w:id="1286" w:name="Tc_FVq8TA0K5k2ckT5OZSh5eQ_10_6"/>
      <w:bookmarkStart w:id="1287" w:name="Tc_yK9ueFx8xEmYBr9YZ5niWA_10_3"/>
      <w:bookmarkStart w:id="1288" w:name="Tc_CoUSOiUpYk2P_RLfIDsVqQ_10_0"/>
      <w:bookmarkStart w:id="1289" w:name="Tc_q2a2AAoVH0OjNXA2PWqRXQ_9_15"/>
      <w:bookmarkStart w:id="1290" w:name="Tc_PFvnYe2dnkWySr6VTuu2ng_9_12"/>
      <w:bookmarkStart w:id="1291" w:name="Tc_Xety90v3DU-bJ2UVDBj7DQ_9_9"/>
      <w:bookmarkStart w:id="1292" w:name="Tc_Yxfh9M-xZEuFsGI2FL-iFg_9_0"/>
      <w:bookmarkStart w:id="1293" w:name="Tc_ZLhFLnvdWU-UsYw6coQi-Q_8_15"/>
      <w:bookmarkStart w:id="1294" w:name="Tc_0T23R53yw06iewg9p2XZfA_8_9"/>
      <w:bookmarkStart w:id="1295" w:name="Tc_UQaft0EiBUejH-y69nTI4Q_8_6"/>
      <w:bookmarkStart w:id="1296" w:name="Tc_0kUjPLPQmUmh7cuAH5DH5A_8_3"/>
      <w:bookmarkStart w:id="1297" w:name="Tc_GQ-Dbx3IpEaZ-9sR9SaBCA_8_0"/>
      <w:bookmarkStart w:id="1298" w:name="Tc_zkM6q_CKd0SGTXe_VB08wg_7_17"/>
      <w:bookmarkStart w:id="1299" w:name="Tc_Xws5HjJDaEODWWMt9d5LLg_7_15"/>
      <w:bookmarkStart w:id="1300" w:name="Tc_iPU8tyLmU0eGsskuj9omWQ_7_14"/>
      <w:bookmarkStart w:id="1301" w:name="Tc_hazfzBcduUOuc-E5F7eIzg_7_11"/>
      <w:bookmarkStart w:id="1302" w:name="Tc_SFYHy22X70GyJoWAp5SloQ_7_8"/>
      <w:bookmarkStart w:id="1303" w:name="Tc_Y7a9kM_AZUqUhuLjqXbxSA_7_5"/>
      <w:bookmarkStart w:id="1304" w:name="Tc_YgE3aqnsHEu66Jx2BS1VYg_7_2"/>
      <w:bookmarkStart w:id="1305" w:name="Tc_j0TPlTLRXEKxnPinWv9F6A_7_0"/>
      <w:bookmarkStart w:id="1306" w:name="Tc_3v0SpJXxqEazAJGD814K2A_6_15"/>
      <w:bookmarkStart w:id="1307" w:name="Tc_8KeJvuC3Ek-8CvG9s1xxLA_6_6"/>
      <w:bookmarkStart w:id="1308" w:name="Tc_FDQTOwNTUEexaNo7w00Nfw_6_3"/>
      <w:bookmarkStart w:id="1309" w:name="Tc_A3HlaqBJcUuFI1Q1IKxTqg_6_0"/>
      <w:bookmarkStart w:id="1310" w:name="Tc__CDVmdRqmECL0IDTgeRLUg_5_15"/>
      <w:bookmarkStart w:id="1311" w:name="Tc__CB0L4wtTUGGjDgYxZC4aQ_5_9"/>
      <w:bookmarkStart w:id="1312" w:name="Tc_sVblZ5gcd0SaKnaYJmNt0w_5_6"/>
      <w:bookmarkStart w:id="1313" w:name="Tc_WtBuLgNdj0Wwo0alGZt-qg_5_3"/>
      <w:bookmarkStart w:id="1314" w:name="Tc_KDHcctJsKkeL1LtU6XiwOw_5_0"/>
      <w:bookmarkStart w:id="1315" w:name="Tc_WJv_vMCdTkSWrWXFUAaxRw_4_15"/>
      <w:bookmarkStart w:id="1316" w:name="Tc_HqmtKPfryEefkxC0tDrB5Q_4_0"/>
      <w:bookmarkStart w:id="1317" w:name="Tc_Ofa2xbJ67EObhmGMZRNOag_3_15"/>
      <w:bookmarkStart w:id="1318" w:name="Tc_JTXM_NYSHkWwmvSIZ9-59Q_3_12"/>
      <w:bookmarkStart w:id="1319" w:name="Tc_CNci0bwAkkef3K-O6-F9mQ_3_9"/>
      <w:bookmarkStart w:id="1320" w:name="Tc_BDUn3RdpBUCTngr_7vjsMw_3_0"/>
      <w:bookmarkStart w:id="1321" w:name="Tc_sXBmPDP2HEePy2cUToyn4w_2_17"/>
      <w:bookmarkStart w:id="1322" w:name="Tc_nM5Bi0UPcUm36idZbcb5Rw_2_15"/>
      <w:bookmarkStart w:id="1323" w:name="Tc_WaYJYeFvJE-TElPQ5X2HKQ_2_14"/>
      <w:bookmarkStart w:id="1324" w:name="Tc_LCxi68YoEUCvoXkYREox-Q_2_11"/>
      <w:bookmarkStart w:id="1325" w:name="Tc_hgLNXJLXnEuro-Lf__e8Bw_2_8"/>
      <w:bookmarkStart w:id="1326" w:name="Tc_fm514Fup1kipNdUTp6FWjA_2_5"/>
      <w:bookmarkStart w:id="1327" w:name="Tc_iMJye23QkkOODEl1-EdQZw_2_2"/>
      <w:bookmarkStart w:id="1328" w:name="Tc_rH2ehe-jFkWbRPaekz7pog_2_0"/>
      <w:bookmarkStart w:id="1329" w:name="Tc_meY1C6E0E0WRCpRA71YUMw_1_17"/>
      <w:bookmarkStart w:id="1330" w:name="Tc_fwQ8C_7ZS0K83uRjVTUFOg_1_14"/>
      <w:bookmarkStart w:id="1331" w:name="Tc_2c0yejUhmE6_T8JLhgEzIw_1_11"/>
      <w:bookmarkStart w:id="1332" w:name="Tc_YYHlRJrldkqtjRsMxWAThA_1_8"/>
      <w:bookmarkStart w:id="1333" w:name="Tc_hpz8IDtS1k-qWBFB0rNdAg_1_5"/>
      <w:bookmarkStart w:id="1334" w:name="Tc_E6HVYIm7pkKxOr_jGxPJPg_1_2"/>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b/>
          <w:i w:val="false"/>
          <w:caps w:val="false"/>
          <w:smallCaps w:val="false"/>
          <w:sz w:val="20"/>
        </w:rPr>
        <w:t>D.</w:t>
      </w:r>
      <w:r>
        <w:rPr>
          <w:rFonts w:ascii="Times New Roman;Times;serif" w:hAnsi="Times New Roman;Times;serif"/>
          <w:b/>
          <w:sz w:val="20"/>
        </w:rPr>
        <w:t>GOODWILL AND OTHER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described in Note M — Segment Reporting, our segment structure is based upon the markets we serve and goodwill has been allocated to the segments using a relative fair value approach. The changes in the net carrying amount of goodwill by reporting segment for the years ended December 30, 2023 and December 31, 2022, are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7"/>
        <w:gridCol w:w="326"/>
        <w:gridCol w:w="211"/>
        <w:gridCol w:w="676"/>
        <w:gridCol w:w="326"/>
        <w:gridCol w:w="211"/>
        <w:gridCol w:w="781"/>
        <w:gridCol w:w="326"/>
        <w:gridCol w:w="250"/>
        <w:gridCol w:w="801"/>
        <w:gridCol w:w="326"/>
        <w:gridCol w:w="211"/>
        <w:gridCol w:w="682"/>
        <w:gridCol w:w="326"/>
        <w:gridCol w:w="329"/>
        <w:gridCol w:w="542"/>
        <w:gridCol w:w="326"/>
        <w:gridCol w:w="211"/>
        <w:gridCol w:w="887"/>
      </w:tblGrid>
      <w:tr>
        <w:trPr/>
        <w:tc>
          <w:tcPr>
            <w:tcW w:w="2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560195" cy="175260"/>
                      <wp:effectExtent l="0" t="0" r="0" b="0"/>
                      <wp:wrapNone/>
                      <wp:docPr id="456" name="Frame456"/>
                      <a:graphic xmlns:a="http://schemas.openxmlformats.org/drawingml/2006/main">
                        <a:graphicData uri="http://schemas.microsoft.com/office/word/2010/wordprocessingShape">
                          <wps:wsp>
                            <wps:cNvSpPr txBox="1"/>
                            <wps:spPr>
                              <a:xfrm>
                                <a:off x="0" y="0"/>
                                <a:ext cx="156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29260" cy="175260"/>
                      <wp:effectExtent l="0" t="0" r="0" b="0"/>
                      <wp:wrapNone/>
                      <wp:docPr id="459" name="Frame4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95935" cy="175260"/>
                      <wp:effectExtent l="0" t="0" r="0" b="0"/>
                      <wp:wrapNone/>
                      <wp:docPr id="462" name="Frame4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58750" cy="175260"/>
                      <wp:effectExtent l="0" t="0" r="0" b="0"/>
                      <wp:wrapNone/>
                      <wp:docPr id="464" name="Frame46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08635" cy="175260"/>
                      <wp:effectExtent l="0" t="0" r="0" b="0"/>
                      <wp:wrapNone/>
                      <wp:docPr id="465" name="Frame46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33070" cy="175260"/>
                      <wp:effectExtent l="0" t="0" r="0" b="0"/>
                      <wp:wrapNone/>
                      <wp:docPr id="468" name="Frame46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8915" cy="175260"/>
                      <wp:effectExtent l="0" t="0" r="0" b="0"/>
                      <wp:wrapNone/>
                      <wp:docPr id="470" name="Frame47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344170" cy="175260"/>
                      <wp:effectExtent l="0" t="0" r="0" b="0"/>
                      <wp:wrapNone/>
                      <wp:docPr id="471" name="Frame47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63245" cy="175260"/>
                      <wp:effectExtent l="0" t="0" r="0" b="0"/>
                      <wp:wrapNone/>
                      <wp:docPr id="474" name="Frame47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26" w:type="dxa"/>
            <w:tcBorders/>
            <w:vAlign w:val="center"/>
          </w:tcPr>
          <w:p>
            <w:pPr>
              <w:pStyle w:val="TableContents"/>
              <w:bidi w:val="0"/>
              <w:spacing w:before="0" w:after="0"/>
              <w:ind w:left="0" w:right="0" w:hanging="0"/>
              <w:jc w:val="left"/>
              <w:rPr/>
            </w:pPr>
            <w:r>
              <w:rPr/>
              <w:t>    </w:t>
            </w:r>
          </w:p>
        </w:tc>
        <w:tc>
          <w:tcPr>
            <w:tcW w:w="89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25, 2021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128,541</w:t>
            </w:r>
          </w:p>
        </w:tc>
        <w:tc>
          <w:tcPr>
            <w:tcW w:w="32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24,121</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315,038</w:t>
            </w:r>
          </w:p>
        </w:tc>
      </w:tr>
      <w:tr>
        <w:trPr/>
        <w:tc>
          <w:tcPr>
            <w:tcW w:w="2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 Acquisitions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34,833</w:t>
            </w:r>
          </w:p>
        </w:tc>
      </w:tr>
      <w:tr>
        <w:trPr/>
        <w:tc>
          <w:tcPr>
            <w:tcW w:w="2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 Purchase Accounting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(4,766)</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w:t>
            </w:r>
          </w:p>
        </w:tc>
      </w:tr>
      <w:tr>
        <w:trPr/>
        <w:tc>
          <w:tcPr>
            <w:tcW w:w="2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 Impairments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c>
          <w:tcPr>
            <w:tcW w:w="3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r>
      <w:tr>
        <w:trPr/>
        <w:tc>
          <w:tcPr>
            <w:tcW w:w="2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r>
      <w:tr>
        <w:trPr/>
        <w:tc>
          <w:tcPr>
            <w:tcW w:w="2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84,640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148,909</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16,101</w:t>
            </w:r>
          </w:p>
        </w:tc>
        <w:tc>
          <w:tcPr>
            <w:tcW w:w="3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337,320</w:t>
            </w:r>
          </w:p>
        </w:tc>
      </w:tr>
      <w:tr>
        <w:trPr/>
        <w:tc>
          <w:tcPr>
            <w:tcW w:w="2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Acquisitions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w:t>
            </w:r>
          </w:p>
        </w:tc>
      </w:tr>
      <w:tr>
        <w:trPr/>
        <w:tc>
          <w:tcPr>
            <w:tcW w:w="2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Purchase Accounting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(8,846)</w:t>
            </w:r>
          </w:p>
        </w:tc>
      </w:tr>
      <w:tr>
        <w:trPr/>
        <w:tc>
          <w:tcPr>
            <w:tcW w:w="2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2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30, 2023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83,661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141,042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23,805</w:t>
            </w:r>
          </w:p>
        </w:tc>
        <w:tc>
          <w:tcPr>
            <w:tcW w:w="326" w:type="dxa"/>
            <w:tcBorders/>
            <w:vAlign w:val="center"/>
          </w:tcPr>
          <w:p>
            <w:pPr>
              <w:pStyle w:val="TableContents"/>
              <w:bidi w:val="0"/>
              <w:spacing w:before="0" w:after="0"/>
              <w:ind w:left="0" w:right="0" w:hanging="0"/>
              <w:jc w:val="righ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336,313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the most recent goodwill impairment test, which utilized data and assumptions as of September 30, 2023, all reporting units had fair values that were substantially in excess of their carrying values. During 2022, we experienced significantly lower than expected operating results within our Italian reporting unit, which is within the all other segment. It was determined that the carrying value of the reporting unit exceeded its fair value and as a result, we recorded a non-cash goodwill impairment charge of $2.5 million as of December 31, 2022, which represented the entire amount of the goodwill recorded within the reporting unit. Subsequently, the Italian reporting unit was divested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Indefinite-lived intangible assets totaled $7.3 million as of December 30, 2023 and December 31, 2022 related to the commercial unit within the construction segment, the international unit within the all other segment, and the Deckorators unit within the retail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335" w:name="Tc_J87TvTqc60i_KjjLj-KCuQ_7_2"/>
      <w:bookmarkStart w:id="1336" w:name="Tc_4n35-GVuZEqX6nnPR44njw_7_0"/>
      <w:bookmarkStart w:id="1337" w:name="Tc_W2Jgj4Nj6EixOZeCgqjZvA_6_0"/>
      <w:bookmarkStart w:id="1338" w:name="Tc_JgsWJ8qo8U2kvetIZ4QXvA_5_0"/>
      <w:bookmarkStart w:id="1339" w:name="Tc_MW_9Yi3tMEWG0sglTIrpdA_4_0"/>
      <w:bookmarkStart w:id="1340" w:name="Tc_N0Ivnb1NzUitKRaUgyHXpA_3_0"/>
      <w:bookmarkStart w:id="1341" w:name="Tc_y3REZmta-0q4ybJZGrrVJQ_2_0"/>
      <w:bookmarkStart w:id="1342" w:name="Tc_UEuPx7sMfkKVvC5JwBnd4w_1_2"/>
      <w:bookmarkStart w:id="1343" w:name="Tc_C0FEqc6ILUmYIzyiqhNO3A_1_0"/>
      <w:bookmarkStart w:id="1344" w:name="_d86a02af_b37d_401f_a5e1_43c4dddd28b5"/>
      <w:bookmarkStart w:id="1345" w:name="Tc_cGPPl77w3Ui01xwXZq-wOw_9_4"/>
      <w:bookmarkStart w:id="1346" w:name="Tc_wJoUxXSy2EKMqDYOY9DN7w_9_2"/>
      <w:bookmarkStart w:id="1347" w:name="Tc_-rHe0sH66kydm3_nMu4uBQ_9_0"/>
      <w:bookmarkStart w:id="1348" w:name="Tc_QH31Ws0o-0GlOk-NYTp_9g_8_4"/>
      <w:bookmarkStart w:id="1349" w:name="_ddb29517_61e2_4010_89fc_f44ddf6dd66c_3"/>
      <w:bookmarkStart w:id="1350" w:name="_ddb29517_61e2_4010_89fc_f44ddf6dd66c_2"/>
      <w:bookmarkStart w:id="1351" w:name="_ddb29517_61e2_4010_89fc_f44ddf6dd66c"/>
      <w:bookmarkStart w:id="1352" w:name="Tc_cWS19i-890ysNoWSmgMLnA_8_2"/>
      <w:bookmarkStart w:id="1353" w:name="Tc_3CYlXZc-A0KbCQKLb_5o9g_8_0"/>
      <w:bookmarkStart w:id="1354" w:name="Tc_-KyXJExsZEWj6414TVQVtA_7_2"/>
      <w:bookmarkStart w:id="1355" w:name="Tc_EYNjpUEzC0-MP9RD1q-z9w_7_0"/>
      <w:bookmarkStart w:id="1356" w:name="Tc_hVufjNktZE2YlAC16-cV5A_6_0"/>
      <w:bookmarkStart w:id="1357" w:name="Tc_oQk1Bgzgl0Wnsb1QNtSpBw_5_0"/>
      <w:bookmarkStart w:id="1358" w:name="_f381fcea_3a3b_40ca_8b83_5e242e4b4821_3"/>
      <w:bookmarkStart w:id="1359" w:name="_f381fcea_3a3b_40ca_8b83_5e242e4b4821_2"/>
      <w:bookmarkStart w:id="1360" w:name="_f381fcea_3a3b_40ca_8b83_5e242e4b4821"/>
      <w:bookmarkStart w:id="1361" w:name="Tc_EMPijoSUiUqa6B93w1hG9A_4_2"/>
      <w:bookmarkStart w:id="1362" w:name="Tc_BmVNurkR_k-8rET7uuimOg_4_0"/>
      <w:bookmarkStart w:id="1363" w:name="Tc_UCiI5VjVSEaddIU9UF5MVQ_3_4"/>
      <w:bookmarkStart w:id="1364" w:name="_347723af_1461_473e_bdc5_e8b6d5000722_3"/>
      <w:bookmarkStart w:id="1365" w:name="_347723af_1461_473e_bdc5_e8b6d5000722_2"/>
      <w:bookmarkStart w:id="1366" w:name="_347723af_1461_473e_bdc5_e8b6d5000722"/>
      <w:bookmarkStart w:id="1367" w:name="Tc__WN7sX6DDkuAlIWMZoQ_aA_3_2"/>
      <w:bookmarkStart w:id="1368" w:name="Tc_LGtliKpP0EKodjx74-dWfQ_3_0"/>
      <w:bookmarkStart w:id="1369" w:name="Tc_zhUd0ou0sEC_8HjlxqYgzg_2_4"/>
      <w:bookmarkStart w:id="1370" w:name="Tc_MAQ7fBttbkW90a49zbpgdQ_2_2"/>
      <w:bookmarkStart w:id="1371" w:name="Tc_-xg23cgfn0mmw-w7A80zAQ_2_0"/>
      <w:bookmarkStart w:id="1372" w:name="Tc_j3RRtwkFFUSqyBBHFRuuqQ_1_4"/>
      <w:bookmarkStart w:id="1373" w:name="Tc_TVYejFRGB0ieyK0rFjuekg_11_17"/>
      <w:bookmarkStart w:id="1374" w:name="Tc_rwrvbBt9BkCKGsKc49N5cg_11_14"/>
      <w:bookmarkStart w:id="1375" w:name="Tc_0KyT8Q13bEiwYvyrayKCyg_11_11"/>
      <w:bookmarkStart w:id="1376" w:name="Tc_IETNYA-vYUeBAzPUtqVIDw_11_8"/>
      <w:bookmarkStart w:id="1377" w:name="Tc_mbWXfudVvEyeDY1eHhb-Mw_11_5"/>
      <w:bookmarkStart w:id="1378" w:name="Tc_xtwcn6hDXUyXW8EiC04fRw_11_2"/>
      <w:bookmarkStart w:id="1379" w:name="Tc_i2vDeZKPQEaZ5zh0cUCEIw_11_0"/>
      <w:bookmarkStart w:id="1380" w:name="Tc_kNmzZgE3tkGL6J66GjOdjQ_10_0"/>
      <w:bookmarkStart w:id="1381" w:name="Tc_Y4JqfHLEgkK3fIXYCQ6A1g_9_0"/>
      <w:bookmarkStart w:id="1382" w:name="Tc_GvFlBiOLCka08EPwQtKD-Q_8_0"/>
      <w:bookmarkStart w:id="1383" w:name="Tc_7IAcpfuMpEGUfPHSPQRcJQ_7_0"/>
      <w:bookmarkStart w:id="1384" w:name="Tc_cmp-vXs4HUKkwy8QaWQ9Zg_6_18"/>
      <w:bookmarkStart w:id="1385" w:name="Tc_s8WvhPyeE0KBgsDHzgrzZg_6_9"/>
      <w:bookmarkStart w:id="1386" w:name="Tc_hzy9z9RZbkKjj2N0GfpUnQ_6_6"/>
      <w:bookmarkStart w:id="1387" w:name="Tc_LESas_ZRVUeVaN26uMptCA_6_3"/>
      <w:bookmarkStart w:id="1388" w:name="Tc_xnWvCsuSZkqCTwVcx0OyIQ_6_0"/>
      <w:bookmarkStart w:id="1389" w:name="Tc_dUCyLS_isk6A_gBGwQUAsA_5_0"/>
      <w:bookmarkStart w:id="1390" w:name="Tc_8lGMNEgruUyY2mjrBDdQ0w_4_17"/>
      <w:bookmarkStart w:id="1391" w:name="Tc_cvQaMNF930msAwMvvmu6tg_4_14"/>
      <w:bookmarkStart w:id="1392" w:name="Tc_V0ybdPmqWEO2CTornwtoyQ_4_11"/>
      <w:bookmarkStart w:id="1393" w:name="Tc_xJ-YzUigYEiQHNaXaOYudQ_4_8"/>
      <w:bookmarkStart w:id="1394" w:name="Tc_njquszKkX0-TJdLLPgB3HQ_4_5"/>
      <w:bookmarkStart w:id="1395" w:name="Tc_Mq7uIlWie0CvUEm15dU1AQ_4_2"/>
      <w:bookmarkStart w:id="1396" w:name="Tc_CTx65pQdfUawJ1upHYiOkA_4_0"/>
      <w:bookmarkStart w:id="1397" w:name="Tc_Thx__q8SzUSGq147EFXSuw_3_17"/>
      <w:bookmarkStart w:id="1398" w:name="Tc_WNWeDriu6kK_QZKi-itqwQ_3_14"/>
      <w:bookmarkStart w:id="1399" w:name="Tc_fjeiXath8UaZweeqw1hUwQ_3_11"/>
      <w:bookmarkStart w:id="1400" w:name="Tc_k0Xw-595bkmIM5sqdnGSPQ_3_8"/>
      <w:bookmarkStart w:id="1401" w:name="Tc_CTq17XmuRUS9sc7TfAnCUA_3_5"/>
      <w:bookmarkStart w:id="1402" w:name="Tc_vosgd4cCM0SutatdnDB6RA_3_2"/>
      <w:bookmarkStart w:id="1403" w:name="Tc_khVjKqfD-0WJodZvIZvTug_2_14"/>
      <w:bookmarkStart w:id="1404" w:name="Tc_jrQT8JEHsUirI3u5F9646g_2_5"/>
      <w:bookmarkStart w:id="1405" w:name="Tc_XxnewIv0hEe8Q8qeiNiLnQ_1_11"/>
      <w:bookmarkStart w:id="1406" w:name="Tc_o2ztcPt23kiuCBIApXv2IQ_1_2"/>
      <w:bookmarkStart w:id="1407" w:name="_ef0f61e6_67d1_4f48_8377_33d20671f97a"/>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Pr>
          <w:rFonts w:ascii="Times New Roman;Times;serif" w:hAnsi="Times New Roman;Times;serif"/>
          <w:sz w:val="20"/>
        </w:rPr>
        <w:t>The following amounts were included in other amortizable intangible assets, net as of December 30, 2023 and December 31, 2022 (in thousands):</w:t>
      </w:r>
    </w:p>
    <w:tbl>
      <w:tblPr>
        <w:tblW w:w="10205" w:type="dxa"/>
        <w:jc w:val="left"/>
        <w:tblInd w:w="0" w:type="dxa"/>
        <w:tblLayout w:type="fixed"/>
        <w:tblCellMar>
          <w:top w:w="0" w:type="dxa"/>
          <w:left w:w="0" w:type="dxa"/>
          <w:bottom w:w="0" w:type="dxa"/>
          <w:right w:w="0" w:type="dxa"/>
        </w:tblCellMar>
      </w:tblPr>
      <w:tblGrid>
        <w:gridCol w:w="2014"/>
        <w:gridCol w:w="326"/>
        <w:gridCol w:w="211"/>
        <w:gridCol w:w="781"/>
        <w:gridCol w:w="326"/>
        <w:gridCol w:w="240"/>
        <w:gridCol w:w="841"/>
        <w:gridCol w:w="326"/>
        <w:gridCol w:w="211"/>
        <w:gridCol w:w="781"/>
        <w:gridCol w:w="326"/>
        <w:gridCol w:w="211"/>
        <w:gridCol w:w="781"/>
        <w:gridCol w:w="326"/>
        <w:gridCol w:w="240"/>
        <w:gridCol w:w="841"/>
        <w:gridCol w:w="326"/>
        <w:gridCol w:w="211"/>
        <w:gridCol w:w="886"/>
      </w:tblGrid>
      <w:tr>
        <w:trPr/>
        <w:tc>
          <w:tcPr>
            <w:tcW w:w="2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78890" cy="175260"/>
                      <wp:effectExtent l="0" t="0" r="0" b="0"/>
                      <wp:wrapNone/>
                      <wp:docPr id="475" name="Frame475"/>
                      <a:graphic xmlns:a="http://schemas.openxmlformats.org/drawingml/2006/main">
                        <a:graphicData uri="http://schemas.microsoft.com/office/word/2010/wordprocessingShape">
                          <wps:wsp>
                            <wps:cNvSpPr txBox="1"/>
                            <wps:spPr>
                              <a:xfrm>
                                <a:off x="0" y="0"/>
                                <a:ext cx="1278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95935" cy="175260"/>
                      <wp:effectExtent l="0" t="0" r="0" b="0"/>
                      <wp:wrapNone/>
                      <wp:docPr id="478" name="Frame4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52400" cy="175260"/>
                      <wp:effectExtent l="0" t="0" r="0" b="0"/>
                      <wp:wrapNone/>
                      <wp:docPr id="480" name="Frame48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34035" cy="175260"/>
                      <wp:effectExtent l="0" t="0" r="0" b="0"/>
                      <wp:wrapNone/>
                      <wp:docPr id="481" name="Frame48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95935" cy="175260"/>
                      <wp:effectExtent l="0" t="0" r="0" b="0"/>
                      <wp:wrapNone/>
                      <wp:docPr id="484" name="Frame4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95935" cy="175260"/>
                      <wp:effectExtent l="0" t="0" r="0" b="0"/>
                      <wp:wrapNone/>
                      <wp:docPr id="487" name="Frame4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52400" cy="175260"/>
                      <wp:effectExtent l="0" t="0" r="0" b="0"/>
                      <wp:wrapNone/>
                      <wp:docPr id="489" name="Frame48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34035" cy="175260"/>
                      <wp:effectExtent l="0" t="0" r="0" b="0"/>
                      <wp:wrapNone/>
                      <wp:docPr id="490" name="Frame49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2"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62610" cy="175260"/>
                      <wp:effectExtent l="0" t="0" r="0" b="0"/>
                      <wp:wrapNone/>
                      <wp:docPr id="493" name="Frame49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7"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3822"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0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Value</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Value</w:t>
            </w:r>
          </w:p>
        </w:tc>
      </w:tr>
      <w:tr>
        <w:trPr/>
        <w:tc>
          <w:tcPr>
            <w:tcW w:w="2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r>
      <w:tr>
        <w:trPr/>
        <w:tc>
          <w:tcPr>
            <w:tcW w:w="2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171,029</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139,112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104,466</w:t>
            </w:r>
          </w:p>
        </w:tc>
      </w:tr>
      <w:tr>
        <w:trPr/>
        <w:tc>
          <w:tcPr>
            <w:tcW w:w="2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2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r>
      <w:tr>
        <w:trPr/>
        <w:tc>
          <w:tcPr>
            <w:tcW w:w="2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38,826</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30,433</w:t>
            </w:r>
          </w:p>
        </w:tc>
      </w:tr>
      <w:tr>
        <w:trPr/>
        <w:tc>
          <w:tcPr>
            <w:tcW w:w="2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r>
      <w:tr>
        <w:trPr/>
        <w:tc>
          <w:tcPr>
            <w:tcW w:w="2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242,634</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201,468</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143,892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Amortization is computed principally by the straight-line method over the estimated useful lives of the intangible assets as follows:</w:t>
      </w:r>
    </w:p>
    <w:p>
      <w:pPr>
        <w:pStyle w:val="TextBody"/>
        <w:bidi w:val="0"/>
        <w:spacing w:before="0" w:after="0"/>
        <w:ind w:left="0" w:right="0" w:hanging="0"/>
        <w:jc w:val="left"/>
        <w:rPr/>
      </w:pPr>
      <w:r>
        <w:rPr/>
        <w:t>​</w:t>
      </w:r>
    </w:p>
    <w:tbl>
      <w:tblPr>
        <w:tblW w:w="6760" w:type="dxa"/>
        <w:jc w:val="left"/>
        <w:tblInd w:w="0" w:type="dxa"/>
        <w:tblLayout w:type="fixed"/>
        <w:tblCellMar>
          <w:top w:w="0" w:type="dxa"/>
          <w:left w:w="0" w:type="dxa"/>
          <w:bottom w:w="0" w:type="dxa"/>
          <w:right w:w="0" w:type="dxa"/>
        </w:tblCellMar>
      </w:tblPr>
      <w:tblGrid>
        <w:gridCol w:w="2806"/>
        <w:gridCol w:w="326"/>
        <w:gridCol w:w="1651"/>
        <w:gridCol w:w="326"/>
        <w:gridCol w:w="165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781810" cy="175260"/>
                      <wp:effectExtent l="0" t="0" r="0" b="0"/>
                      <wp:wrapNone/>
                      <wp:docPr id="494" name="Frame494"/>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048385" cy="175260"/>
                      <wp:effectExtent l="0" t="0" r="0" b="0"/>
                      <wp:wrapNone/>
                      <wp:docPr id="496" name="Frame496"/>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048385" cy="175260"/>
                      <wp:effectExtent l="0" t="0" r="0" b="0"/>
                      <wp:wrapNone/>
                      <wp:docPr id="498" name="Frame498"/>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0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 Type</w:t>
            </w:r>
          </w:p>
        </w:tc>
        <w:tc>
          <w:tcPr>
            <w:tcW w:w="326" w:type="dxa"/>
            <w:tcBorders/>
            <w:vAlign w:val="center"/>
          </w:tcPr>
          <w:p>
            <w:pPr>
              <w:pStyle w:val="TableContents"/>
              <w:bidi w:val="0"/>
              <w:spacing w:before="0" w:after="0"/>
              <w:ind w:left="0" w:right="0" w:hanging="0"/>
              <w:jc w:val="center"/>
              <w:rPr/>
            </w:pPr>
            <w:r>
              <w:rPr/>
              <w:t>​</w:t>
            </w:r>
          </w:p>
        </w:tc>
        <w:tc>
          <w:tcPr>
            <w:tcW w:w="165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326" w:type="dxa"/>
            <w:tcBorders/>
            <w:vAlign w:val="center"/>
          </w:tcPr>
          <w:p>
            <w:pPr>
              <w:pStyle w:val="TableContents"/>
              <w:bidi w:val="0"/>
              <w:spacing w:before="0" w:after="0"/>
              <w:ind w:left="0" w:right="0" w:hanging="0"/>
              <w:jc w:val="center"/>
              <w:rPr/>
            </w:pPr>
            <w:r>
              <w:rPr/>
              <w:t>​</w:t>
            </w:r>
          </w:p>
        </w:tc>
        <w:tc>
          <w:tcPr>
            <w:tcW w:w="165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Period</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 to 15 years</w:t>
            </w:r>
          </w:p>
        </w:tc>
        <w:tc>
          <w:tcPr>
            <w:tcW w:w="32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 years</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and other</w:t>
            </w:r>
          </w:p>
        </w:tc>
        <w:tc>
          <w:tcPr>
            <w:tcW w:w="32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to 15 years</w:t>
            </w:r>
          </w:p>
        </w:tc>
        <w:tc>
          <w:tcPr>
            <w:tcW w:w="32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years</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agreements</w:t>
            </w:r>
          </w:p>
        </w:tc>
        <w:tc>
          <w:tcPr>
            <w:tcW w:w="32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c>
          <w:tcPr>
            <w:tcW w:w="32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 years</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to 12 years</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years</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 (amortizable)</w:t>
            </w:r>
          </w:p>
        </w:tc>
        <w:tc>
          <w:tcPr>
            <w:tcW w:w="32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to 25 years</w:t>
            </w:r>
          </w:p>
        </w:tc>
        <w:tc>
          <w:tcPr>
            <w:tcW w:w="32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 years</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to 5 years</w:t>
            </w:r>
          </w:p>
        </w:tc>
        <w:tc>
          <w:tcPr>
            <w:tcW w:w="32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Amortization expense of intangibles totaled $21.3 million, $19.5 million and $13.9 million in 2023, 2022 and 2021, respectively. The estimated amortization expense for intangibles for each of the five succeeding fiscal years is as follows (in thousands):</w:t>
      </w:r>
    </w:p>
    <w:tbl>
      <w:tblPr>
        <w:tblW w:w="2369" w:type="dxa"/>
        <w:jc w:val="left"/>
        <w:tblInd w:w="0" w:type="dxa"/>
        <w:tblLayout w:type="fixed"/>
        <w:tblCellMar>
          <w:top w:w="0" w:type="dxa"/>
          <w:left w:w="0" w:type="dxa"/>
          <w:bottom w:w="0" w:type="dxa"/>
          <w:right w:w="0" w:type="dxa"/>
        </w:tblCellMar>
      </w:tblPr>
      <w:tblGrid>
        <w:gridCol w:w="946"/>
        <w:gridCol w:w="326"/>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00710" cy="175260"/>
                      <wp:effectExtent l="0" t="0" r="0" b="0"/>
                      <wp:wrapNone/>
                      <wp:docPr id="499" name="Frame4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0"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1"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62610" cy="175260"/>
                      <wp:effectExtent l="0" t="0" r="0" b="0"/>
                      <wp:wrapNone/>
                      <wp:docPr id="502" name="Frame5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23,580</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22,998</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20,520</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18,636</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18,021</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71,440</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175,195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 2018, we entered into a five-year, $375 million unsecured revolving credit facility with a syndicate of U.S. banks. On February 28, 2021, this credit agreement was amended to increase the availability from $375 million to $550 million by exercising the accordion feature in the original agreement. On December 6, 2022, a second amendment increased the availability from $550 million to $750 million. The facilities now include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 The facility fee is payable quarterly in arrears.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408" w:name="Tc_HyKciqmRf0GFbXTnXPgFZQ_14_5"/>
      <w:bookmarkStart w:id="1409" w:name="Tc_8JQiUTqN7kOjJqfEnHM-Ww_14_2"/>
      <w:bookmarkStart w:id="1410" w:name="Tc_XoDl9nzsQUu9xGMXt3BL5g_14_0"/>
      <w:bookmarkStart w:id="1411" w:name="Tc_FwolUdatA0K0m2y_ql5GbQ_13_0"/>
      <w:bookmarkStart w:id="1412" w:name="Tc_gxFdTsfkEUmxmPw1UyvlTg_12_0"/>
      <w:bookmarkStart w:id="1413" w:name="Tc_7heO_hXfFEO-YfTxqXtmog_10_0"/>
      <w:bookmarkStart w:id="1414" w:name="Tc_Zyd5DaE5PkeNqc2xYPHPgA_9_0"/>
      <w:bookmarkStart w:id="1415" w:name="Tc_6xQhXhVTVk-t8s6IbFJ98A_8_0"/>
      <w:bookmarkStart w:id="1416" w:name="Tc_ak-5k0XSF0mI0ncJ_w31wg_7_0"/>
      <w:bookmarkStart w:id="1417" w:name="Tc_HNXWqlbfpEOJPzavSra63A_6_0"/>
      <w:bookmarkStart w:id="1418" w:name="Tc_BROACr5VrUiEduVFPFQxaQ_5_0"/>
      <w:bookmarkStart w:id="1419" w:name="Tc_T8dZFmVB3EScVddw818zww_4_0"/>
      <w:bookmarkStart w:id="1420" w:name="Tc_blJAG9Ezv0ibqnnIunePzw_3_0"/>
      <w:bookmarkStart w:id="1421" w:name="Tc_mESdoj8KHU6musihRXaXYw_2_5"/>
      <w:bookmarkStart w:id="1422" w:name="Tc_0uFq1ztD_UiZv_JyIfvU5Q_2_2"/>
      <w:bookmarkStart w:id="1423" w:name="Tc_eGnHoElOh0-tmhIVHqciUg_2_0"/>
      <w:bookmarkStart w:id="1424" w:name="Tc_TGf7PNgmbUuF3a_rYJQ_LA_1_5"/>
      <w:bookmarkStart w:id="1425" w:name="Tc_8pm98vs0EUueD2-C1F-law_1_2"/>
      <w:bookmarkStart w:id="1426" w:name="_e8b0d8aa_11df_4e22_8152_f8e664e33963"/>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Fonts w:ascii="Times New Roman;Times;serif" w:hAnsi="Times New Roman;Times;serif"/>
          <w:sz w:val="20"/>
        </w:rPr>
        <w:t>On August 10, 2020, we entered into an unsecured Note Purchase Agreement under which we issued our 3.04% Series 2020 E Senior Notes, due August 10, 2032, in the aggregate principal amount of $50 million, our 3.08% Series 2020 F Senior Notes, due August 10, 2033, in the aggregate principal amount of $50 million, and our 3.15% Series 2020 G Senior Notes, due August 10, 2035, in the aggregate principal amount of $50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Outstanding letters of credit extended on our behalf on December 30, 2023 and December 31, 2022 aggregated $47.8 million and $59.0 million. These letters of credit are comprised of $37.3 million issued under the revolving credit facility, including approximately $3.3 million related to industrial development revenue bonds, and $10.5 million issued outside of the facility. We had an outstanding balance on the revolver of $3.7 million and $5.5 million, which includes foreign subsidiary borrowings at December 30, 2023, and December 31, 2022, respectively. After considering letters of credit, we had $709.0 million and $741.2 million in remaining availability on the revolver on December 30, 2023, and December 31, 2022, respectively. Letters of credit have one-year terms, include an automatic renewal clause, and are charged an annual interest rate of 112.5 to 122.5 basis points, based upon our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Long-term debt obligations are summarized as follows on December 30, 2023 and December 31, 2022 (amounts in thousands):</w:t>
      </w:r>
    </w:p>
    <w:tbl>
      <w:tblPr>
        <w:tblW w:w="10205" w:type="dxa"/>
        <w:jc w:val="left"/>
        <w:tblInd w:w="0" w:type="dxa"/>
        <w:tblLayout w:type="fixed"/>
        <w:tblCellMar>
          <w:top w:w="0" w:type="dxa"/>
          <w:left w:w="0" w:type="dxa"/>
          <w:bottom w:w="0" w:type="dxa"/>
          <w:right w:w="0" w:type="dxa"/>
        </w:tblCellMar>
      </w:tblPr>
      <w:tblGrid>
        <w:gridCol w:w="7457"/>
        <w:gridCol w:w="326"/>
        <w:gridCol w:w="211"/>
        <w:gridCol w:w="787"/>
        <w:gridCol w:w="326"/>
        <w:gridCol w:w="211"/>
        <w:gridCol w:w="887"/>
      </w:tblGrid>
      <w:tr>
        <w:trPr/>
        <w:tc>
          <w:tcPr>
            <w:tcW w:w="7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735195" cy="175260"/>
                      <wp:effectExtent l="0" t="0" r="0" b="0"/>
                      <wp:wrapNone/>
                      <wp:docPr id="503" name="Frame503"/>
                      <a:graphic xmlns:a="http://schemas.openxmlformats.org/drawingml/2006/main">
                        <a:graphicData uri="http://schemas.microsoft.com/office/word/2010/wordprocessingShape">
                          <wps:wsp>
                            <wps:cNvSpPr txBox="1"/>
                            <wps:spPr>
                              <a:xfrm>
                                <a:off x="0" y="0"/>
                                <a:ext cx="4735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99745" cy="175260"/>
                      <wp:effectExtent l="0" t="0" r="0" b="0"/>
                      <wp:wrapNone/>
                      <wp:docPr id="506" name="Frame506"/>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8" name="Frame5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63245" cy="175260"/>
                      <wp:effectExtent l="0" t="0" r="0" b="0"/>
                      <wp:wrapNone/>
                      <wp:docPr id="509" name="Frame50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9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2020 Senior Notes E, due on August 10, 2032, interest payable semi-annually at 3.04%</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7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2020 Senior Notes F, due on August 10, 2033, interest payable semi-annually at 3.08%</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2020 Senior Notes G, due on August 10, 2035, interest payable semi-annually at 3.15%</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7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2018 Senior Notes C, due on June 14, 2028, interest payable semi-annually at 4.20%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2018 Senior Notes D, due on June 14, 2030, interest payable semi-annually at 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7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2012 Senior Notes Tranche B, due on December 17, 2024, interest payable semi-annually at 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subsidiary borrowings under revolving credit facility, due on December 6, 2027, interest payable monthly at a floating rate (5.44% on December 30, 2023 and 4.13% on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w:t>
            </w:r>
          </w:p>
        </w:tc>
      </w:tr>
      <w:tr>
        <w:trPr/>
        <w:tc>
          <w:tcPr>
            <w:tcW w:w="7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1999 Industrial Development Revenue Bonds, due on August 1, 2029, interest payable monthly at a floating rate (3.33% on December 30, 2023 and 1.04% on December 31,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and foreign affiliate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r>
      <w:tr>
        <w:trPr/>
        <w:tc>
          <w:tcPr>
            <w:tcW w:w="74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278,330</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7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7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275,154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30, 2023 and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427" w:name="Tc_vi-_EmvzGEunmxYkHhKZJw_7_2"/>
      <w:bookmarkStart w:id="1428" w:name="Tc_OpRPOouJm0mp__oPkwDgqw_7_0"/>
      <w:bookmarkStart w:id="1429" w:name="Tc_jmV7mYbfVUW50uom8q0SNw_6_0"/>
      <w:bookmarkStart w:id="1430" w:name="Tc_i_M2kEvLwUyUebe_Y-N1Pg_5_0"/>
      <w:bookmarkStart w:id="1431" w:name="Tc_BbBuJKLpX0mW_Fr670HfYQ_4_0"/>
      <w:bookmarkStart w:id="1432" w:name="Tc_xm5LT_Ywv0OP7CcMEWBWAA_3_0"/>
      <w:bookmarkStart w:id="1433" w:name="Tc_OKU1PkjfvUq2lHdYplNROg_2_0"/>
      <w:bookmarkStart w:id="1434" w:name="Tc_wW-5AunVLEGzpmBrOFreBg_1_2"/>
      <w:bookmarkStart w:id="1435" w:name="Tc_Sg8Ifv_6e02g8mZejNz6nQ_1_0"/>
      <w:bookmarkStart w:id="1436" w:name="_54fedac7_6a91_40d3_a297_7978795e2c74"/>
      <w:bookmarkEnd w:id="1427"/>
      <w:bookmarkEnd w:id="1428"/>
      <w:bookmarkEnd w:id="1429"/>
      <w:bookmarkEnd w:id="1430"/>
      <w:bookmarkEnd w:id="1431"/>
      <w:bookmarkEnd w:id="1432"/>
      <w:bookmarkEnd w:id="1433"/>
      <w:bookmarkEnd w:id="1434"/>
      <w:bookmarkEnd w:id="1435"/>
      <w:bookmarkEnd w:id="1436"/>
      <w:r>
        <w:rPr>
          <w:rFonts w:ascii="Times New Roman;Times;serif" w:hAnsi="Times New Roman;Times;serif"/>
          <w:sz w:val="20"/>
        </w:rPr>
        <w:t>On December 30, 2023, the principal maturities of long-term debt and finance lease obligations are as follows (in thousands):</w:t>
      </w:r>
    </w:p>
    <w:tbl>
      <w:tblPr>
        <w:tblW w:w="2369" w:type="dxa"/>
        <w:jc w:val="left"/>
        <w:tblInd w:w="0" w:type="dxa"/>
        <w:tblLayout w:type="fixed"/>
        <w:tblCellMar>
          <w:top w:w="0" w:type="dxa"/>
          <w:left w:w="0" w:type="dxa"/>
          <w:bottom w:w="0" w:type="dxa"/>
          <w:right w:w="0" w:type="dxa"/>
        </w:tblCellMar>
      </w:tblPr>
      <w:tblGrid>
        <w:gridCol w:w="946"/>
        <w:gridCol w:w="326"/>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00710" cy="175260"/>
                      <wp:effectExtent l="0" t="0" r="0" b="0"/>
                      <wp:wrapNone/>
                      <wp:docPr id="510" name="Frame51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62610" cy="175260"/>
                      <wp:effectExtent l="0" t="0" r="0" b="0"/>
                      <wp:wrapNone/>
                      <wp:docPr id="513" name="Frame5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42,823</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3,896</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40,223</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188,666</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276,434</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30, 2023, the estimated fair value of our long-term debt, including the current portion, was $241.4 million, which was $35.1 million less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pStyle w:val="TextBody"/>
        <w:bidi w:val="0"/>
        <w:spacing w:before="0" w:after="240"/>
        <w:ind w:left="0" w:right="0" w:hanging="0"/>
        <w:jc w:val="left"/>
        <w:rPr>
          <w:rFonts w:ascii="Times New Roman;Times;serif" w:hAnsi="Times New Roman;Times;serif"/>
          <w:b/>
          <w:sz w:val="20"/>
        </w:rPr>
      </w:pPr>
      <w:bookmarkStart w:id="1437" w:name="Tc_juyaDmgUrEKaIMdeaRyFTw_7_5"/>
      <w:bookmarkStart w:id="1438" w:name="Tc_-bHVKr1wg0S3qxwFZZjYbg_7_2"/>
      <w:bookmarkStart w:id="1439" w:name="Tc_d7lwzEkKakG2hS3VHneHgA_7_0"/>
      <w:bookmarkStart w:id="1440" w:name="Tc_GbcmctkngUqIiJDS2pXvTw_6_0"/>
      <w:bookmarkStart w:id="1441" w:name="Tc_IVz8wm_xaUqDtdlO-OgMqg_5_0"/>
      <w:bookmarkStart w:id="1442" w:name="Tc_1Sk7LV99s0OKH4VrxsZhBw_4_0"/>
      <w:bookmarkStart w:id="1443" w:name="Tc_ud1zKrpqp0WX-01FacWMsg_3_5"/>
      <w:bookmarkStart w:id="1444" w:name="Tc_IZUUIz0W_0yHOic2j1DvnA_3_2"/>
      <w:bookmarkStart w:id="1445" w:name="Tc_ETbdMzdSYkCrzGW9tQF6Ug_3_0"/>
      <w:bookmarkStart w:id="1446" w:name="Tc_mEkJ2wCe3EqkTAteyE6mFA_2_6"/>
      <w:bookmarkStart w:id="1447" w:name="Tc_QuYStXG0y0u9bUHxbJNRxg_2_3"/>
      <w:bookmarkStart w:id="1448" w:name="_8026cee7_42f1_421a_b67f_71aa2547e557"/>
      <w:bookmarkEnd w:id="1437"/>
      <w:bookmarkEnd w:id="1438"/>
      <w:bookmarkEnd w:id="1439"/>
      <w:bookmarkEnd w:id="1440"/>
      <w:bookmarkEnd w:id="1441"/>
      <w:bookmarkEnd w:id="1442"/>
      <w:bookmarkEnd w:id="1443"/>
      <w:bookmarkEnd w:id="1444"/>
      <w:bookmarkEnd w:id="1445"/>
      <w:bookmarkEnd w:id="1446"/>
      <w:bookmarkEnd w:id="1447"/>
      <w:bookmarkEnd w:id="1448"/>
      <w:r>
        <w:rPr>
          <w:rFonts w:ascii="Times New Roman;Times;serif" w:hAnsi="Times New Roman;Times;serif"/>
          <w:b/>
          <w:i w:val="false"/>
          <w:caps w:val="false"/>
          <w:smallCaps w:val="false"/>
          <w:sz w:val="20"/>
        </w:rPr>
        <w:t>F.</w:t>
      </w:r>
      <w:r>
        <w:rPr>
          <w:rFonts w:ascii="Times New Roman;Times;serif" w:hAnsi="Times New Roman;Times;serif"/>
          <w:b/>
          <w:sz w:val="20"/>
        </w:rPr>
        <w:t>LEASES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determine if an arrangement is a lease at inception. We lease certain real estate under non-cancelable operating lease agreements with typical original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We are required to pay real estate taxes and other occupancy costs under certain leases, which are variable in nature and not included in the right of use asset or lease liability. Certain leases carry </w:t>
      </w:r>
      <w:r>
        <w:rPr>
          <w:rFonts w:ascii="Times New Roman;Times;serif" w:hAnsi="Times New Roman;Times;serif"/>
          <w:b w:val="false"/>
          <w:i w:val="false"/>
          <w:caps w:val="false"/>
          <w:smallCaps w:val="false"/>
          <w:sz w:val="20"/>
        </w:rPr>
        <w:t>renewal</w:t>
      </w:r>
      <w:r>
        <w:rPr>
          <w:rFonts w:ascii="Times New Roman;Times;serif" w:hAnsi="Times New Roman;Times;serif"/>
          <w:sz w:val="20"/>
        </w:rPr>
        <w:t xml:space="preserve"> options of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fifteen years. We believe that future leases will likely have similar terms. We also lease motor vehicles, </w:t>
      </w:r>
      <w:r>
        <w:rPr>
          <w:rFonts w:ascii="Times New Roman;Times;serif" w:hAnsi="Times New Roman;Times;serif"/>
          <w:b w:val="false"/>
          <w:i w:val="false"/>
          <w:caps w:val="false"/>
          <w:smallCaps w:val="false"/>
          <w:sz w:val="20"/>
        </w:rPr>
        <w:t>equipment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an </w:t>
      </w:r>
      <w:r>
        <w:rPr>
          <w:rFonts w:ascii="Times New Roman;Times;serif" w:hAnsi="Times New Roman;Times;serif"/>
          <w:b w:val="false"/>
          <w:i w:val="false"/>
          <w:caps w:val="false"/>
          <w:smallCaps w:val="false"/>
          <w:sz w:val="20"/>
        </w:rPr>
        <w:t>aircraft</w:t>
      </w:r>
      <w:r>
        <w:rPr>
          <w:rFonts w:ascii="Times New Roman;Times;serif" w:hAnsi="Times New Roman;Times;serif"/>
          <w:sz w:val="20"/>
        </w:rPr>
        <w:t xml:space="preserve"> under </w:t>
      </w:r>
      <w:r>
        <w:rPr>
          <w:rFonts w:ascii="Times New Roman;Times;serif" w:hAnsi="Times New Roman;Times;serif"/>
          <w:b w:val="false"/>
          <w:i w:val="false"/>
          <w:caps w:val="false"/>
          <w:smallCaps w:val="false"/>
          <w:sz w:val="20"/>
        </w:rPr>
        <w:t>operating</w:t>
      </w:r>
      <w:r>
        <w:rPr>
          <w:rFonts w:ascii="Times New Roman;Times;serif" w:hAnsi="Times New Roman;Times;serif"/>
          <w:sz w:val="20"/>
        </w:rPr>
        <w:t xml:space="preserve"> lease agreements for periods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We do not typically enter into leases with residual value guarantees. There were no restrictions or covenants imposed by any lease agreements.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finance leases have no significant impact to our consolidated balance sheet and statement of earnings as of December 30, 2023.</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30, 2023, we have no leases that have not yet commenced that would significantly impact the rights, obligations, and our financial position.</w:t>
      </w:r>
    </w:p>
    <w:p>
      <w:pPr>
        <w:pStyle w:val="TextBody"/>
        <w:bidi w:val="0"/>
        <w:spacing w:before="0" w:after="0"/>
        <w:ind w:left="0" w:right="0" w:firstLine="547"/>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There were no lease transactions between related parties as of December 30, 2023.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rates implicit in our leases are primarily not readily available. To determine the discount rate used to present value the lease payments, we utilize the 7-year treasury note rate plus a blend of rate spreads associated with our 10 to 15 year senior notes along with estimated spreads based on current market conditions. We feel the determined rate is a reasonable representation of our lease population.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Lease costs under non-cancelable operating leases on December 30, 2023 and December 31, 2022 are as follows (in thousands): </w:t>
      </w:r>
    </w:p>
    <w:tbl>
      <w:tblPr>
        <w:tblW w:w="3913" w:type="dxa"/>
        <w:jc w:val="left"/>
        <w:tblInd w:w="0" w:type="dxa"/>
        <w:tblLayout w:type="fixed"/>
        <w:tblCellMar>
          <w:top w:w="0" w:type="dxa"/>
          <w:left w:w="0" w:type="dxa"/>
          <w:bottom w:w="0" w:type="dxa"/>
          <w:right w:w="0" w:type="dxa"/>
        </w:tblCellMar>
      </w:tblPr>
      <w:tblGrid>
        <w:gridCol w:w="1801"/>
        <w:gridCol w:w="109"/>
        <w:gridCol w:w="211"/>
        <w:gridCol w:w="691"/>
        <w:gridCol w:w="109"/>
        <w:gridCol w:w="211"/>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143635" cy="175260"/>
                      <wp:effectExtent l="0" t="0" r="0" b="0"/>
                      <wp:wrapNone/>
                      <wp:docPr id="514" name="Frame514"/>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9215" cy="175260"/>
                      <wp:effectExtent l="0" t="0" r="0" b="0"/>
                      <wp:wrapNone/>
                      <wp:docPr id="515"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6"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38785" cy="175260"/>
                      <wp:effectExtent l="0" t="0" r="0" b="0"/>
                      <wp:wrapNone/>
                      <wp:docPr id="517" name="Frame5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8"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95935" cy="175260"/>
                      <wp:effectExtent l="0" t="0" r="0" b="0"/>
                      <wp:wrapNone/>
                      <wp:docPr id="520" name="Frame5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32,458</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10,490</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5,291</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w:t>
            </w:r>
          </w:p>
        </w:tc>
        <w:tc>
          <w:tcPr>
            <w:tcW w:w="10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47,419</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45,363</w:t>
            </w:r>
          </w:p>
        </w:tc>
      </w:tr>
    </w:tbl>
    <w:p>
      <w:pPr>
        <w:pStyle w:val="TextBody"/>
        <w:bidi w:val="0"/>
        <w:spacing w:before="0" w:after="0"/>
        <w:ind w:left="0" w:right="0" w:hanging="0"/>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Rent expense was approximately $49.7 million, $48.2 million, and $40.1 million in 2023, 2022, and 2021,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sz w:val="20"/>
        </w:rPr>
      </w:pPr>
      <w:bookmarkStart w:id="1449" w:name="Tc_d4A8k2QBfEKTihFOcma0dg_11_2"/>
      <w:bookmarkStart w:id="1450" w:name="Tc_anJgHSA5bEy5OdioWq1org_11_0"/>
      <w:bookmarkStart w:id="1451" w:name="Tc_e_6ItyQSSUyFbIgNE3tMBA_10_0"/>
      <w:bookmarkStart w:id="1452" w:name="Tc_opNgrMFMrkiwcDAmkHcHfA_9_2"/>
      <w:bookmarkStart w:id="1453" w:name="Tc_RDTKL-svS0qAVTeD7pJqcA_9_0"/>
      <w:bookmarkStart w:id="1454" w:name="Tc_UJZNUmZX9ESO0UvXB8z77A_8_0"/>
      <w:bookmarkStart w:id="1455" w:name="Tc_QOTKCn8Vs0CS9F9g-XRu9A_7_0"/>
      <w:bookmarkStart w:id="1456" w:name="Tc_RN31DTNGqE2tQ1Fbt8c_YQ_6_0"/>
      <w:bookmarkStart w:id="1457" w:name="Tc_vMqkgy17PU6gkngkhZxxxA_5_0"/>
      <w:bookmarkStart w:id="1458" w:name="Tc_B54htHERiEmoQ-QaDV0ujw_4_0"/>
      <w:bookmarkStart w:id="1459" w:name="Tc_wU1ANGUvG0uP91UjmRboaw_3_2"/>
      <w:bookmarkStart w:id="1460" w:name="Tc_zhwztCjvDkijDL8JXfCAfg_3_0"/>
      <w:bookmarkStart w:id="1461" w:name="Tc_VS75N0tPW0q_nuItP-Xjgw_2_2"/>
      <w:bookmarkStart w:id="1462" w:name="Tc_2r0eaWz1AE6ZbBeXQiDZuQ_1_2"/>
      <w:bookmarkStart w:id="1463" w:name="_c18356a4_6463_4c18_940e_6767fec3d076"/>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r>
        <w:rPr>
          <w:rFonts w:ascii="Times New Roman;Times;serif" w:hAnsi="Times New Roman;Times;serif"/>
          <w:sz w:val="20"/>
        </w:rPr>
        <w:t xml:space="preserve">The amounts paid for operating leases, included in the measurement of lease liabilities, were $32.4 million in the year ended December 30, 2023 and $30.2 million in the year ended December 31, 2022. In addition, right-of-use assets obtained in exchange for new operating lease liabilities were approximately $35.4 million and $32.0 million, respectively, for the years ended December 30, 2023 and December 31, 2022. </w:t>
      </w:r>
    </w:p>
    <w:p>
      <w:pPr>
        <w:pStyle w:val="TextBody"/>
        <w:bidi w:val="0"/>
        <w:spacing w:before="0" w:after="0"/>
        <w:ind w:left="0" w:right="0" w:firstLine="547"/>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Future minimum payments under non-cancelable operating leases on December 30, 2023 are as follows (in thousands):</w:t>
      </w:r>
    </w:p>
    <w:tbl>
      <w:tblPr>
        <w:tblW w:w="4079" w:type="dxa"/>
        <w:jc w:val="left"/>
        <w:tblInd w:w="0" w:type="dxa"/>
        <w:tblLayout w:type="fixed"/>
        <w:tblCellMar>
          <w:top w:w="0" w:type="dxa"/>
          <w:left w:w="0" w:type="dxa"/>
          <w:bottom w:w="0" w:type="dxa"/>
          <w:right w:w="0" w:type="dxa"/>
        </w:tblCellMar>
      </w:tblPr>
      <w:tblGrid>
        <w:gridCol w:w="2656"/>
        <w:gridCol w:w="326"/>
        <w:gridCol w:w="211"/>
        <w:gridCol w:w="8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686560" cy="175260"/>
                      <wp:effectExtent l="0" t="0" r="0" b="0"/>
                      <wp:wrapNone/>
                      <wp:docPr id="521" name="Frame52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62610" cy="175260"/>
                      <wp:effectExtent l="0" t="0" r="0" b="0"/>
                      <wp:wrapNone/>
                      <wp:docPr id="524" name="Frame5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29,435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13,517</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152,536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107,862</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30, 2023 and December 31, 2022, the weighted average lease term for operating leases was 7.21 years and 6.78 years, respectively. Similarly, the weighted average discount rate for operating leases was 4.53% and 3.70%, respectively.</w:t>
      </w:r>
    </w:p>
    <w:p>
      <w:pPr>
        <w:pStyle w:val="TextBody"/>
        <w:bidi w:val="0"/>
        <w:spacing w:before="0" w:after="0"/>
        <w:ind w:left="0" w:right="0" w:firstLine="547"/>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DEFERRED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 program whereby certain executives irrevocably elected to defer receipt of certain compensation in 1985 through 1988. Deferred compensation payments to these executives commenced upon their retirement. There was no remaining deferred compensation liability on December 30, 2023 and the remaining deferred compensation liability on December 31, 2022 was $0.1 million.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The investment in life insurance contracts as of December 30, 2023 and December 31, 2022, was $12.2 million and $11.6 million, respectively, and is recorded in “Other Assets” on the Consolidated Balance Sheet.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w:t>
      </w:r>
      <w:r>
        <w:rPr>
          <w:rFonts w:ascii="Times New Roman;Times;serif" w:hAnsi="Times New Roman;Times;serif"/>
          <w:color w:val="FF0000"/>
          <w:sz w:val="20"/>
        </w:rPr>
        <w:t xml:space="preserve"> </w:t>
      </w:r>
      <w:r>
        <w:rPr>
          <w:rFonts w:ascii="Times New Roman;Times;serif" w:hAnsi="Times New Roman;Times;serif"/>
          <w:sz w:val="20"/>
        </w:rPr>
        <w:t>$0.1 million and $0.5 million on December 30, 2023 and December 31, 2022, respectively, and are included in "Other Assets." Related liabilities totaled $57.8 million and $50.4 million on December 30, 2023 and December 31, 2022, respectively, and are included in "Other Liabilities" and "Shareholders’ Equity." Assets associated with the Plan are recorded at fair market value. The related liabilities are also recorded at fair market value, with the exception of obligations associated with investments in our stock which are recorded at the market value on the date of deferral.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and administer our shareholder approved Employee Stock Purchase Plan. The Employee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464" w:name="Tc_1AfvdpymSUK64_PIWUNwrA_12_4"/>
      <w:bookmarkStart w:id="1465" w:name="Tc_5GyNMNzpE0SvyGNxoG1Q0A_12_0"/>
      <w:bookmarkStart w:id="1466" w:name="Tc_2RXkdAgtrEmBEAetttdlPw_10_4"/>
      <w:bookmarkStart w:id="1467" w:name="Tc_yIb8Yd1RTUaRfxTDW_4O0w_10_0"/>
      <w:bookmarkStart w:id="1468" w:name="Tc_WJSkAimIq0S8IZWO7OdN4g_9_0"/>
      <w:bookmarkStart w:id="1469" w:name="Tc__JHst0k0KUWImR8AftNXtg_8_0"/>
      <w:bookmarkStart w:id="1470" w:name="Tc_wNkcDe2Sb0ilhgn7Z1oZJw_7_0"/>
      <w:bookmarkStart w:id="1471" w:name="Tc_ApdSWyxTpkWFcWlsEXxeHQ_6_0"/>
      <w:bookmarkStart w:id="1472" w:name="Tc_ZPoqVrd3n0ut9KIAH966Lg_5_0"/>
      <w:bookmarkStart w:id="1473" w:name="Tc_VPTBQ4qinUO5FBJYzYaNEA_3_4"/>
      <w:bookmarkStart w:id="1474" w:name="Tc_oXewRFZ0Ska1WFohoiC1ig_3_0"/>
      <w:bookmarkStart w:id="1475" w:name="Tc_JKZNHmn8V0eil3-RQdRlIA_2_5"/>
      <w:bookmarkStart w:id="1476" w:name="Tc_7XDy0ReXikqzWZK575VzKg_2_2"/>
      <w:bookmarkStart w:id="1477" w:name="Tc_WdK_WxcWSUSaVJLDExUGfw_2_0"/>
      <w:bookmarkStart w:id="1478" w:name="Tc_ivQ5NXt9Bk2X693-4tRwdg_1_2"/>
      <w:bookmarkStart w:id="1479" w:name="_cde0fd69_06f6_4890_8567_f3e331d4ceba"/>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r>
        <w:rPr>
          <w:rFonts w:ascii="Times New Roman;Times;serif" w:hAnsi="Times New Roman;Times;serif"/>
          <w:sz w:val="20"/>
        </w:rPr>
        <w:t xml:space="preserve">We maintain and administer our shareholder approved Director Compensation Plan. The Director Compensation Plan allows eligible members of the Board of Directors to defer the cash portion of their retainer and committee fees, credited in the form of stock units,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units is increased by the amount of dividends paid on our common stock. The units are immediately vested as of the grant date, since they are considered payment for services rendered quarterly. We recognized expense for this plan of $1.9 million in 2023, $2.0 million in 2022, and $1.7 million in 2021. Effective January 1, 2017, this plan was amended to allow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Finally, we maintain and administer our shareholder approved Long Term Stock Incentive Plan (the "LTSIP”). The LTSIP provides for the grant of stock options, stock appreciation rights, restricted stock, performance shares, sales incentive awards, and other stock-based awards.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Executive Stock Match awards are granted in the year following the requisite service period, which begins at the beginning of each fiscal year, and fully vest on the fifth anniversary of the grant date. Refer to Notes to Consolidated Financial Statements, Note G, "Deferred Compensation" for additional information on the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unrecognized compensation expense remaining for stock options in 2023, 2022, and 2021.</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Below is a summary of common stock issuances for 2023 and 2022 (in thousands, except per share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data):</w:t>
      </w:r>
    </w:p>
    <w:tbl>
      <w:tblPr>
        <w:tblW w:w="8014" w:type="dxa"/>
        <w:jc w:val="left"/>
        <w:tblInd w:w="0" w:type="dxa"/>
        <w:tblLayout w:type="fixed"/>
        <w:tblCellMar>
          <w:top w:w="0" w:type="dxa"/>
          <w:left w:w="0" w:type="dxa"/>
          <w:bottom w:w="0" w:type="dxa"/>
          <w:right w:w="0" w:type="dxa"/>
        </w:tblCellMar>
      </w:tblPr>
      <w:tblGrid>
        <w:gridCol w:w="4501"/>
        <w:gridCol w:w="326"/>
        <w:gridCol w:w="1216"/>
        <w:gridCol w:w="109"/>
        <w:gridCol w:w="211"/>
        <w:gridCol w:w="1651"/>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858135" cy="175260"/>
                      <wp:effectExtent l="0" t="0" r="0" b="0"/>
                      <wp:wrapNone/>
                      <wp:docPr id="525" name="Frame525"/>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left"/>
              <w:rPr/>
            </w:pPr>
            <w:r>
              <w:rPr/>
              <w:t>​</w: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18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 2023</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 Issuance Activity</w:t>
            </w:r>
          </w:p>
        </w:tc>
        <w:tc>
          <w:tcPr>
            <w:tcW w:w="32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Share Price</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98.20</w: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pPr>
            <w:r>
              <w:rPr/>
              <w:t>​</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gift program</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95.42</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director compensation plan</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92.82</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LTSIP</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86.14</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executive stock match plan</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85.89</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issued under stock grant programs</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86.16</w:t>
            </w:r>
          </w:p>
        </w:tc>
      </w:tr>
      <w:tr>
        <w:trPr/>
        <w:tc>
          <w:tcPr>
            <w:tcW w:w="45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deferred compensation plans</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88.43</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80" w:name="Tc_btCFrTzoE0SIjYUfTSXAFw_18_10"/>
      <w:bookmarkStart w:id="1481" w:name="Tc__feP70FqIU29KHB-gpWgZQ_18_7"/>
      <w:bookmarkStart w:id="1482" w:name="Tc_m55ECLS4yk6QE5M_EBsfig_18_4"/>
      <w:bookmarkStart w:id="1483" w:name="Tc_GM_wbPBWdEq7yz7BPZTqCw_18_0"/>
      <w:bookmarkStart w:id="1484" w:name="Tc_74Xa0HGbjUOJ6GaMY2fGFg_17_0"/>
      <w:bookmarkStart w:id="1485" w:name="Tc_QkaxQ2H-VEqd-fXbhSgW5w_16_0"/>
      <w:bookmarkStart w:id="1486" w:name="Tc_NcUana7spUKKUu0zO2jVrg_15_0"/>
      <w:bookmarkStart w:id="1487" w:name="Tc_UE72CwTe6kGbozH06sU3OA_14_10"/>
      <w:bookmarkStart w:id="1488" w:name="Tc_s_lInTU7fU-C55Qci-YExw_14_7"/>
      <w:bookmarkStart w:id="1489" w:name="Tc_qaz8dixiFUSMmhZ38RpFVg_14_4"/>
      <w:bookmarkStart w:id="1490" w:name="Tc_OvhRI1l5aE6Unj79YqcAZA_14_0"/>
      <w:bookmarkStart w:id="1491" w:name="Tc_bLats_-AWESf73VEijJteg_13_0"/>
      <w:bookmarkStart w:id="1492" w:name="Tc_v6op_wVpV0unIEEL6WfPvQ_12_0"/>
      <w:bookmarkStart w:id="1493" w:name="Tc_jR-AFUqyNEeWRJjcIO-amg_11_0"/>
      <w:bookmarkStart w:id="1494" w:name="Tc_-RbmT5mJ-kWMd1lOPO3QaA_10_10"/>
      <w:bookmarkStart w:id="1495" w:name="Tc_sb4Wu4MWWUWQWyIlTjZ-rA_10_7"/>
      <w:bookmarkStart w:id="1496" w:name="Tc_cf-nO-D4zUiRWVFYg38fVw_10_4"/>
      <w:bookmarkStart w:id="1497" w:name="Tc_8JGWd7FPnkS8qXZDzuoJAA_10_0"/>
      <w:bookmarkStart w:id="1498" w:name="Tc_rKrpz7gD202uTF4jpH6hdw_9_0"/>
      <w:bookmarkStart w:id="1499" w:name="Tc_A0eOlV8KTEm1QhhasecrJQ_8_0"/>
      <w:bookmarkStart w:id="1500" w:name="Tc_DFWsk3u7zEmpu3Vij1eejQ_7_0"/>
      <w:bookmarkStart w:id="1501" w:name="Tc_MyTUGwpYjEO4tLx2xQ_hjw_6_10"/>
      <w:bookmarkStart w:id="1502" w:name="Tc_eZAW86ZfNk-M1dXpmyPSoA_6_7"/>
      <w:bookmarkStart w:id="1503" w:name="Tc_g8mneEZmnEGZavyLtNZqPw_6_4"/>
      <w:bookmarkStart w:id="1504" w:name="Tc_XirLvK3NyUeER2oY6jpqvg_6_0"/>
      <w:bookmarkStart w:id="1505" w:name="Tc_0SWt8yKUf0ueF3p63iwFnA_5_10"/>
      <w:bookmarkStart w:id="1506" w:name="Tc_NmydF4G0E0-pa1ZapgSqAw_5_7"/>
      <w:bookmarkStart w:id="1507" w:name="Tc_Kbkit8jaf0WfOAAVaWQYOw_5_4"/>
      <w:bookmarkStart w:id="1508" w:name="Tc_wGt7SfD_10enerkFbTyogA_5_2"/>
      <w:bookmarkStart w:id="1509" w:name="Tc_3_OAQ6nviECIwFfrjmaa8Q_4_10"/>
      <w:bookmarkStart w:id="1510" w:name="Tc_YXKqGU1BrkWNgIVfAvDUGw_4_7"/>
      <w:bookmarkStart w:id="1511" w:name="Tc_0u7Oxy7N9EGfMxqSRWpDRw_4_4"/>
      <w:bookmarkStart w:id="1512" w:name="Tc_ReBUPmOiHU-zDn1AnNFNVg_4_2"/>
      <w:bookmarkStart w:id="1513" w:name="Tc_bRpM16ReyU2Nnk5HSfenAQ_3_10"/>
      <w:bookmarkStart w:id="1514" w:name="Tc_EjKPsjwIKkKPndrMfoJVbA_3_7"/>
      <w:bookmarkStart w:id="1515" w:name="Tc_aHrK8UIHXkiuKJQR-v3MpQ_3_4"/>
      <w:bookmarkStart w:id="1516" w:name="Tc_VO_zbSzUzk2PKg9Qehl68w_2_10"/>
      <w:bookmarkStart w:id="1517" w:name="Tc_AW2KznldX0iluN9j7HUfVg_2_7"/>
      <w:bookmarkStart w:id="1518" w:name="Tc_EXQXzZYsckqU4dACo3kulg_1_10"/>
      <w:bookmarkStart w:id="1519" w:name="Tc_s96dacwv5Uq8D5U1CWy8Sg_12_4"/>
      <w:bookmarkStart w:id="1520" w:name="Tc_sr5vo6ez90O2WWprA0wxCQ_12_0"/>
      <w:bookmarkStart w:id="1521" w:name="Tc_x-TCX4FDS0qBZgSB0G3xvg_10_4"/>
      <w:bookmarkStart w:id="1522" w:name="Tc_yvgD9347W0q7SxGyLZLBTg_10_0"/>
      <w:bookmarkStart w:id="1523" w:name="Tc_7zn5uJFVzEOJvKvCRgHLtQ_9_0"/>
      <w:bookmarkStart w:id="1524" w:name="Tc_SuBm0Yy4JEm0XSjYDgyqyA_8_0"/>
      <w:bookmarkStart w:id="1525" w:name="Tc_E35lMtiUJ0GlA0kADzifBw_7_0"/>
      <w:bookmarkStart w:id="1526" w:name="Tc_z1Krl2yvsEKckLVZV9ySIg_6_0"/>
      <w:bookmarkStart w:id="1527" w:name="Tc_r2BbBdoFtkmV_nASgUk4Rw_5_0"/>
      <w:bookmarkStart w:id="1528" w:name="Tc_B7ILm99emUOYuT9h8-Lkzw_3_4"/>
      <w:bookmarkStart w:id="1529" w:name="Tc_NxVbVsHJK0KGPjNC5-VD5Q_3_0"/>
      <w:bookmarkStart w:id="1530" w:name="Tc_919a9oXMBEekoWB8eaYiNQ_2_5"/>
      <w:bookmarkStart w:id="1531" w:name="Tc_PKcyB5aCSUu_BtT7FViJCw_2_2"/>
      <w:bookmarkStart w:id="1532" w:name="Tc__XWa3UxPakmDUZCwiDod9w_2_0"/>
      <w:bookmarkStart w:id="1533" w:name="Tc_iZZr7_5p1kGV7IxIgpeRdQ_1_2"/>
      <w:bookmarkStart w:id="1534" w:name="_f4e2ac8f_63aa_4d9f_89e1_76fa8835af3d"/>
      <w:bookmarkStart w:id="1535" w:name="Tc_btCFrTzoE0SIjYUfTSXAFw_18_10"/>
      <w:bookmarkStart w:id="1536" w:name="Tc__feP70FqIU29KHB-gpWgZQ_18_7"/>
      <w:bookmarkStart w:id="1537" w:name="Tc_m55ECLS4yk6QE5M_EBsfig_18_4"/>
      <w:bookmarkStart w:id="1538" w:name="Tc_GM_wbPBWdEq7yz7BPZTqCw_18_0"/>
      <w:bookmarkStart w:id="1539" w:name="Tc_74Xa0HGbjUOJ6GaMY2fGFg_17_0"/>
      <w:bookmarkStart w:id="1540" w:name="Tc_QkaxQ2H-VEqd-fXbhSgW5w_16_0"/>
      <w:bookmarkStart w:id="1541" w:name="Tc_NcUana7spUKKUu0zO2jVrg_15_0"/>
      <w:bookmarkStart w:id="1542" w:name="Tc_UE72CwTe6kGbozH06sU3OA_14_10"/>
      <w:bookmarkStart w:id="1543" w:name="Tc_s_lInTU7fU-C55Qci-YExw_14_7"/>
      <w:bookmarkStart w:id="1544" w:name="Tc_qaz8dixiFUSMmhZ38RpFVg_14_4"/>
      <w:bookmarkStart w:id="1545" w:name="Tc_OvhRI1l5aE6Unj79YqcAZA_14_0"/>
      <w:bookmarkStart w:id="1546" w:name="Tc_bLats_-AWESf73VEijJteg_13_0"/>
      <w:bookmarkStart w:id="1547" w:name="Tc_v6op_wVpV0unIEEL6WfPvQ_12_0"/>
      <w:bookmarkStart w:id="1548" w:name="Tc_jR-AFUqyNEeWRJjcIO-amg_11_0"/>
      <w:bookmarkStart w:id="1549" w:name="Tc_-RbmT5mJ-kWMd1lOPO3QaA_10_10"/>
      <w:bookmarkStart w:id="1550" w:name="Tc_sb4Wu4MWWUWQWyIlTjZ-rA_10_7"/>
      <w:bookmarkStart w:id="1551" w:name="Tc_cf-nO-D4zUiRWVFYg38fVw_10_4"/>
      <w:bookmarkStart w:id="1552" w:name="Tc_8JGWd7FPnkS8qXZDzuoJAA_10_0"/>
      <w:bookmarkStart w:id="1553" w:name="Tc_rKrpz7gD202uTF4jpH6hdw_9_0"/>
      <w:bookmarkStart w:id="1554" w:name="Tc_A0eOlV8KTEm1QhhasecrJQ_8_0"/>
      <w:bookmarkStart w:id="1555" w:name="Tc_DFWsk3u7zEmpu3Vij1eejQ_7_0"/>
      <w:bookmarkStart w:id="1556" w:name="Tc_MyTUGwpYjEO4tLx2xQ_hjw_6_10"/>
      <w:bookmarkStart w:id="1557" w:name="Tc_eZAW86ZfNk-M1dXpmyPSoA_6_7"/>
      <w:bookmarkStart w:id="1558" w:name="Tc_g8mneEZmnEGZavyLtNZqPw_6_4"/>
      <w:bookmarkStart w:id="1559" w:name="Tc_XirLvK3NyUeER2oY6jpqvg_6_0"/>
      <w:bookmarkStart w:id="1560" w:name="Tc_0SWt8yKUf0ueF3p63iwFnA_5_10"/>
      <w:bookmarkStart w:id="1561" w:name="Tc_NmydF4G0E0-pa1ZapgSqAw_5_7"/>
      <w:bookmarkStart w:id="1562" w:name="Tc_Kbkit8jaf0WfOAAVaWQYOw_5_4"/>
      <w:bookmarkStart w:id="1563" w:name="Tc_wGt7SfD_10enerkFbTyogA_5_2"/>
      <w:bookmarkStart w:id="1564" w:name="Tc_3_OAQ6nviECIwFfrjmaa8Q_4_10"/>
      <w:bookmarkStart w:id="1565" w:name="Tc_YXKqGU1BrkWNgIVfAvDUGw_4_7"/>
      <w:bookmarkStart w:id="1566" w:name="Tc_0u7Oxy7N9EGfMxqSRWpDRw_4_4"/>
      <w:bookmarkStart w:id="1567" w:name="Tc_ReBUPmOiHU-zDn1AnNFNVg_4_2"/>
      <w:bookmarkStart w:id="1568" w:name="Tc_bRpM16ReyU2Nnk5HSfenAQ_3_10"/>
      <w:bookmarkStart w:id="1569" w:name="Tc_EjKPsjwIKkKPndrMfoJVbA_3_7"/>
      <w:bookmarkStart w:id="1570" w:name="Tc_aHrK8UIHXkiuKJQR-v3MpQ_3_4"/>
      <w:bookmarkStart w:id="1571" w:name="Tc_VO_zbSzUzk2PKg9Qehl68w_2_10"/>
      <w:bookmarkStart w:id="1572" w:name="Tc_AW2KznldX0iluN9j7HUfVg_2_7"/>
      <w:bookmarkStart w:id="1573" w:name="Tc_EXQXzZYsckqU4dACo3kulg_1_10"/>
      <w:bookmarkStart w:id="1574" w:name="Tc_s96dacwv5Uq8D5U1CWy8Sg_12_4"/>
      <w:bookmarkStart w:id="1575" w:name="Tc_sr5vo6ez90O2WWprA0wxCQ_12_0"/>
      <w:bookmarkStart w:id="1576" w:name="Tc_x-TCX4FDS0qBZgSB0G3xvg_10_4"/>
      <w:bookmarkStart w:id="1577" w:name="Tc_yvgD9347W0q7SxGyLZLBTg_10_0"/>
      <w:bookmarkStart w:id="1578" w:name="Tc_7zn5uJFVzEOJvKvCRgHLtQ_9_0"/>
      <w:bookmarkStart w:id="1579" w:name="Tc_SuBm0Yy4JEm0XSjYDgyqyA_8_0"/>
      <w:bookmarkStart w:id="1580" w:name="Tc_E35lMtiUJ0GlA0kADzifBw_7_0"/>
      <w:bookmarkStart w:id="1581" w:name="Tc_z1Krl2yvsEKckLVZV9ySIg_6_0"/>
      <w:bookmarkStart w:id="1582" w:name="Tc_r2BbBdoFtkmV_nASgUk4Rw_5_0"/>
      <w:bookmarkStart w:id="1583" w:name="Tc_B7ILm99emUOYuT9h8-Lkzw_3_4"/>
      <w:bookmarkStart w:id="1584" w:name="Tc_NxVbVsHJK0KGPjNC5-VD5Q_3_0"/>
      <w:bookmarkStart w:id="1585" w:name="Tc_919a9oXMBEekoWB8eaYiNQ_2_5"/>
      <w:bookmarkStart w:id="1586" w:name="Tc_PKcyB5aCSUu_BtT7FViJCw_2_2"/>
      <w:bookmarkStart w:id="1587" w:name="Tc__XWa3UxPakmDUZCwiDod9w_2_0"/>
      <w:bookmarkStart w:id="1588" w:name="Tc_iZZr7_5p1kGV7IxIgpeRdQ_1_2"/>
      <w:bookmarkStart w:id="1589" w:name="_f4e2ac8f_63aa_4d9f_89e1_76fa8835af3d"/>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p>
    <w:tbl>
      <w:tblPr>
        <w:tblW w:w="8059" w:type="dxa"/>
        <w:jc w:val="left"/>
        <w:tblInd w:w="0" w:type="dxa"/>
        <w:tblLayout w:type="fixed"/>
        <w:tblCellMar>
          <w:top w:w="0" w:type="dxa"/>
          <w:left w:w="0" w:type="dxa"/>
          <w:bottom w:w="0" w:type="dxa"/>
          <w:right w:w="0" w:type="dxa"/>
        </w:tblCellMar>
      </w:tblPr>
      <w:tblGrid>
        <w:gridCol w:w="4546"/>
        <w:gridCol w:w="326"/>
        <w:gridCol w:w="1216"/>
        <w:gridCol w:w="109"/>
        <w:gridCol w:w="211"/>
        <w:gridCol w:w="1651"/>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886710" cy="175260"/>
                      <wp:effectExtent l="0" t="0" r="0" b="0"/>
                      <wp:wrapNone/>
                      <wp:docPr id="527" name="Frame527"/>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18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 Issuance Activity</w:t>
            </w:r>
          </w:p>
        </w:tc>
        <w:tc>
          <w:tcPr>
            <w:tcW w:w="32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Share Price</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73.45</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employee stock gift program</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78.23</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director retainer stock program</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79.98</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LTSIP</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82.73</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executive stock grants plan</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82.87</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issued under stock grant programs</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82.71</w:t>
            </w:r>
          </w:p>
        </w:tc>
      </w:tr>
      <w:tr>
        <w:trPr/>
        <w:tc>
          <w:tcPr>
            <w:tcW w:w="45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under the deferred compensation plans</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81.86</w:t>
            </w:r>
          </w:p>
        </w:tc>
      </w:tr>
    </w:tbl>
    <w:p>
      <w:pPr>
        <w:pStyle w:val="TextBody"/>
        <w:bidi w:val="0"/>
        <w:spacing w:before="0" w:after="240"/>
        <w:ind w:left="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 summary of the nonvested restricted stock awards granted under the LTSIP is as follows:</w:t>
      </w:r>
    </w:p>
    <w:p>
      <w:pPr>
        <w:pStyle w:val="TextBody"/>
        <w:bidi w:val="0"/>
        <w:spacing w:before="0" w:after="0"/>
        <w:ind w:left="0" w:right="0" w:hanging="0"/>
        <w:jc w:val="left"/>
        <w:rPr/>
      </w:pPr>
      <w:r>
        <w:rPr/>
        <w:t>​</w:t>
      </w:r>
    </w:p>
    <w:tbl>
      <w:tblPr>
        <w:tblW w:w="8434" w:type="dxa"/>
        <w:jc w:val="left"/>
        <w:tblInd w:w="0" w:type="dxa"/>
        <w:tblLayout w:type="fixed"/>
        <w:tblCellMar>
          <w:top w:w="0" w:type="dxa"/>
          <w:left w:w="0" w:type="dxa"/>
          <w:bottom w:w="0" w:type="dxa"/>
          <w:right w:w="0" w:type="dxa"/>
        </w:tblCellMar>
      </w:tblPr>
      <w:tblGrid>
        <w:gridCol w:w="2806"/>
        <w:gridCol w:w="326"/>
        <w:gridCol w:w="931"/>
        <w:gridCol w:w="326"/>
        <w:gridCol w:w="342"/>
        <w:gridCol w:w="934"/>
        <w:gridCol w:w="326"/>
        <w:gridCol w:w="355"/>
        <w:gridCol w:w="786"/>
        <w:gridCol w:w="326"/>
        <w:gridCol w:w="97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781810" cy="175260"/>
                      <wp:effectExtent l="0" t="0" r="0" b="0"/>
                      <wp:wrapNone/>
                      <wp:docPr id="529" name="Frame529"/>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91185" cy="175260"/>
                      <wp:effectExtent l="0" t="0" r="0" b="0"/>
                      <wp:wrapNone/>
                      <wp:docPr id="531" name="Frame5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7170" cy="175260"/>
                      <wp:effectExtent l="0" t="0" r="0" b="0"/>
                      <wp:wrapNone/>
                      <wp:docPr id="533" name="Frame53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93090" cy="175260"/>
                      <wp:effectExtent l="0" t="0" r="0" b="0"/>
                      <wp:wrapNone/>
                      <wp:docPr id="534" name="Frame534"/>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25425" cy="175260"/>
                      <wp:effectExtent l="0" t="0" r="0" b="0"/>
                      <wp:wrapNone/>
                      <wp:docPr id="536" name="Frame53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9110" cy="175260"/>
                      <wp:effectExtent l="0" t="0" r="0" b="0"/>
                      <wp:wrapNone/>
                      <wp:docPr id="537" name="Frame53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19760" cy="175260"/>
                      <wp:effectExtent l="0" t="0" r="0" b="0"/>
                      <wp:wrapNone/>
                      <wp:docPr id="539" name="Frame53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42"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55"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42"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to</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26" w:type="dxa"/>
            <w:tcBorders/>
            <w:vAlign w:val="center"/>
          </w:tcPr>
          <w:p>
            <w:pPr>
              <w:pStyle w:val="TableContents"/>
              <w:bidi w:val="0"/>
              <w:spacing w:before="0" w:after="0"/>
              <w:ind w:left="0" w:right="0" w:hanging="0"/>
              <w:jc w:val="center"/>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w:t>
            </w:r>
          </w:p>
        </w:tc>
      </w:tr>
      <w:tr>
        <w:trPr/>
        <w:tc>
          <w:tcPr>
            <w:tcW w:w="280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114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26, 2020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1,363,794</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326" w:type="dxa"/>
            <w:tcBorders/>
            <w:shd w:fill="CCEEFF" w:val="clear"/>
            <w:vAlign w:val="center"/>
          </w:tcPr>
          <w:p>
            <w:pPr>
              <w:pStyle w:val="TableContents"/>
              <w:bidi w:val="0"/>
              <w:spacing w:before="0" w:after="0"/>
              <w:ind w:left="0" w:right="0" w:hanging="0"/>
              <w:jc w:val="left"/>
              <w:rPr/>
            </w:pPr>
            <w:r>
              <w:rPr/>
              <w:t> </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0.62 years</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560,516</w:t>
            </w:r>
          </w:p>
        </w:tc>
        <w:tc>
          <w:tcPr>
            <w:tcW w:w="32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60.24</w:t>
            </w:r>
          </w:p>
        </w:tc>
        <w:tc>
          <w:tcPr>
            <w:tcW w:w="32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(274,271)</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 </w:t>
            </w:r>
          </w:p>
        </w:tc>
        <w:tc>
          <w:tcPr>
            <w:tcW w:w="355"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(23,007)</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42"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5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25, 2021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1,627,032</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w:t>
            </w:r>
          </w:p>
        </w:tc>
        <w:tc>
          <w:tcPr>
            <w:tcW w:w="326" w:type="dxa"/>
            <w:tcBorders/>
            <w:shd w:fill="CCEEFF" w:val="clear"/>
            <w:vAlign w:val="center"/>
          </w:tcPr>
          <w:p>
            <w:pPr>
              <w:pStyle w:val="TableContents"/>
              <w:bidi w:val="0"/>
              <w:spacing w:before="0" w:after="0"/>
              <w:ind w:left="0" w:right="0" w:hanging="0"/>
              <w:jc w:val="left"/>
              <w:rPr/>
            </w:pPr>
            <w:r>
              <w:rPr/>
              <w:t> </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0.43 years</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815,874</w:t>
            </w:r>
          </w:p>
        </w:tc>
        <w:tc>
          <w:tcPr>
            <w:tcW w:w="32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79.97</w:t>
            </w:r>
          </w:p>
        </w:tc>
        <w:tc>
          <w:tcPr>
            <w:tcW w:w="32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(286,661)</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w:t>
            </w:r>
          </w:p>
        </w:tc>
        <w:tc>
          <w:tcPr>
            <w:tcW w:w="326" w:type="dxa"/>
            <w:tcBorders/>
            <w:shd w:fill="CCEEFF" w:val="clear"/>
            <w:vAlign w:val="center"/>
          </w:tcPr>
          <w:p>
            <w:pPr>
              <w:pStyle w:val="TableContents"/>
              <w:bidi w:val="0"/>
              <w:spacing w:before="0" w:after="0"/>
              <w:ind w:left="0" w:right="0" w:hanging="0"/>
              <w:jc w:val="left"/>
              <w:rPr/>
            </w:pPr>
            <w:r>
              <w:rPr/>
              <w:t> </w:t>
            </w:r>
          </w:p>
        </w:tc>
        <w:tc>
          <w:tcPr>
            <w:tcW w:w="355"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(17,990)</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42"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54.07</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5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2,138,255</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3.74 years</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830,346</w:t>
            </w:r>
          </w:p>
        </w:tc>
        <w:tc>
          <w:tcPr>
            <w:tcW w:w="32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w:t>
            </w:r>
          </w:p>
        </w:tc>
        <w:tc>
          <w:tcPr>
            <w:tcW w:w="32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(233,763)</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c>
          <w:tcPr>
            <w:tcW w:w="326" w:type="dxa"/>
            <w:tcBorders/>
            <w:shd w:fill="CCEEFF" w:val="clear"/>
            <w:vAlign w:val="center"/>
          </w:tcPr>
          <w:p>
            <w:pPr>
              <w:pStyle w:val="TableContents"/>
              <w:bidi w:val="0"/>
              <w:spacing w:before="0" w:after="0"/>
              <w:ind w:left="0" w:right="0" w:hanging="0"/>
              <w:jc w:val="left"/>
              <w:rPr/>
            </w:pPr>
            <w:r>
              <w:rPr/>
              <w:t> </w:t>
            </w:r>
          </w:p>
        </w:tc>
        <w:tc>
          <w:tcPr>
            <w:tcW w:w="355"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42"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3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63.54</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55"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2,720,837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3.68 years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Stock Purchase Plan and LTSIP, we recognized share-based compensation expense of $34.9 million, $28.2 million, and $11.2 million and the related total income tax benefits of $8.2 million, $6.9 million, and $2.7 million in 2023, 2022 and 2021,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year-ended December 30, 2023, we determined that $28.9 million of share-based bonus awards, representing 254,746 shares, will be awarded to qualified employees as it relates to the Company’s 2023 performance and granted in 2024 under the LTSIP. Awards granted generally vest after a period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or eight years from the grant date. In addition to the share-based bonus awards, certain employees are eligible to receive performance units equivalent to $1.2 million, or 10,893 shares of stock, if certain performance metrics are achieved after three years. As of December 30, 2023 and December 31, 2022, we recognized approximately $5.0 million and $13.8 million, respectively, of compensation expense related to share-based bonus awards and performance units for each of those respective performance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590" w:name="_Hlk128470341"/>
      <w:bookmarkEnd w:id="1590"/>
      <w:r>
        <w:rPr>
          <w:rFonts w:ascii="Times New Roman;Times;serif" w:hAnsi="Times New Roman;Times;serif"/>
          <w:sz w:val="20"/>
        </w:rPr>
        <w:t>We have a Sales Incentive Plan for certain eligible employees. Under this plan, sales incentives are determined and calculated using a formula-based approach and estimated monthly based on specific performance metrics. This Plan places a cap on cash payments with the remaining earned incentive being settled in share-based awards. For the year-ended December 30, 2023, we determined that $5.9 million of share-based sales incentive awards, representing 51,802 shares, will be awarded to qualified employees based on the 2023 performance year and granted in 2024. These awards will vest after a period of five years from the grant date. As of December 30, 2023 and December 31, 2022, we recognized approximately $1.0 million and $0.9 million of compensation expense related to share-based sales incentive awards for each of those respective performance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2023, 2022 and 2021, cash received from share issuances under our plans was $2.7 million, $2.8 million and $2.1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2023, we repurchased 974,869 shares of our common stock at an average share price of $84.27. During 2022, we repurchased approximately 1,246,616 shares of our common stock at an average share price of $76.83. Effective July 26, 2023, our board authorized the repurchase of up to $200 million worth of shares of outstanding stock through July 31, 2024. This share authorization supersedes and replaces our prior share repurchase authorizations. We currently have remaining authorization to repurchase up to $173 million through July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RETIREMENT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profit sharing and 401(k) plan for the benefit of substantially all of our employees, excluding the employees of certain wholly-owned subsidiaries. Amounts contributed to the plan are made at the discretion of the Board of Directors. We matched 25% of employee contributions in 2023, 2022, and 2021, on a discretionary basis, totaling $8.8 million, $11.7 million, and $9.2 million respectively. Included within the total employee matched contribution was an additional matched contribution for hourly employees of $1.8 million, $4.6 million and $3.7 million for 2023, 2022 and 2021, respectively, based on meeting certain performance goals during those years. The basis for matching contributions may not exceed the lesser of 6% of the employee’s annual compensation or the IRS limitation.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a retirement plan for certain officers of the Company (who have at least 20 years of service with the Company and at least 10 years of service as an officer) whereby we will pay, upon retirement, certain benefits including health care benefits, for a specified period of time if certain eligibility requirements are met. Approximately $15.5 million and $14.8 million are accrued in “Other Liabilities” for this plan on December 30, 2023 and December 31, 2022, respectively.</w:t>
      </w:r>
    </w:p>
    <w:p>
      <w:pPr>
        <w:pStyle w:val="TextBody"/>
        <w:bidi w:val="0"/>
        <w:spacing w:before="0" w:after="240"/>
        <w:ind w:left="0" w:right="0" w:hanging="0"/>
        <w:jc w:val="left"/>
        <w:rPr>
          <w:rFonts w:ascii="Times New Roman;Times;serif" w:hAnsi="Times New Roman;Times;serif"/>
          <w:b/>
          <w:sz w:val="20"/>
        </w:rPr>
      </w:pPr>
      <w:bookmarkStart w:id="1591" w:name="Tc_zpvmMw4bf0qZ1VIdqDvW-w_12_8"/>
      <w:bookmarkStart w:id="1592" w:name="Tc_ztAdbW0ykUaUYe_gFbrLxQ_12_5"/>
      <w:bookmarkStart w:id="1593" w:name="Tc_gm_kRhnVX0S7ehdB9yO_uQ_12_2"/>
      <w:bookmarkStart w:id="1594" w:name="Tc_GAsYXfTRQkCouffMqMwqNg_12_0"/>
      <w:bookmarkStart w:id="1595" w:name="Tc_MvznfNxoEESItURm0q9-_w_10_0"/>
      <w:bookmarkStart w:id="1596" w:name="Tc_RDUQtVDH8kCNtrvcwlLz8A_9_0"/>
      <w:bookmarkStart w:id="1597" w:name="Tc_9PPuqFhlM0KxLDvi7p0Bzg_8_0"/>
      <w:bookmarkStart w:id="1598" w:name="Tc_53gyZP5Cs0mF_pdl2T9bFg_7_0"/>
      <w:bookmarkStart w:id="1599" w:name="Tc_8PpeTL91LUGInhxT_sOqgA_5_0"/>
      <w:bookmarkStart w:id="1600" w:name="Tc_EZld2xAaLUq33hVz81ObWA_4_0"/>
      <w:bookmarkStart w:id="1601" w:name="Tc_gRMw_33JSkGJJrNl2vHG-Q_3_8"/>
      <w:bookmarkStart w:id="1602" w:name="Tc_LXSQ9YxeP0yeC2IHhPQkRA_3_5"/>
      <w:bookmarkStart w:id="1603" w:name="Tc_W--dLRKUikib_WHpzzumAw_3_2"/>
      <w:bookmarkStart w:id="1604" w:name="Tc_jKo9ZuEkqUa_H2sYDJzBPA_3_0"/>
      <w:bookmarkStart w:id="1605" w:name="Tc_KwCM1zaoPUKppasKJ5bXnA_2_0"/>
      <w:bookmarkStart w:id="1606" w:name="Tc_30_jqPDo6U69FQJc-JYtAw_1_8"/>
      <w:bookmarkStart w:id="1607" w:name="Tc_mC6iMY6p_ki03b14cXy38g_1_5"/>
      <w:bookmarkStart w:id="1608" w:name="Tc_GerVlKvDIEyNCfZGgLvdAg_1_2"/>
      <w:bookmarkStart w:id="1609" w:name="_d5c5059e_de84_4866_8e6d_56644e80dd1a"/>
      <w:bookmarkStart w:id="1610" w:name="_Hlk30844919"/>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r>
        <w:rPr>
          <w:rFonts w:ascii="Times New Roman;Times;serif" w:hAnsi="Times New Roman;Times;serif"/>
          <w:b/>
          <w:i w:val="false"/>
          <w:caps w:val="false"/>
          <w:smallCaps w:val="false"/>
          <w:sz w:val="20"/>
        </w:rPr>
        <w:t>J.</w:t>
      </w:r>
      <w:r>
        <w:rPr>
          <w:rFonts w:ascii="Times New Roman;Times;serif" w:hAnsi="Times New Roman;Times;serif"/>
          <w:b/>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provisions for the years ended December 30, 2023, December 31, 2022, and December 25, 2021 are summarized as follows (in thousands):</w:t>
      </w:r>
    </w:p>
    <w:tbl>
      <w:tblPr>
        <w:tblW w:w="6100" w:type="dxa"/>
        <w:jc w:val="left"/>
        <w:tblInd w:w="0" w:type="dxa"/>
        <w:tblLayout w:type="fixed"/>
        <w:tblCellMar>
          <w:top w:w="0" w:type="dxa"/>
          <w:left w:w="0" w:type="dxa"/>
          <w:bottom w:w="0" w:type="dxa"/>
          <w:right w:w="0" w:type="dxa"/>
        </w:tblCellMar>
      </w:tblPr>
      <w:tblGrid>
        <w:gridCol w:w="2206"/>
        <w:gridCol w:w="326"/>
        <w:gridCol w:w="211"/>
        <w:gridCol w:w="781"/>
        <w:gridCol w:w="146"/>
        <w:gridCol w:w="211"/>
        <w:gridCol w:w="796"/>
        <w:gridCol w:w="326"/>
        <w:gridCol w:w="211"/>
        <w:gridCol w:w="8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400810" cy="175260"/>
                      <wp:effectExtent l="0" t="0" r="0" b="0"/>
                      <wp:wrapNone/>
                      <wp:docPr id="540" name="Frame540"/>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33985" cy="175260"/>
                      <wp:effectExtent l="0" t="0" r="0" b="0"/>
                      <wp:wrapNone/>
                      <wp:docPr id="542" name="Frame5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95935" cy="175260"/>
                      <wp:effectExtent l="0" t="0" r="0" b="0"/>
                      <wp:wrapNone/>
                      <wp:docPr id="543" name="Frame5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92710" cy="175260"/>
                      <wp:effectExtent l="0" t="0" r="0" b="0"/>
                      <wp:wrapNone/>
                      <wp:docPr id="544" name="Frame5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5" name="Frame5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05460" cy="175260"/>
                      <wp:effectExtent l="0" t="0" r="0" b="0"/>
                      <wp:wrapNone/>
                      <wp:docPr id="546" name="Frame5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8" name="Frame5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62610" cy="175260"/>
                      <wp:effectExtent l="0" t="0" r="0" b="0"/>
                      <wp:wrapNone/>
                      <wp:docPr id="549" name="Frame5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Currently Payable: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  </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123,257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115,077</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28,580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30,441</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10,808</w:t>
            </w:r>
          </w:p>
        </w:tc>
        <w:tc>
          <w:tcPr>
            <w:tcW w:w="14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17,336</w:t>
            </w:r>
          </w:p>
        </w:tc>
        <w:tc>
          <w:tcPr>
            <w:tcW w:w="32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21,095</w:t>
            </w:r>
          </w:p>
        </w:tc>
      </w:tr>
      <w:tr>
        <w:trPr/>
        <w:tc>
          <w:tcPr>
            <w:tcW w:w="2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162,645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243,011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166,613</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6,242</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1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22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(5,861)</w:t>
            </w:r>
          </w:p>
        </w:tc>
        <w:tc>
          <w:tcPr>
            <w:tcW w:w="14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(13,159)</w:t>
            </w:r>
          </w:p>
        </w:tc>
        <w:tc>
          <w:tcPr>
            <w:tcW w:w="32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7,359</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156,784</w:t>
            </w:r>
          </w:p>
        </w:tc>
        <w:tc>
          <w:tcPr>
            <w:tcW w:w="1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229,852</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173,972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611" w:name="Tc_sT-Fq-gzeUmxTiC3Qy3rpg_19_5"/>
      <w:bookmarkStart w:id="1612" w:name="Tc_-sT5pbl0xEy-HOlLMd807A_19_2"/>
      <w:bookmarkStart w:id="1613" w:name="Tc_rP9bTuM97UaT7r910h3hog_19_0"/>
      <w:bookmarkStart w:id="1614" w:name="Tc_qw3z8M7m40auYzFIZR0gjQ_18_0"/>
      <w:bookmarkStart w:id="1615" w:name="Tc_OLzA5RYSLEaKxgVlYiBKaQ_17_0"/>
      <w:bookmarkStart w:id="1616" w:name="Tc_r4MSM2iPYk2BQg3iwLm6Cw_16_0"/>
      <w:bookmarkStart w:id="1617" w:name="Tc_NyHg_vvO2E6fmJ5w1vMkMg_15_0"/>
      <w:bookmarkStart w:id="1618" w:name="Tc_XogUqgT0KUCTVAy4wOf3TA_14_0"/>
      <w:bookmarkStart w:id="1619" w:name="Tc_bx4IENCVwk679hS-LqG7ZQ_13_0"/>
      <w:bookmarkStart w:id="1620" w:name="Tc_JCqiETB2zEe7TS_ycnnX2Q_12_0"/>
      <w:bookmarkStart w:id="1621" w:name="Tc_6ZWx9KZxNkqYlq6e9SsUqg_11_0"/>
      <w:bookmarkStart w:id="1622" w:name="Tc_awem0PiZfUyw7WxMNE0XBQ_10_0"/>
      <w:bookmarkStart w:id="1623" w:name="Tc_Saxu831BCE6LNavPzkZ3UQ_9_0"/>
      <w:bookmarkStart w:id="1624" w:name="Tc_5KkT0H4kvUq4mzqJjUV1vQ_8_0"/>
      <w:bookmarkStart w:id="1625" w:name="Tc_JFB2cdsfDE6-x1mSZRBbjA_7_0"/>
      <w:bookmarkStart w:id="1626" w:name="Tc_vnn9mNpOw0WT2vx4b7_Rgg_6_0"/>
      <w:bookmarkStart w:id="1627" w:name="Tc_JejCsJu_rUSkjn1_Idqy4A_5_0"/>
      <w:bookmarkStart w:id="1628" w:name="Tc_tFFjVODGbEKrBz_0IuZftw_4_0"/>
      <w:bookmarkStart w:id="1629" w:name="Tc_VM3U5oojpUemlJeFXeGmgg_3_0"/>
      <w:bookmarkStart w:id="1630" w:name="Tc_68QQHj4Gek6GEF3OD07vsg_2_5"/>
      <w:bookmarkStart w:id="1631" w:name="Tc_umljNNv5xUy1p-pSHg2ZpQ_2_2"/>
      <w:bookmarkStart w:id="1632" w:name="Tc_Ykou4R2lQ02Kx7kcQn30EQ_2_0"/>
      <w:bookmarkStart w:id="1633" w:name="Tc_ls0Dlvf-KUuOJVBVL2vGsw_1_5"/>
      <w:bookmarkStart w:id="1634" w:name="Tc_JxUSaCQDB0-qHgg4l8Qh1w_1_2"/>
      <w:bookmarkStart w:id="1635" w:name="_a593b7de_18db_4c1d_9410_a8672aea4436"/>
      <w:bookmarkStart w:id="1636" w:name="Tc_4fSUlLGgEUe44wkWk7wgGw_8_7"/>
      <w:bookmarkStart w:id="1637" w:name="Tc_Q0lvrxZKLEOgM5H-XOOITw_8_5"/>
      <w:bookmarkStart w:id="1638" w:name="Tc_hoZwTuJ-Xk6mWKeaLaFm_Q_8_3"/>
      <w:bookmarkStart w:id="1639" w:name="Tc_aDTxULtwqEWLLdDihO21ew_8_0"/>
      <w:bookmarkStart w:id="1640" w:name="Tc_O-0Bgmcr5kipUpnI-BAvDw_7_0"/>
      <w:bookmarkStart w:id="1641" w:name="Tc_EzqCWEXmQkK7jihucqVDvg_6_0"/>
      <w:bookmarkStart w:id="1642" w:name="Tc_D_SFQkSxI0m0e17MQo8ldQ_5_0"/>
      <w:bookmarkStart w:id="1643" w:name="Tc_Ivx0RZ2cS0ir03X3bMhg8A_4_0"/>
      <w:bookmarkStart w:id="1644" w:name="Tc_2-ig8Kghzk-aD4rGQeLLcg_3_0"/>
      <w:bookmarkStart w:id="1645" w:name="Tc_HU1eyvSjB0iODvYlFO-uYA_2_7"/>
      <w:bookmarkStart w:id="1646" w:name="Tc_D0x_XN50Mk6pPLHUgqGTQg_2_5"/>
      <w:bookmarkStart w:id="1647" w:name="Tc_GcdHDuNLRk6tG0afgPiEIw_2_3"/>
      <w:bookmarkStart w:id="1648" w:name="Tc_a2Z0Cs7gKkKnLDJTtt_H0A_2_0"/>
      <w:bookmarkStart w:id="1649" w:name="Tc_uBGZbcRmsk6t5KuuMscqfQ_1_6"/>
      <w:bookmarkStart w:id="1650" w:name="Tc_1AH8ED8JzECYjnqPB4Cugw_1_4"/>
      <w:bookmarkStart w:id="1651" w:name="Tc_bGMrRgWy4kqOIs_zW_hEyA_1_2"/>
      <w:bookmarkStart w:id="1652" w:name="Tc_k1_8Y3y97UalTXU4O6dkWA_4_8"/>
      <w:bookmarkStart w:id="1653" w:name="Tc_ojEsoj-jCE-5DdCn33RP7w_4_5"/>
      <w:bookmarkStart w:id="1654" w:name="Tc_RrErOXkxiEajDXHb2e_yRw_4_2"/>
      <w:bookmarkStart w:id="1655" w:name="Tc_4__65VEv-0ajsDTtir-G9Q_4_0"/>
      <w:bookmarkStart w:id="1656" w:name="Tc_0WT21VjZAEaLCR6XKeo6qw_3_0"/>
      <w:bookmarkStart w:id="1657" w:name="Tc_reXcgrppbEacI-9JisD0ow_2_8"/>
      <w:bookmarkStart w:id="1658" w:name="Tc_9LVsyELvGUCGP8jugHf8Lg_2_5"/>
      <w:bookmarkStart w:id="1659" w:name="Tc_HxY7hIXwn0eOdIOfpmlgDg_2_2"/>
      <w:bookmarkStart w:id="1660" w:name="Tc_YaPcHORkZUydkgdmqYmROw_2_0"/>
      <w:bookmarkStart w:id="1661" w:name="Tc_79Nsh1PMrUmjXsPZo8twnw_1_8"/>
      <w:bookmarkStart w:id="1662" w:name="Tc_IXMwgWdEvU2vmDBJxhI3gw_1_5"/>
      <w:bookmarkStart w:id="1663" w:name="Tc__Pbd2lhmz0uUaa4MGL7PTQ_1_2"/>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r>
        <w:rPr>
          <w:rFonts w:ascii="Times New Roman;Times;serif" w:hAnsi="Times New Roman;Times;serif"/>
          <w:sz w:val="20"/>
        </w:rPr>
        <w:t>The components of earnings before income taxes consist of the following:</w:t>
      </w:r>
    </w:p>
    <w:p>
      <w:pPr>
        <w:pStyle w:val="TextBody"/>
        <w:bidi w:val="0"/>
        <w:spacing w:before="0" w:after="0"/>
        <w:ind w:left="0" w:right="0" w:hanging="0"/>
        <w:jc w:val="left"/>
        <w:rPr/>
      </w:pPr>
      <w:r>
        <w:rPr/>
        <w:t>​</w:t>
      </w:r>
    </w:p>
    <w:tbl>
      <w:tblPr>
        <w:tblW w:w="4810" w:type="dxa"/>
        <w:jc w:val="left"/>
        <w:tblInd w:w="0" w:type="dxa"/>
        <w:tblLayout w:type="fixed"/>
        <w:tblCellMar>
          <w:top w:w="0" w:type="dxa"/>
          <w:left w:w="0" w:type="dxa"/>
          <w:bottom w:w="0" w:type="dxa"/>
          <w:right w:w="0" w:type="dxa"/>
        </w:tblCellMar>
      </w:tblPr>
      <w:tblGrid>
        <w:gridCol w:w="751"/>
        <w:gridCol w:w="326"/>
        <w:gridCol w:w="211"/>
        <w:gridCol w:w="781"/>
        <w:gridCol w:w="326"/>
        <w:gridCol w:w="211"/>
        <w:gridCol w:w="781"/>
        <w:gridCol w:w="326"/>
        <w:gridCol w:w="211"/>
        <w:gridCol w:w="88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76885" cy="175260"/>
                      <wp:effectExtent l="0" t="0" r="0" b="0"/>
                      <wp:wrapNone/>
                      <wp:docPr id="550" name="Frame55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2" name="Frame5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95935" cy="175260"/>
                      <wp:effectExtent l="0" t="0" r="0" b="0"/>
                      <wp:wrapNone/>
                      <wp:docPr id="553" name="Frame5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5" name="Frame5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95935" cy="175260"/>
                      <wp:effectExtent l="0" t="0" r="0" b="0"/>
                      <wp:wrapNone/>
                      <wp:docPr id="556" name="Frame5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7"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8" name="Frame5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562610" cy="175260"/>
                      <wp:effectExtent l="0" t="0" r="0" b="0"/>
                      <wp:wrapNone/>
                      <wp:docPr id="559" name="Frame5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633,816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645,316</w:t>
            </w:r>
          </w:p>
        </w:tc>
      </w:tr>
      <w:tr>
        <w:trPr/>
        <w:tc>
          <w:tcPr>
            <w:tcW w:w="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37,425</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58,745</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81,020</w:t>
            </w:r>
          </w:p>
        </w:tc>
      </w:tr>
      <w:tr>
        <w:trPr/>
        <w:tc>
          <w:tcPr>
            <w:tcW w:w="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671,241</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934,816</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726,336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effective income tax rates are different from the statutory federal income tax rates for the following reasons:</w:t>
      </w:r>
    </w:p>
    <w:p>
      <w:pPr>
        <w:pStyle w:val="TextBody"/>
        <w:bidi w:val="0"/>
        <w:spacing w:before="0" w:after="0"/>
        <w:ind w:left="0" w:right="0" w:hanging="0"/>
        <w:jc w:val="left"/>
        <w:rPr/>
      </w:pPr>
      <w:r>
        <w:rPr/>
        <w:t>​</w:t>
      </w:r>
    </w:p>
    <w:tbl>
      <w:tblPr>
        <w:tblW w:w="6558" w:type="dxa"/>
        <w:jc w:val="left"/>
        <w:tblInd w:w="0" w:type="dxa"/>
        <w:tblLayout w:type="fixed"/>
        <w:tblCellMar>
          <w:top w:w="0" w:type="dxa"/>
          <w:left w:w="0" w:type="dxa"/>
          <w:bottom w:w="0" w:type="dxa"/>
          <w:right w:w="0" w:type="dxa"/>
        </w:tblCellMar>
      </w:tblPr>
      <w:tblGrid>
        <w:gridCol w:w="3751"/>
        <w:gridCol w:w="326"/>
        <w:gridCol w:w="481"/>
        <w:gridCol w:w="361"/>
        <w:gridCol w:w="481"/>
        <w:gridCol w:w="361"/>
        <w:gridCol w:w="481"/>
        <w:gridCol w:w="31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381885" cy="175260"/>
                      <wp:effectExtent l="0" t="0" r="0" b="0"/>
                      <wp:wrapNone/>
                      <wp:docPr id="560" name="Frame560"/>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05435" cy="175260"/>
                      <wp:effectExtent l="0" t="0" r="0" b="0"/>
                      <wp:wrapNone/>
                      <wp:docPr id="562" name="Frame56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29235" cy="175260"/>
                      <wp:effectExtent l="0" t="0" r="0" b="0"/>
                      <wp:wrapNone/>
                      <wp:docPr id="563" name="Frame5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05435" cy="175260"/>
                      <wp:effectExtent l="0" t="0" r="0" b="0"/>
                      <wp:wrapNone/>
                      <wp:docPr id="564" name="Frame56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29235" cy="175260"/>
                      <wp:effectExtent l="0" t="0" r="0" b="0"/>
                      <wp:wrapNone/>
                      <wp:docPr id="565" name="Frame5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05435" cy="175260"/>
                      <wp:effectExtent l="0" t="0" r="0" b="0"/>
                      <wp:wrapNone/>
                      <wp:docPr id="566" name="Frame56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0660" cy="175260"/>
                      <wp:effectExtent l="0" t="0" r="0" b="0"/>
                      <wp:wrapNone/>
                      <wp:docPr id="567" name="Frame5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vAlign w:val="center"/>
          </w:tcPr>
          <w:p>
            <w:pPr>
              <w:pStyle w:val="TableContents"/>
              <w:bidi w:val="0"/>
              <w:spacing w:before="0" w:after="1"/>
              <w:ind w:left="0" w:right="0" w:hanging="0"/>
              <w:jc w:val="center"/>
              <w:rPr/>
            </w:pPr>
            <w:r>
              <w:rPr/>
              <w:t> </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federal income tax rate</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taxes (net of  federal benefits)</w:t>
            </w:r>
          </w:p>
        </w:tc>
        <w:tc>
          <w:tcPr>
            <w:tcW w:w="32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vAlign w:val="center"/>
          </w:tcPr>
          <w:p>
            <w:pPr>
              <w:pStyle w:val="TableContents"/>
              <w:bidi w:val="0"/>
              <w:spacing w:before="0" w:after="1"/>
              <w:ind w:left="0" w:right="0" w:hanging="0"/>
              <w:jc w:val="lef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 including foreign tax credit</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uncertain tax positions reserve</w:t>
            </w:r>
          </w:p>
        </w:tc>
        <w:tc>
          <w:tcPr>
            <w:tcW w:w="32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1"/>
              <w:ind w:left="0" w:right="0" w:hanging="0"/>
              <w:jc w:val="lef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permanent differences</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 </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vAlign w:val="center"/>
          </w:tcPr>
          <w:p>
            <w:pPr>
              <w:pStyle w:val="TableContents"/>
              <w:bidi w:val="0"/>
              <w:spacing w:before="0" w:after="1"/>
              <w:ind w:left="0" w:right="0" w:hanging="0"/>
              <w:jc w:val="lef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differences which give rise to deferred income tax assets and (liabilities) on December 30, 2023 and December 31, 2022 are as follows (in thousands):</w:t>
      </w:r>
    </w:p>
    <w:tbl>
      <w:tblPr>
        <w:tblW w:w="6597" w:type="dxa"/>
        <w:jc w:val="left"/>
        <w:tblInd w:w="0" w:type="dxa"/>
        <w:tblLayout w:type="fixed"/>
        <w:tblCellMar>
          <w:top w:w="0" w:type="dxa"/>
          <w:left w:w="0" w:type="dxa"/>
          <w:bottom w:w="0" w:type="dxa"/>
          <w:right w:w="0" w:type="dxa"/>
        </w:tblCellMar>
      </w:tblPr>
      <w:tblGrid>
        <w:gridCol w:w="3676"/>
        <w:gridCol w:w="326"/>
        <w:gridCol w:w="211"/>
        <w:gridCol w:w="901"/>
        <w:gridCol w:w="326"/>
        <w:gridCol w:w="211"/>
        <w:gridCol w:w="94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334260" cy="175260"/>
                      <wp:effectExtent l="0" t="0" r="0" b="0"/>
                      <wp:wrapNone/>
                      <wp:docPr id="568" name="Frame568"/>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69"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0" name="Frame5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72135" cy="175260"/>
                      <wp:effectExtent l="0" t="0" r="0" b="0"/>
                      <wp:wrapNone/>
                      <wp:docPr id="571" name="Frame57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2"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3" name="Frame5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00710" cy="175260"/>
                      <wp:effectExtent l="0" t="0" r="0" b="0"/>
                      <wp:wrapNone/>
                      <wp:docPr id="574" name="Frame57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37,893</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28,746</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6,891</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subsidiary capital loss carryforward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3,732</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Reserves on receivables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6,791</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research and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28,021</w:t>
            </w:r>
          </w:p>
        </w:tc>
        <w:tc>
          <w:tcPr>
            <w:tcW w:w="32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11,080</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deferred income tax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99,008</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(6,014)</w:t>
            </w:r>
          </w:p>
        </w:tc>
        <w:tc>
          <w:tcPr>
            <w:tcW w:w="32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(4,618)</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94,390</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(69,711)</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(43,643)</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(27,849)</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(153,426)</w:t>
            </w:r>
          </w:p>
        </w:tc>
        <w:tc>
          <w:tcPr>
            <w:tcW w:w="32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(141,905)</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income tax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(41,020)</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(47,515)</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664" w:name="Tc_xE8_raoAoEG_dDbHxcWA3w_8_14"/>
      <w:bookmarkStart w:id="1665" w:name="Tc_gm37jBxFtUGmh4E3mf4g7A_8_12"/>
      <w:bookmarkStart w:id="1666" w:name="Tc_uNk5ukDidkuEhksMgAeS4A_8_11"/>
      <w:bookmarkStart w:id="1667" w:name="Tc_YudjSWAJI0KRpWy02_neag_8_8"/>
      <w:bookmarkStart w:id="1668" w:name="Tc_-4Vp9ViMyEKr3KXLp1r0aA_8_5"/>
      <w:bookmarkStart w:id="1669" w:name="Tc_iII04myN9U62ybz0aVAGjQ_8_2"/>
      <w:bookmarkStart w:id="1670" w:name="Tc_w7dZHMt3R0CjsPMG2d3U5A_8_0"/>
      <w:bookmarkStart w:id="1671" w:name="Tc_A6kutoKhB0aByH24_OAsHg_7_15"/>
      <w:bookmarkStart w:id="1672" w:name="Tc_rwqpP1OZq0G7M-S-fKHa_g_7_12"/>
      <w:bookmarkStart w:id="1673" w:name="Tc_mZECYAIRNEqRyCkxwEEs9Q_7_6"/>
      <w:bookmarkStart w:id="1674" w:name="Tc_b_czcKqPvESCvp-oLIs0XA_7_3"/>
      <w:bookmarkStart w:id="1675" w:name="Tc_AOMyAGpe_Eas724HRFRoqw_7_0"/>
      <w:bookmarkStart w:id="1676" w:name="Tc_-y8Bns-1fU-3VdzgSK7Qug_6_15"/>
      <w:bookmarkStart w:id="1677" w:name="Tc_O8iOXQE3ZkedI1U9uVg-zw_6_12"/>
      <w:bookmarkStart w:id="1678" w:name="Tc_muFT_c7v2kevtiMErdNigA_6_9"/>
      <w:bookmarkStart w:id="1679" w:name="Tc_xBN3bX7AJUqE4ZheObAlhw_6_0"/>
      <w:bookmarkStart w:id="1680" w:name="Tc_E7AFY0Snj0a8UTlFOkDybg_5_12"/>
      <w:bookmarkStart w:id="1681" w:name="Tc_mBcy40jQh02zrGbEkO5PZA_5_3"/>
      <w:bookmarkStart w:id="1682" w:name="Tc_PuztJhdmhkCFL0PPAdBPPg_5_0"/>
      <w:bookmarkStart w:id="1683" w:name="Tc_wASqwnUwsE2AYi2EvL7tbw_4_15"/>
      <w:bookmarkStart w:id="1684" w:name="Tc_gRNSznQMoEqnlVtf5g1iFw_4_12"/>
      <w:bookmarkStart w:id="1685" w:name="Tc_tkD4ka60YE-_IkMedpUKog_4_3"/>
      <w:bookmarkStart w:id="1686" w:name="Tc_Pf2Jq8P2AEeJ--O63diSkg_4_0"/>
      <w:bookmarkStart w:id="1687" w:name="Tc_xAhSj0VdJEq4v9eAvjTkQQ_3_15"/>
      <w:bookmarkStart w:id="1688" w:name="Tc_0LR5d9TaqkaDtLOO_jLVhA_3_14"/>
      <w:bookmarkStart w:id="1689" w:name="Tc_c5Q0d7sct0-BVc8b3rLzbw_3_12"/>
      <w:bookmarkStart w:id="1690" w:name="Tc_QNmucbJ1LUqkFEUss8cRXQ_3_11"/>
      <w:bookmarkStart w:id="1691" w:name="Tc_cRcYYkqUdEGnB4X2ncFV5w_3_8"/>
      <w:bookmarkStart w:id="1692" w:name="Tc_VYCE33E5EkKZ6qXaXJZwHg_3_5"/>
      <w:bookmarkStart w:id="1693" w:name="Tc_GpWyuCeCik67DXwqxK2kXQ_3_3"/>
      <w:bookmarkStart w:id="1694" w:name="Tc_LRvDoYDuuECpBqQ4238mPA_3_2"/>
      <w:bookmarkStart w:id="1695" w:name="Tc_an-fzLzgNkyl5LifRq6-YQ_3_0"/>
      <w:bookmarkStart w:id="1696" w:name="Tc_NeY5FTfETEGZm8XnTkYpiw_2_14"/>
      <w:bookmarkStart w:id="1697" w:name="Tc_PV9EEocemEGD4LbSBihDaQ_2_11"/>
      <w:bookmarkStart w:id="1698" w:name="Tc_vu11g21DZka4FZDeGh41hg_2_8"/>
      <w:bookmarkStart w:id="1699" w:name="Tc_GNAKhJx830ihLx8wRsJgTw_2_5"/>
      <w:bookmarkStart w:id="1700" w:name="Tc_CGt5MzRejkuNgfezYTzakQ_2_2"/>
      <w:bookmarkStart w:id="1701" w:name="Tc_DewUHdSl-0yoa0N67l_w3w_1_11"/>
      <w:bookmarkStart w:id="1702" w:name="Tc_TImL2k6cvUCb_v56Z0UEbQ_1_2"/>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r>
        <w:rPr>
          <w:rFonts w:ascii="Times New Roman;Times;serif" w:hAnsi="Times New Roman;Times;serif"/>
          <w:sz w:val="20"/>
        </w:rPr>
        <w:t xml:space="preserve">As of December 30, 2023, we had federal, state and foreign net operating loss carryforwards of $7.9 million and state tax credit carryforwards of $0.1 million, which will expire at various dates.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NOL and credit carryforwards expire as follows:</w:t>
      </w:r>
    </w:p>
    <w:p>
      <w:pPr>
        <w:pStyle w:val="TextBody"/>
        <w:bidi w:val="0"/>
        <w:spacing w:before="0" w:after="0"/>
        <w:ind w:left="0" w:right="0" w:hanging="0"/>
        <w:jc w:val="left"/>
        <w:rPr/>
      </w:pPr>
      <w:r>
        <w:rPr/>
        <w:t>​</w:t>
      </w:r>
    </w:p>
    <w:tbl>
      <w:tblPr>
        <w:tblW w:w="6126" w:type="dxa"/>
        <w:jc w:val="left"/>
        <w:tblInd w:w="0" w:type="dxa"/>
        <w:tblLayout w:type="fixed"/>
        <w:tblCellMar>
          <w:top w:w="0" w:type="dxa"/>
          <w:left w:w="0" w:type="dxa"/>
          <w:bottom w:w="0" w:type="dxa"/>
          <w:right w:w="0" w:type="dxa"/>
        </w:tblCellMar>
      </w:tblPr>
      <w:tblGrid>
        <w:gridCol w:w="1111"/>
        <w:gridCol w:w="326"/>
        <w:gridCol w:w="211"/>
        <w:gridCol w:w="421"/>
        <w:gridCol w:w="326"/>
        <w:gridCol w:w="211"/>
        <w:gridCol w:w="571"/>
        <w:gridCol w:w="326"/>
        <w:gridCol w:w="211"/>
        <w:gridCol w:w="571"/>
        <w:gridCol w:w="326"/>
        <w:gridCol w:w="211"/>
        <w:gridCol w:w="346"/>
        <w:gridCol w:w="326"/>
        <w:gridCol w:w="211"/>
        <w:gridCol w:w="421"/>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05485" cy="175260"/>
                      <wp:effectExtent l="0" t="0" r="0" b="0"/>
                      <wp:wrapNone/>
                      <wp:docPr id="575" name="Frame57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6" name="Frame5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67335" cy="175260"/>
                      <wp:effectExtent l="0" t="0" r="0" b="0"/>
                      <wp:wrapNone/>
                      <wp:docPr id="578" name="Frame57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9"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0"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362585" cy="175260"/>
                      <wp:effectExtent l="0" t="0" r="0" b="0"/>
                      <wp:wrapNone/>
                      <wp:docPr id="581" name="Frame5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2"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260"/>
                      <wp:effectExtent l="0" t="0" r="0" b="0"/>
                      <wp:wrapNone/>
                      <wp:docPr id="583" name="Frame5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362585" cy="175260"/>
                      <wp:effectExtent l="0" t="0" r="0" b="0"/>
                      <wp:wrapNone/>
                      <wp:docPr id="584" name="Frame5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5"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86" name="Frame5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8" name="Frame5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89" name="Frame5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67335" cy="175260"/>
                      <wp:effectExtent l="0" t="0" r="0" b="0"/>
                      <wp:wrapNone/>
                      <wp:docPr id="590" name="Frame5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Operating Losses</w:t>
            </w:r>
          </w:p>
        </w:tc>
        <w:tc>
          <w:tcPr>
            <w:tcW w:w="326" w:type="dxa"/>
            <w:tcBorders/>
            <w:vAlign w:val="center"/>
          </w:tcPr>
          <w:p>
            <w:pPr>
              <w:pStyle w:val="TableContents"/>
              <w:bidi w:val="0"/>
              <w:spacing w:before="0" w:after="0"/>
              <w:ind w:left="0" w:right="0" w:hanging="0"/>
              <w:jc w:val="left"/>
              <w:rPr/>
            </w:pPr>
            <w:r>
              <w:rPr/>
              <w:t>​</w:t>
            </w:r>
          </w:p>
        </w:tc>
        <w:tc>
          <w:tcPr>
            <w:tcW w:w="15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Credits</w:t>
            </w:r>
          </w:p>
        </w:tc>
      </w:tr>
      <w:tr>
        <w:trPr/>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6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w:t>
            </w:r>
          </w:p>
        </w:tc>
      </w:tr>
      <w:tr>
        <w:trPr/>
        <w:tc>
          <w:tcPr>
            <w:tcW w:w="1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2024 - 2028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2029 - 2033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2034 - 2038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2039 - 2043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30, 2023, we believe that it is more likely than not that the benefit from certain state and foreign NOL carryforwards will not be realized. In recognition of this risk, we have provided a valuation allowance of $5.5 million against the various NOLs.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Organization of Economic Cooperation and Development (“OECD”) reached an agreement among various countries to implement a minimum 15% tax rate on certain multinational enterprises, commonly referred to as Pillar Two. Many countries continue to announce changes in their tax laws, many of them effective for tax years beginning Jan 1, 2024. We continue to analyze the impacts of these legislative changes to our effective tax rate, consolidated financial statements, and related disclosures. As of Dec 30, 2023, we do not expect the impact of Pillar Two legislation to have a material impact on our tax expense.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03" w:name="Tc_TvNDRqqj3k2PIBtZjjodyg_6_8"/>
      <w:bookmarkStart w:id="1704" w:name="Tc_swvfXFVmMUiul2sZR0kr1g_6_5"/>
      <w:bookmarkStart w:id="1705" w:name="Tc_w3hAcUK9CUOd3s5WUF42ZA_6_2"/>
      <w:bookmarkStart w:id="1706" w:name="Tc_-4KfI_KZOkKddpvxk0JdXQ_6_0"/>
      <w:bookmarkStart w:id="1707" w:name="Tc_NzHSVFCrfUeo9jdJ8s1EYQ_5_0"/>
      <w:bookmarkStart w:id="1708" w:name="Tc_O_HSpWtKfkOGj0tUfFLcFw_4_0"/>
      <w:bookmarkStart w:id="1709" w:name="Tc_WCqPdP4QrUWaZkLd85vZ8A_3_0"/>
      <w:bookmarkStart w:id="1710" w:name="Tc_uu-VKPPif0GcF0i2Tp2Fbg_2_8"/>
      <w:bookmarkStart w:id="1711" w:name="Tc_cED-sQIVskKyGHL6kUMEOw_2_5"/>
      <w:bookmarkStart w:id="1712" w:name="Tc_Gw9Xc19apkyfq31-4wblRg_2_2"/>
      <w:bookmarkStart w:id="1713" w:name="Tc_W_Vnfoj3VECsfWx2UkrdPg_2_0"/>
      <w:bookmarkStart w:id="1714" w:name="Tc_mFM0VGlhJ0CVZn5lhzRxgQ_1_8"/>
      <w:bookmarkStart w:id="1715" w:name="Tc_zZTt3Kw_IkGMJ8h_ELetKg_1_5"/>
      <w:bookmarkStart w:id="1716" w:name="Tc_K6GMlRVvI0-dL92Swds6mA_1_2"/>
      <w:bookmarkStart w:id="1717" w:name="_84c947fa_25e3_4398_9334_fe6e8f7a9c4f"/>
      <w:bookmarkStart w:id="1718" w:name="_Hlk30845087"/>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r>
        <w:rPr>
          <w:rFonts w:ascii="Times New Roman;Times;serif" w:hAnsi="Times New Roman;Times;serif"/>
          <w:b/>
          <w:i w:val="false"/>
          <w:caps w:val="false"/>
          <w:smallCaps w:val="false"/>
          <w:sz w:val="20"/>
        </w:rPr>
        <w:t>K.</w:t>
      </w:r>
      <w:r>
        <w:rPr>
          <w:rFonts w:ascii="Times New Roman;Times;serif" w:hAnsi="Times New Roman;Times;serif"/>
          <w:b/>
          <w:sz w:val="20"/>
        </w:rPr>
        <w:t>ACCOUNTING FOR UNCERTAINTY IN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ASC 740, </w:t>
      </w:r>
      <w:r>
        <w:rPr>
          <w:rFonts w:ascii="Times New Roman;Times;serif" w:hAnsi="Times New Roman;Times;serif"/>
          <w:i/>
          <w:sz w:val="20"/>
        </w:rPr>
        <w:t>Income Taxes</w:t>
      </w:r>
      <w:r>
        <w:rPr>
          <w:rFonts w:ascii="Times New Roman;Times;serif" w:hAnsi="Times New Roman;Times;serif"/>
          <w:sz w:val="20"/>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 (in thousands):</w:t>
      </w:r>
    </w:p>
    <w:tbl>
      <w:tblPr>
        <w:tblW w:w="7690" w:type="dxa"/>
        <w:jc w:val="left"/>
        <w:tblInd w:w="0" w:type="dxa"/>
        <w:tblLayout w:type="fixed"/>
        <w:tblCellMar>
          <w:top w:w="0" w:type="dxa"/>
          <w:left w:w="0" w:type="dxa"/>
          <w:bottom w:w="0" w:type="dxa"/>
          <w:right w:w="0" w:type="dxa"/>
        </w:tblCellMar>
      </w:tblPr>
      <w:tblGrid>
        <w:gridCol w:w="4201"/>
        <w:gridCol w:w="326"/>
        <w:gridCol w:w="211"/>
        <w:gridCol w:w="571"/>
        <w:gridCol w:w="326"/>
        <w:gridCol w:w="211"/>
        <w:gridCol w:w="571"/>
        <w:gridCol w:w="326"/>
        <w:gridCol w:w="211"/>
        <w:gridCol w:w="73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667635" cy="175260"/>
                      <wp:effectExtent l="0" t="0" r="0" b="0"/>
                      <wp:wrapNone/>
                      <wp:docPr id="591" name="Frame591"/>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2" name="Frame5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3"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362585" cy="175260"/>
                      <wp:effectExtent l="0" t="0" r="0" b="0"/>
                      <wp:wrapNone/>
                      <wp:docPr id="594" name="Frame5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5" name="Frame5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33985" cy="175260"/>
                      <wp:effectExtent l="0" t="0" r="0" b="0"/>
                      <wp:wrapNone/>
                      <wp:docPr id="596" name="Frame5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362585" cy="175260"/>
                      <wp:effectExtent l="0" t="0" r="0" b="0"/>
                      <wp:wrapNone/>
                      <wp:docPr id="597" name="Frame5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33985" cy="175260"/>
                      <wp:effectExtent l="0" t="0" r="0" b="0"/>
                      <wp:wrapNone/>
                      <wp:docPr id="599"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67360" cy="175260"/>
                      <wp:effectExtent l="0" t="0" r="0" b="0"/>
                      <wp:wrapNone/>
                      <wp:docPr id="600" name="Frame6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tax benefits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tax positions for prior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tax positions for current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tax benefits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3,603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effective tax rate would have been affected by the unrecognized tax benefits had this amount been recognized as a reduction to 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recognized interest and penalties for unrecognized tax benefits in our provision for income taxes. The liability for unrecognized tax benefits included accrued interest and penalties of $0.4 million for the year December 30, 2023, $0.3 million for the year December 31, 2022, and $0.5 million for the year December 25,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file income tax returns in the United States and in various state, local and foreign jurisdictions. The federal and a majority of state and foreign jurisdictions are no longer subject to income tax examinations for years before 2019. A number of routine state and local examinations are currently ongoing. Due to the potential for resolution of state examinations, the expiration of various statutes of limitation, and new positions that may be taken, it is reasonably possible that the amount of unrecognized tax benefits that would reverse through the income statement in the next twelve months is $1.2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L.</w:t>
      </w:r>
      <w:r>
        <w:rPr>
          <w:rFonts w:ascii="Times New Roman;Times;serif" w:hAnsi="Times New Roman;Times;serif"/>
          <w:b/>
          <w:sz w:val="20"/>
        </w:rPr>
        <w:t>COMMITMENTS, CONTINGENCIES, AND GUARANTEES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self-insured for environmental impairment liability, including certain liabilities which are insured through a wholly owned subsidiary, Ardellis Insurance Ltd., a licensed captive insurance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December 30, 2023,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30, 2023, we had outstanding purchase commitments on commenced capital projects of approximately $82.9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 variety of warranties for products we manufacture. Historically, warranty claims have not been material. We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30, 2023, we had approximately $20.9 million in outstanding payment and performance bonds for open projects. We had approximately $6.9 million in payment and performance bonds outstanding for completed projects which are still under warranty.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30, 2023, we had outstanding letters of credit totaling $47.8 million, primarily related to certain insurance contracts, industrial development revenue bonds, and other debt agreements described further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lieu of cash deposits, we provide irrevocable letters of credit in favor of our insurers and other third parties to guarantee our performance under certain insurance contracts and other legal agreements. As of December 30, 2023, we have irrevocable letters of credit outstanding totaling approximately $44.5 million for these types of arrangements. We have reserves recorded on our balance sheet, in accrued liabilities, that reflect our expected future liabilities under those insurance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enter into any new guarantee arrangements during 2023 which would require us to recognize a liability on our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19" w:name="Tc_e7TcSmLASEmkei8JXYgkXA_11_0"/>
      <w:bookmarkStart w:id="1720" w:name="Tc_sNrQZ_OptE-5qh4KNp14Iw_10_0"/>
      <w:bookmarkStart w:id="1721" w:name="Tc_Gv68xRSpeECotfmYIuR7gg_9_0"/>
      <w:bookmarkStart w:id="1722" w:name="Tc_dC7wiIeBdU2zIXi4xrCfow_8_0"/>
      <w:bookmarkStart w:id="1723" w:name="Tc_8bFw_i6kxEehm9efb3YNAA_7_0"/>
      <w:bookmarkStart w:id="1724" w:name="Tc_idaeJLSSVUOzFedr_rUdsA_6_9"/>
      <w:bookmarkStart w:id="1725" w:name="Tc_jbWIIrY9xE2fO4sR1m4GMw_6_0"/>
      <w:bookmarkStart w:id="1726" w:name="Tc_Lg-XyIV3xkyQ5IhdW_DyFw_5_18"/>
      <w:bookmarkStart w:id="1727" w:name="Tc_0rWq_U0hkk-5_k6NuMQ6jQ_5_0"/>
      <w:bookmarkStart w:id="1728" w:name="Tc_5EEoV6t7-Uu9arNZ2WhpNQ_4_17"/>
      <w:bookmarkStart w:id="1729" w:name="Tc_yxzm4bYXD0-NHcytIKOr5g_4_14"/>
      <w:bookmarkStart w:id="1730" w:name="Tc_aHoOfCCDhkWngENs_VGtOg_4_11"/>
      <w:bookmarkStart w:id="1731" w:name="Tc_sG-m9Vxn-EajrPnGPBMoZw_4_8"/>
      <w:bookmarkStart w:id="1732" w:name="Tc_a8LFGgDXH0ma-9h3O9RuEw_4_5"/>
      <w:bookmarkStart w:id="1733" w:name="Tc_z2C2GNbVv0uNyXgvbUGLpw_4_2"/>
      <w:bookmarkStart w:id="1734" w:name="Tc_G3OIbTwVykmV_a3SeAmP4A_4_0"/>
      <w:bookmarkStart w:id="1735" w:name="Tc_xY8uFRxt6EeEHv9xNGOF1Q_3_17"/>
      <w:bookmarkStart w:id="1736" w:name="Tc_cdP3HDNOAEGkYvMRig7d0Q_3_14"/>
      <w:bookmarkStart w:id="1737" w:name="Tc_PTnUTKy-rUyfZpnXykSlZw_3_11"/>
      <w:bookmarkStart w:id="1738" w:name="Tc_hsxdbO8_9k2pgJBnYcG7TA_3_8"/>
      <w:bookmarkStart w:id="1739" w:name="Tc_zKSTyUA0VEyuC8a5eok8Mw_3_5"/>
      <w:bookmarkStart w:id="1740" w:name="Tc_1lsOt2gIW0amoA2pe1xfMQ_3_2"/>
      <w:bookmarkStart w:id="1741" w:name="Tc_hF6ywqKzvUmJbt9eMAe5Jw_2_11"/>
      <w:bookmarkStart w:id="1742" w:name="Tc_S_DOCA1DUUeGSr7JwJ_W_w_1_2"/>
      <w:bookmarkStart w:id="1743" w:name="_03616304_a6c7_4878_8ff7_2eb84188a9e3"/>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r>
        <w:rPr>
          <w:rFonts w:ascii="Times New Roman;Times;serif" w:hAnsi="Times New Roman;Times;serif"/>
          <w:b/>
          <w:i w:val="false"/>
          <w:caps w:val="false"/>
          <w:smallCaps w:val="false"/>
          <w:sz w:val="20"/>
        </w:rPr>
        <w:t>M.</w:t>
      </w:r>
      <w:r>
        <w:rPr>
          <w:rFonts w:ascii="Times New Roman;Times;serif" w:hAnsi="Times New Roman;Times;serif"/>
          <w:b/>
          <w:sz w:val="20"/>
        </w:rPr>
        <w:t>SEGMENT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which serve multiple segments, results are allocated and accounted for by segment. Two customers, The Home Depot and Lowes, accounted for approximately 17% and 12%, respectively, of our total net sales in fiscal 2023, 15% and 11%, respectively, of our total net sales in fiscal 2022 and 16% and 10%, respectively, in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exception to this market-centered reporting and management structure is our International segment, which comprises our Mexico, Canada, Europe, Asia,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pStyle w:val="TextBody"/>
        <w:bidi w:val="0"/>
        <w:spacing w:before="0" w:after="240"/>
        <w:ind w:left="0" w:right="0" w:firstLine="720"/>
        <w:jc w:val="both"/>
        <w:rPr/>
      </w:pPr>
      <w:r>
        <w:rPr/>
        <w:t>“</w:t>
      </w:r>
      <w:r>
        <w:rPr>
          <w:rFonts w:ascii="Times New Roman;Times;serif" w:hAnsi="Times New Roman;Times;serif"/>
          <w:sz w:val="20"/>
        </w:rPr>
        <w:t>Corporate” includes purchasing, transportation, corporate ventures,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Ltd, UFP Purchasing, and UFP RMS, LLC. The tables below are presented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5"/>
        <w:gridCol w:w="326"/>
        <w:gridCol w:w="211"/>
        <w:gridCol w:w="931"/>
        <w:gridCol w:w="326"/>
        <w:gridCol w:w="211"/>
        <w:gridCol w:w="931"/>
        <w:gridCol w:w="326"/>
        <w:gridCol w:w="211"/>
        <w:gridCol w:w="931"/>
        <w:gridCol w:w="326"/>
        <w:gridCol w:w="211"/>
        <w:gridCol w:w="781"/>
        <w:gridCol w:w="326"/>
        <w:gridCol w:w="211"/>
        <w:gridCol w:w="997"/>
        <w:gridCol w:w="326"/>
        <w:gridCol w:w="211"/>
        <w:gridCol w:w="977"/>
      </w:tblGrid>
      <w:tr>
        <w:trPr/>
        <w:tc>
          <w:tcPr>
            <w:tcW w:w="1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911225" cy="175260"/>
                      <wp:effectExtent l="0" t="0" r="0" b="0"/>
                      <wp:wrapNone/>
                      <wp:docPr id="601" name="Frame601"/>
                      <a:graphic xmlns:a="http://schemas.openxmlformats.org/drawingml/2006/main">
                        <a:graphicData uri="http://schemas.microsoft.com/office/word/2010/wordprocessingShape">
                          <wps:wsp>
                            <wps:cNvSpPr txBox="1"/>
                            <wps:spPr>
                              <a:xfrm>
                                <a:off x="0" y="0"/>
                                <a:ext cx="911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2"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3985" cy="175260"/>
                      <wp:effectExtent l="0" t="0" r="0" b="0"/>
                      <wp:wrapNone/>
                      <wp:docPr id="603"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91185" cy="175260"/>
                      <wp:effectExtent l="0" t="0" r="0" b="0"/>
                      <wp:wrapNone/>
                      <wp:docPr id="604" name="Frame6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3985" cy="175260"/>
                      <wp:effectExtent l="0" t="0" r="0" b="0"/>
                      <wp:wrapNone/>
                      <wp:docPr id="606"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91185" cy="175260"/>
                      <wp:effectExtent l="0" t="0" r="0" b="0"/>
                      <wp:wrapNone/>
                      <wp:docPr id="607" name="Frame6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8"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09"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91185" cy="175260"/>
                      <wp:effectExtent l="0" t="0" r="0" b="0"/>
                      <wp:wrapNone/>
                      <wp:docPr id="610" name="Frame6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611"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2" name="Frame6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95935" cy="175260"/>
                      <wp:effectExtent l="0" t="0" r="0" b="0"/>
                      <wp:wrapNone/>
                      <wp:docPr id="613" name="Frame6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07010" cy="175260"/>
                      <wp:effectExtent l="0" t="0" r="0" b="0"/>
                      <wp:wrapNone/>
                      <wp:docPr id="614" name="Frame6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15" name="Frame6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33095" cy="175260"/>
                      <wp:effectExtent l="0" t="0" r="0" b="0"/>
                      <wp:wrapNone/>
                      <wp:docPr id="616" name="Frame616"/>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7" name="Frame6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8" name="Frame6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20395" cy="175260"/>
                      <wp:effectExtent l="0" t="0" r="0" b="0"/>
                      <wp:wrapNone/>
                      <wp:docPr id="619" name="Frame619"/>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44"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14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20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2,886,515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2,161,059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328,884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7,218,384</w:t>
            </w:r>
          </w:p>
        </w:tc>
      </w:tr>
      <w:tr>
        <w:trPr/>
        <w:tc>
          <w:tcPr>
            <w:tcW w:w="1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565,325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(1,013,813)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w:t>
            </w:r>
          </w:p>
        </w:tc>
      </w:tr>
      <w:tr>
        <w:trPr/>
        <w:tc>
          <w:tcPr>
            <w:tcW w:w="143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12,842</w:t>
            </w:r>
          </w:p>
        </w:tc>
      </w:tr>
      <w:tr>
        <w:trPr/>
        <w:tc>
          <w:tcPr>
            <w:tcW w:w="1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21,327</w:t>
            </w:r>
          </w:p>
        </w:tc>
      </w:tr>
      <w:tr>
        <w:trPr/>
        <w:tc>
          <w:tcPr>
            <w:tcW w:w="1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110,563</w:t>
            </w:r>
          </w:p>
        </w:tc>
      </w:tr>
      <w:tr>
        <w:trPr/>
        <w:tc>
          <w:tcPr>
            <w:tcW w:w="1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earnings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671,241</w:t>
            </w:r>
          </w:p>
        </w:tc>
      </w:tr>
      <w:tr>
        <w:trPr/>
        <w:tc>
          <w:tcPr>
            <w:tcW w:w="1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621,762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4,017,797</w:t>
            </w:r>
          </w:p>
        </w:tc>
      </w:tr>
      <w:tr>
        <w:trPr/>
        <w:tc>
          <w:tcPr>
            <w:tcW w:w="1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180,382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744" w:name="Tc_NFyPSFrGsUm-CmZMjiNDCQ_7_17"/>
      <w:bookmarkStart w:id="1745" w:name="Tc_5hAkn2ClFUmLFtNnW85t9Q_7_14"/>
      <w:bookmarkStart w:id="1746" w:name="Tc_3YPNd--W8kWtmwOL-0YoXA_7_11"/>
      <w:bookmarkStart w:id="1747" w:name="Tc_ZeHiJUM2lkGtyGtiy_Pcvw_7_8"/>
      <w:bookmarkStart w:id="1748" w:name="Tc_klVKw39FKkWkOL0mHweZZg_7_5"/>
      <w:bookmarkStart w:id="1749" w:name="Tc_3QFmhKqhKkG6PKWuIvGGWQ_7_2"/>
      <w:bookmarkStart w:id="1750" w:name="Tc_3OMjQcyrRkeuZ4oHVaDblg_7_0"/>
      <w:bookmarkStart w:id="1751" w:name="Tc_UOm1acCh1EWhWP9JIdwXJQ_6_0"/>
      <w:bookmarkStart w:id="1752" w:name="Tc_WY8-St7JfkqChQwWPcSMmw_5_17"/>
      <w:bookmarkStart w:id="1753" w:name="Tc_Wzbznxexr0m-0IpvgHn1mA_5_14"/>
      <w:bookmarkStart w:id="1754" w:name="Tc_Rs4ymsosvUO6hGIeg3hr0g_5_11"/>
      <w:bookmarkStart w:id="1755" w:name="Tc_GLULdUZaOka-TtEZw3RSHQ_5_8"/>
      <w:bookmarkStart w:id="1756" w:name="Tc_QPoMW1bMRkuJ0BBjWPoicw_5_5"/>
      <w:bookmarkStart w:id="1757" w:name="Tc_lNEziSaVmEShyUfOidHtVg_5_2"/>
      <w:bookmarkStart w:id="1758" w:name="Tc_vfJlMqChc0u6LhPUo7GqZg_5_0"/>
      <w:bookmarkStart w:id="1759" w:name="Tc_sh_S1CMSzUeBrhwql-k29w_4_17"/>
      <w:bookmarkStart w:id="1760" w:name="Tc_Nfe3jSspj0mLr33ikFIVLg_4_14"/>
      <w:bookmarkStart w:id="1761" w:name="Tc_sgroHjXUGkutTvbtVgC4FQ_4_11"/>
      <w:bookmarkStart w:id="1762" w:name="Tc_r8lqSulHVUebGJSF0-11rw_4_8"/>
      <w:bookmarkStart w:id="1763" w:name="Tc_3Bzy9Jf-X0KhdZEPMllhdQ_4_5"/>
      <w:bookmarkStart w:id="1764" w:name="Tc_Cu-gFxIeo06deITsAeLnpw_4_2"/>
      <w:bookmarkStart w:id="1765" w:name="Tc_lrPmzDjHJUWweN8Fb12zAA_3_17"/>
      <w:bookmarkStart w:id="1766" w:name="Tc_9ergmq-vpkqjrnNXEPfgHQ_3_11"/>
      <w:bookmarkStart w:id="1767" w:name="Tc_pk7J6ZnKl0uPICOgjScGXg_3_5"/>
      <w:bookmarkStart w:id="1768" w:name="Tc_a5f1t8a7M0CgXeNwAMOk5Q_2_17"/>
      <w:bookmarkStart w:id="1769" w:name="Tc_CsCgT_40TUiRvgtUbNHE7A_2_11"/>
      <w:bookmarkStart w:id="1770" w:name="Tc_CY_Qi6mPHk6_zRD5AfEt1w_2_5"/>
      <w:bookmarkStart w:id="1771" w:name="Tc_QtTUJzPq5UyL9PkqrpeAog_1_14"/>
      <w:bookmarkStart w:id="1772" w:name="Tc_BvwJxUViEkS5czkiD0Zpfg_1_8"/>
      <w:bookmarkStart w:id="1773" w:name="Tc_9ZWOn_c6e02g1wcEcaoGKA_1_2"/>
      <w:bookmarkStart w:id="1774" w:name="_c4f37b50_0309_44b2_a80f_c38ee168f662"/>
      <w:bookmarkStart w:id="1775" w:name="Tc_4aUvn2zk-kml9D0m2rfGIA_11_0"/>
      <w:bookmarkStart w:id="1776" w:name="Tc_rQZeHH7vtEa3-YVDNWJyWg_10_0"/>
      <w:bookmarkStart w:id="1777" w:name="Tc_ITLkIIcz_USFDYcb1gJKGQ_9_0"/>
      <w:bookmarkStart w:id="1778" w:name="Tc_w5J9Qv-brEKreRkexfBAWQ_8_0"/>
      <w:bookmarkStart w:id="1779" w:name="Tc_epKDVM0gC0aaTdune4RSsA_7_0"/>
      <w:bookmarkStart w:id="1780" w:name="Tc_9NVvrhkql062cjeWVoqVgQ_6_0"/>
      <w:bookmarkStart w:id="1781" w:name="Tc_AiayKPTbF0C1jnR1kLbwuQ_5_18"/>
      <w:bookmarkStart w:id="1782" w:name="Tc_C2f8GSmUHE6pjM9OxaVTTg_5_0"/>
      <w:bookmarkStart w:id="1783" w:name="Tc_1c5O2FJ680qLn9AN-sA3WA_4_17"/>
      <w:bookmarkStart w:id="1784" w:name="Tc_c26AXT6uFEeB7FyoL6DxHw_4_14"/>
      <w:bookmarkStart w:id="1785" w:name="Tc_WVtEtEoiB02L05q2sEmj0g_4_11"/>
      <w:bookmarkStart w:id="1786" w:name="Tc_M0Psl3DynEOPmxtfNoUMWA_4_8"/>
      <w:bookmarkStart w:id="1787" w:name="Tc_jJ2cPo-aS0SozUIB-7BMKg_4_5"/>
      <w:bookmarkStart w:id="1788" w:name="Tc_CQSLq-P4SUCib6jbHmHZxg_4_2"/>
      <w:bookmarkStart w:id="1789" w:name="Tc_C_7GsR6v1UW0MMHYEN8SpQ_4_0"/>
      <w:bookmarkStart w:id="1790" w:name="Tc_mfIzgKqYcEiMtDkG5BhOIA_3_17"/>
      <w:bookmarkStart w:id="1791" w:name="Tc_bqjkamciIUqkhGph4Pysww_3_14"/>
      <w:bookmarkStart w:id="1792" w:name="Tc_SiQDsANX_UKDcaZAuYviFQ_3_11"/>
      <w:bookmarkStart w:id="1793" w:name="Tc_gOZEV1sGsEyd9z6nGBMWPg_3_8"/>
      <w:bookmarkStart w:id="1794" w:name="Tc_MIgV4lPo2kSFqPGSPYIo_w_3_5"/>
      <w:bookmarkStart w:id="1795" w:name="Tc_Kd6wsuf9KUKpeTuRyml2fQ_3_2"/>
      <w:bookmarkStart w:id="1796" w:name="Tc_lznUQtrdT0GYBh5vqJNQuQ_2_11"/>
      <w:bookmarkStart w:id="1797" w:name="Tc_UcZYLXzQYEiRs-ywfu5nqA_1_2"/>
      <w:bookmarkStart w:id="1798" w:name="_3a2a1833_3dd3_4819_9900_32744e943104"/>
      <w:bookmarkStart w:id="1799" w:name="Tc_tycUgVmTCke8aQYBbRZAfA_11_0"/>
      <w:bookmarkStart w:id="1800" w:name="Tc_2VJs1WdTIECFJVePqtoZiA_10_0"/>
      <w:bookmarkStart w:id="1801" w:name="Tc_ujv0mwTQfEujDmiJpwpKZg_9_0"/>
      <w:bookmarkStart w:id="1802" w:name="Tc_9EczwuB3NkOBFY7ITMZofQ_8_0"/>
      <w:bookmarkStart w:id="1803" w:name="Tc_vWNXB1VWhEevPWCrxXJ3SQ_7_0"/>
      <w:bookmarkStart w:id="1804" w:name="Tc_aKunFGURMUSgPc6aZzFNTw_6_9"/>
      <w:bookmarkStart w:id="1805" w:name="Tc_MaJEyJNkNU2KBhtgWczpNQ_6_0"/>
      <w:bookmarkStart w:id="1806" w:name="Tc_HKJipIRs0kWAWpGui8ZGzw_5_18"/>
      <w:bookmarkStart w:id="1807" w:name="Tc_NEi1wxDxz06dlyeMgAHlPA_5_0"/>
      <w:bookmarkStart w:id="1808" w:name="Tc_tj2uEgr-LEuSLLMAL-jDFw_4_17"/>
      <w:bookmarkStart w:id="1809" w:name="Tc_4icJjpw0X0iyEgsOc97l0g_4_14"/>
      <w:bookmarkStart w:id="1810" w:name="Tc_eLMRGgfRY06culunzeJx5g_4_11"/>
      <w:bookmarkStart w:id="1811" w:name="Tc_ytfDF-00iEeAlLQwOeOi5g_4_8"/>
      <w:bookmarkStart w:id="1812" w:name="Tc_MMN9653iHk-xciIkUQb50g_4_5"/>
      <w:bookmarkStart w:id="1813" w:name="Tc_bFe3RqxD80mb4zaMZnLezg_4_2"/>
      <w:bookmarkStart w:id="1814" w:name="Tc_kwdUqegBpEKmLP_C-sT4Zw_4_0"/>
      <w:bookmarkStart w:id="1815" w:name="Tc_mIHpA0eLnUy_4-n7rig2MA_3_17"/>
      <w:bookmarkStart w:id="1816" w:name="Tc_6Q4iDa7Kr0yLiG9ZJVDiSA_3_14"/>
      <w:bookmarkStart w:id="1817" w:name="Tc_0zeFu64cb06_zp9pVa9oVQ_3_11"/>
      <w:bookmarkStart w:id="1818" w:name="Tc_JjqdVyToMU2q0OvGr5lG6Q_3_8"/>
      <w:bookmarkStart w:id="1819" w:name="Tc_MXu7D05vbEq1Jl4t9xJOOw_3_5"/>
      <w:bookmarkStart w:id="1820" w:name="Tc_Rafy_eLTGE6RzzNs0Gmf7g_3_2"/>
      <w:bookmarkStart w:id="1821" w:name="Tc_G7Xc1ERNkEyHa5kzPn5a-Q_2_11"/>
      <w:bookmarkStart w:id="1822" w:name="Tc_gmjNSog6z0eBi4GUIoxkIA_1_2"/>
      <w:bookmarkStart w:id="1823" w:name="_142e2e16_70d5_4825_950d_88c329accad9"/>
      <w:bookmarkStart w:id="1824" w:name="Tc_NFyPSFrGsUm-CmZMjiNDCQ_7_17"/>
      <w:bookmarkStart w:id="1825" w:name="Tc_5hAkn2ClFUmLFtNnW85t9Q_7_14"/>
      <w:bookmarkStart w:id="1826" w:name="Tc_3YPNd--W8kWtmwOL-0YoXA_7_11"/>
      <w:bookmarkStart w:id="1827" w:name="Tc_ZeHiJUM2lkGtyGtiy_Pcvw_7_8"/>
      <w:bookmarkStart w:id="1828" w:name="Tc_klVKw39FKkWkOL0mHweZZg_7_5"/>
      <w:bookmarkStart w:id="1829" w:name="Tc_3QFmhKqhKkG6PKWuIvGGWQ_7_2"/>
      <w:bookmarkStart w:id="1830" w:name="Tc_3OMjQcyrRkeuZ4oHVaDblg_7_0"/>
      <w:bookmarkStart w:id="1831" w:name="Tc_UOm1acCh1EWhWP9JIdwXJQ_6_0"/>
      <w:bookmarkStart w:id="1832" w:name="Tc_WY8-St7JfkqChQwWPcSMmw_5_17"/>
      <w:bookmarkStart w:id="1833" w:name="Tc_Wzbznxexr0m-0IpvgHn1mA_5_14"/>
      <w:bookmarkStart w:id="1834" w:name="Tc_Rs4ymsosvUO6hGIeg3hr0g_5_11"/>
      <w:bookmarkStart w:id="1835" w:name="Tc_GLULdUZaOka-TtEZw3RSHQ_5_8"/>
      <w:bookmarkStart w:id="1836" w:name="Tc_QPoMW1bMRkuJ0BBjWPoicw_5_5"/>
      <w:bookmarkStart w:id="1837" w:name="Tc_lNEziSaVmEShyUfOidHtVg_5_2"/>
      <w:bookmarkStart w:id="1838" w:name="Tc_vfJlMqChc0u6LhPUo7GqZg_5_0"/>
      <w:bookmarkStart w:id="1839" w:name="Tc_sh_S1CMSzUeBrhwql-k29w_4_17"/>
      <w:bookmarkStart w:id="1840" w:name="Tc_Nfe3jSspj0mLr33ikFIVLg_4_14"/>
      <w:bookmarkStart w:id="1841" w:name="Tc_sgroHjXUGkutTvbtVgC4FQ_4_11"/>
      <w:bookmarkStart w:id="1842" w:name="Tc_r8lqSulHVUebGJSF0-11rw_4_8"/>
      <w:bookmarkStart w:id="1843" w:name="Tc_3Bzy9Jf-X0KhdZEPMllhdQ_4_5"/>
      <w:bookmarkStart w:id="1844" w:name="Tc_Cu-gFxIeo06deITsAeLnpw_4_2"/>
      <w:bookmarkStart w:id="1845" w:name="Tc_lrPmzDjHJUWweN8Fb12zAA_3_17"/>
      <w:bookmarkStart w:id="1846" w:name="Tc_9ergmq-vpkqjrnNXEPfgHQ_3_11"/>
      <w:bookmarkStart w:id="1847" w:name="Tc_pk7J6ZnKl0uPICOgjScGXg_3_5"/>
      <w:bookmarkStart w:id="1848" w:name="Tc_a5f1t8a7M0CgXeNwAMOk5Q_2_17"/>
      <w:bookmarkStart w:id="1849" w:name="Tc_CsCgT_40TUiRvgtUbNHE7A_2_11"/>
      <w:bookmarkStart w:id="1850" w:name="Tc_CY_Qi6mPHk6_zRD5AfEt1w_2_5"/>
      <w:bookmarkStart w:id="1851" w:name="Tc_QtTUJzPq5UyL9PkqrpeAog_1_14"/>
      <w:bookmarkStart w:id="1852" w:name="Tc_BvwJxUViEkS5czkiD0Zpfg_1_8"/>
      <w:bookmarkStart w:id="1853" w:name="Tc_9ZWOn_c6e02g1wcEcaoGKA_1_2"/>
      <w:bookmarkStart w:id="1854" w:name="_c4f37b50_0309_44b2_a80f_c38ee168f662"/>
      <w:bookmarkStart w:id="1855" w:name="Tc_4aUvn2zk-kml9D0m2rfGIA_11_0"/>
      <w:bookmarkStart w:id="1856" w:name="Tc_rQZeHH7vtEa3-YVDNWJyWg_10_0"/>
      <w:bookmarkStart w:id="1857" w:name="Tc_ITLkIIcz_USFDYcb1gJKGQ_9_0"/>
      <w:bookmarkStart w:id="1858" w:name="Tc_w5J9Qv-brEKreRkexfBAWQ_8_0"/>
      <w:bookmarkStart w:id="1859" w:name="Tc_epKDVM0gC0aaTdune4RSsA_7_0"/>
      <w:bookmarkStart w:id="1860" w:name="Tc_9NVvrhkql062cjeWVoqVgQ_6_0"/>
      <w:bookmarkStart w:id="1861" w:name="Tc_AiayKPTbF0C1jnR1kLbwuQ_5_18"/>
      <w:bookmarkStart w:id="1862" w:name="Tc_C2f8GSmUHE6pjM9OxaVTTg_5_0"/>
      <w:bookmarkStart w:id="1863" w:name="Tc_1c5O2FJ680qLn9AN-sA3WA_4_17"/>
      <w:bookmarkStart w:id="1864" w:name="Tc_c26AXT6uFEeB7FyoL6DxHw_4_14"/>
      <w:bookmarkStart w:id="1865" w:name="Tc_WVtEtEoiB02L05q2sEmj0g_4_11"/>
      <w:bookmarkStart w:id="1866" w:name="Tc_M0Psl3DynEOPmxtfNoUMWA_4_8"/>
      <w:bookmarkStart w:id="1867" w:name="Tc_jJ2cPo-aS0SozUIB-7BMKg_4_5"/>
      <w:bookmarkStart w:id="1868" w:name="Tc_CQSLq-P4SUCib6jbHmHZxg_4_2"/>
      <w:bookmarkStart w:id="1869" w:name="Tc_C_7GsR6v1UW0MMHYEN8SpQ_4_0"/>
      <w:bookmarkStart w:id="1870" w:name="Tc_mfIzgKqYcEiMtDkG5BhOIA_3_17"/>
      <w:bookmarkStart w:id="1871" w:name="Tc_bqjkamciIUqkhGph4Pysww_3_14"/>
      <w:bookmarkStart w:id="1872" w:name="Tc_SiQDsANX_UKDcaZAuYviFQ_3_11"/>
      <w:bookmarkStart w:id="1873" w:name="Tc_gOZEV1sGsEyd9z6nGBMWPg_3_8"/>
      <w:bookmarkStart w:id="1874" w:name="Tc_MIgV4lPo2kSFqPGSPYIo_w_3_5"/>
      <w:bookmarkStart w:id="1875" w:name="Tc_Kd6wsuf9KUKpeTuRyml2fQ_3_2"/>
      <w:bookmarkStart w:id="1876" w:name="Tc_lznUQtrdT0GYBh5vqJNQuQ_2_11"/>
      <w:bookmarkStart w:id="1877" w:name="Tc_UcZYLXzQYEiRs-ywfu5nqA_1_2"/>
      <w:bookmarkStart w:id="1878" w:name="_3a2a1833_3dd3_4819_9900_32744e943104"/>
      <w:bookmarkStart w:id="1879" w:name="Tc_tycUgVmTCke8aQYBbRZAfA_11_0"/>
      <w:bookmarkStart w:id="1880" w:name="Tc_2VJs1WdTIECFJVePqtoZiA_10_0"/>
      <w:bookmarkStart w:id="1881" w:name="Tc_ujv0mwTQfEujDmiJpwpKZg_9_0"/>
      <w:bookmarkStart w:id="1882" w:name="Tc_9EczwuB3NkOBFY7ITMZofQ_8_0"/>
      <w:bookmarkStart w:id="1883" w:name="Tc_vWNXB1VWhEevPWCrxXJ3SQ_7_0"/>
      <w:bookmarkStart w:id="1884" w:name="Tc_aKunFGURMUSgPc6aZzFNTw_6_9"/>
      <w:bookmarkStart w:id="1885" w:name="Tc_MaJEyJNkNU2KBhtgWczpNQ_6_0"/>
      <w:bookmarkStart w:id="1886" w:name="Tc_HKJipIRs0kWAWpGui8ZGzw_5_18"/>
      <w:bookmarkStart w:id="1887" w:name="Tc_NEi1wxDxz06dlyeMgAHlPA_5_0"/>
      <w:bookmarkStart w:id="1888" w:name="Tc_tj2uEgr-LEuSLLMAL-jDFw_4_17"/>
      <w:bookmarkStart w:id="1889" w:name="Tc_4icJjpw0X0iyEgsOc97l0g_4_14"/>
      <w:bookmarkStart w:id="1890" w:name="Tc_eLMRGgfRY06culunzeJx5g_4_11"/>
      <w:bookmarkStart w:id="1891" w:name="Tc_ytfDF-00iEeAlLQwOeOi5g_4_8"/>
      <w:bookmarkStart w:id="1892" w:name="Tc_MMN9653iHk-xciIkUQb50g_4_5"/>
      <w:bookmarkStart w:id="1893" w:name="Tc_bFe3RqxD80mb4zaMZnLezg_4_2"/>
      <w:bookmarkStart w:id="1894" w:name="Tc_kwdUqegBpEKmLP_C-sT4Zw_4_0"/>
      <w:bookmarkStart w:id="1895" w:name="Tc_mIHpA0eLnUy_4-n7rig2MA_3_17"/>
      <w:bookmarkStart w:id="1896" w:name="Tc_6Q4iDa7Kr0yLiG9ZJVDiSA_3_14"/>
      <w:bookmarkStart w:id="1897" w:name="Tc_0zeFu64cb06_zp9pVa9oVQ_3_11"/>
      <w:bookmarkStart w:id="1898" w:name="Tc_JjqdVyToMU2q0OvGr5lG6Q_3_8"/>
      <w:bookmarkStart w:id="1899" w:name="Tc_MXu7D05vbEq1Jl4t9xJOOw_3_5"/>
      <w:bookmarkStart w:id="1900" w:name="Tc_Rafy_eLTGE6RzzNs0Gmf7g_3_2"/>
      <w:bookmarkStart w:id="1901" w:name="Tc_G7Xc1ERNkEyHa5kzPn5a-Q_2_11"/>
      <w:bookmarkStart w:id="1902" w:name="Tc_gmjNSog6z0eBi4GUIoxkIA_1_2"/>
      <w:bookmarkStart w:id="1903" w:name="_142e2e16_70d5_4825_950d_88c329accad9"/>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p>
    <w:tbl>
      <w:tblPr>
        <w:tblW w:w="10669" w:type="dxa"/>
        <w:jc w:val="left"/>
        <w:tblInd w:w="0" w:type="dxa"/>
        <w:tblLayout w:type="fixed"/>
        <w:tblCellMar>
          <w:top w:w="0" w:type="dxa"/>
          <w:left w:w="0" w:type="dxa"/>
          <w:bottom w:w="0" w:type="dxa"/>
          <w:right w:w="0" w:type="dxa"/>
        </w:tblCellMar>
      </w:tblPr>
      <w:tblGrid>
        <w:gridCol w:w="1906"/>
        <w:gridCol w:w="326"/>
        <w:gridCol w:w="211"/>
        <w:gridCol w:w="931"/>
        <w:gridCol w:w="326"/>
        <w:gridCol w:w="211"/>
        <w:gridCol w:w="931"/>
        <w:gridCol w:w="326"/>
        <w:gridCol w:w="211"/>
        <w:gridCol w:w="931"/>
        <w:gridCol w:w="326"/>
        <w:gridCol w:w="211"/>
        <w:gridCol w:w="781"/>
        <w:gridCol w:w="326"/>
        <w:gridCol w:w="211"/>
        <w:gridCol w:w="991"/>
        <w:gridCol w:w="326"/>
        <w:gridCol w:w="211"/>
        <w:gridCol w:w="97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210310" cy="175260"/>
                      <wp:effectExtent l="0" t="0" r="0" b="0"/>
                      <wp:wrapNone/>
                      <wp:docPr id="620" name="Frame620"/>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3985" cy="175260"/>
                      <wp:effectExtent l="0" t="0" r="0" b="0"/>
                      <wp:wrapNone/>
                      <wp:docPr id="622" name="Frame6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91185" cy="175260"/>
                      <wp:effectExtent l="0" t="0" r="0" b="0"/>
                      <wp:wrapNone/>
                      <wp:docPr id="623" name="Frame6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4" name="Frame6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33985" cy="175260"/>
                      <wp:effectExtent l="0" t="0" r="0" b="0"/>
                      <wp:wrapNone/>
                      <wp:docPr id="625"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91185" cy="175260"/>
                      <wp:effectExtent l="0" t="0" r="0" b="0"/>
                      <wp:wrapNone/>
                      <wp:docPr id="626" name="Frame6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7" name="Frame6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33985" cy="175260"/>
                      <wp:effectExtent l="0" t="0" r="0" b="0"/>
                      <wp:wrapNone/>
                      <wp:docPr id="628"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591185" cy="175260"/>
                      <wp:effectExtent l="0" t="0" r="0" b="0"/>
                      <wp:wrapNone/>
                      <wp:docPr id="629" name="Frame6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30" name="Frame6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31" name="Frame6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495935" cy="175260"/>
                      <wp:effectExtent l="0" t="0" r="0" b="0"/>
                      <wp:wrapNone/>
                      <wp:docPr id="632" name="Frame6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07010" cy="175260"/>
                      <wp:effectExtent l="0" t="0" r="0" b="0"/>
                      <wp:wrapNone/>
                      <wp:docPr id="633" name="Frame6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33985" cy="175260"/>
                      <wp:effectExtent l="0" t="0" r="0" b="0"/>
                      <wp:wrapNone/>
                      <wp:docPr id="634" name="Frame6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29285" cy="175260"/>
                      <wp:effectExtent l="0" t="0" r="0" b="0"/>
                      <wp:wrapNone/>
                      <wp:docPr id="635" name="Frame63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7010" cy="175260"/>
                      <wp:effectExtent l="0" t="0" r="0" b="0"/>
                      <wp:wrapNone/>
                      <wp:docPr id="636" name="Frame6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33985" cy="175260"/>
                      <wp:effectExtent l="0" t="0" r="0" b="0"/>
                      <wp:wrapNone/>
                      <wp:docPr id="637" name="Frame6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19760" cy="175260"/>
                      <wp:effectExtent l="0" t="0" r="0" b="0"/>
                      <wp:wrapNone/>
                      <wp:docPr id="638" name="Frame63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7"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2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3,650,639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2,394,681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3,143,868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9,626,739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(1,003,078)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94,063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earnings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934,816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712,837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3,672,073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174,124</w:t>
            </w:r>
          </w:p>
        </w:tc>
      </w:tr>
    </w:tbl>
    <w:p>
      <w:pPr>
        <w:pStyle w:val="TextBody"/>
        <w:bidi w:val="0"/>
        <w:spacing w:before="0" w:after="0"/>
        <w:ind w:left="0" w:right="0" w:hanging="0"/>
        <w:jc w:val="left"/>
        <w:rPr/>
      </w:pPr>
      <w:r>
        <w:rPr/>
        <w:t>​</w:t>
      </w:r>
    </w:p>
    <w:tbl>
      <w:tblPr>
        <w:tblW w:w="10519" w:type="dxa"/>
        <w:jc w:val="left"/>
        <w:tblInd w:w="0" w:type="dxa"/>
        <w:tblLayout w:type="fixed"/>
        <w:tblCellMar>
          <w:top w:w="0" w:type="dxa"/>
          <w:left w:w="0" w:type="dxa"/>
          <w:bottom w:w="0" w:type="dxa"/>
          <w:right w:w="0" w:type="dxa"/>
        </w:tblCellMar>
      </w:tblPr>
      <w:tblGrid>
        <w:gridCol w:w="1906"/>
        <w:gridCol w:w="326"/>
        <w:gridCol w:w="211"/>
        <w:gridCol w:w="931"/>
        <w:gridCol w:w="326"/>
        <w:gridCol w:w="211"/>
        <w:gridCol w:w="931"/>
        <w:gridCol w:w="326"/>
        <w:gridCol w:w="211"/>
        <w:gridCol w:w="931"/>
        <w:gridCol w:w="326"/>
        <w:gridCol w:w="211"/>
        <w:gridCol w:w="781"/>
        <w:gridCol w:w="326"/>
        <w:gridCol w:w="211"/>
        <w:gridCol w:w="841"/>
        <w:gridCol w:w="326"/>
        <w:gridCol w:w="211"/>
        <w:gridCol w:w="976"/>
      </w:tblGrid>
      <w:tr>
        <w:trPr/>
        <w:tc>
          <w:tcPr>
            <w:tcW w:w="1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1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87" w:type="dxa"/>
            <w:gridSpan w:val="17"/>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1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05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to outside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3,418,337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2,148,142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2,698,434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362,473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8,636,134</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455,874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(838,254)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19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13,814</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13,948</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84,184</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earnings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726,336</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741,672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736,157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579,890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3,245,271</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151,166</w:t>
            </w:r>
          </w:p>
        </w:tc>
      </w:tr>
    </w:tbl>
    <w:p>
      <w:pPr>
        <w:pStyle w:val="TextBody"/>
        <w:bidi w:val="0"/>
        <w:spacing w:lineRule="auto" w:line="240" w:before="120" w:after="0"/>
        <w:ind w:left="0" w:right="0" w:hanging="0"/>
        <w:jc w:val="both"/>
        <w:rPr>
          <w:rFonts w:ascii="Times New Roman;Times;serif" w:hAnsi="Times New Roman;Times;serif"/>
          <w:sz w:val="16"/>
        </w:rPr>
      </w:pPr>
      <w:r>
        <w:rPr>
          <w:rFonts w:ascii="Times New Roman;Times;serif" w:hAnsi="Times New Roman;Times;serif"/>
          <w:sz w:val="15"/>
        </w:rPr>
        <w:t xml:space="preserve">(1) </w:t>
      </w:r>
      <w:r>
        <w:rPr>
          <w:rFonts w:ascii="Times New Roman;Times;serif" w:hAnsi="Times New Roman;Times;serif"/>
          <w:sz w:val="16"/>
        </w:rPr>
        <w:t>Interest expense includes intercompany interest between segments.</w:t>
      </w:r>
    </w:p>
    <w:p>
      <w:pPr>
        <w:pStyle w:val="TextBody"/>
        <w:bidi w:val="0"/>
        <w:spacing w:before="120" w:after="240"/>
        <w:ind w:left="0" w:right="0" w:firstLine="720"/>
        <w:jc w:val="both"/>
        <w:rPr/>
      </w:pPr>
      <w:r>
        <w:rPr/>
        <w:t>​</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Information regarding principal geographic areas was as follows (in thousands):</w:t>
      </w:r>
    </w:p>
    <w:tbl>
      <w:tblPr>
        <w:tblW w:w="9664" w:type="dxa"/>
        <w:jc w:val="left"/>
        <w:tblInd w:w="0" w:type="dxa"/>
        <w:tblLayout w:type="fixed"/>
        <w:tblCellMar>
          <w:top w:w="0" w:type="dxa"/>
          <w:left w:w="0" w:type="dxa"/>
          <w:bottom w:w="0" w:type="dxa"/>
          <w:right w:w="0" w:type="dxa"/>
        </w:tblCellMar>
      </w:tblPr>
      <w:tblGrid>
        <w:gridCol w:w="1201"/>
        <w:gridCol w:w="326"/>
        <w:gridCol w:w="211"/>
        <w:gridCol w:w="931"/>
        <w:gridCol w:w="326"/>
        <w:gridCol w:w="211"/>
        <w:gridCol w:w="781"/>
        <w:gridCol w:w="326"/>
        <w:gridCol w:w="211"/>
        <w:gridCol w:w="931"/>
        <w:gridCol w:w="326"/>
        <w:gridCol w:w="211"/>
        <w:gridCol w:w="781"/>
        <w:gridCol w:w="326"/>
        <w:gridCol w:w="211"/>
        <w:gridCol w:w="931"/>
        <w:gridCol w:w="326"/>
        <w:gridCol w:w="211"/>
        <w:gridCol w:w="88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762635" cy="175260"/>
                      <wp:effectExtent l="0" t="0" r="0" b="0"/>
                      <wp:wrapNone/>
                      <wp:docPr id="639" name="Frame63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7010" cy="175260"/>
                      <wp:effectExtent l="0" t="0" r="0" b="0"/>
                      <wp:wrapNone/>
                      <wp:docPr id="640" name="Frame6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3985" cy="175260"/>
                      <wp:effectExtent l="0" t="0" r="0" b="0"/>
                      <wp:wrapNone/>
                      <wp:docPr id="641"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591185" cy="175260"/>
                      <wp:effectExtent l="0" t="0" r="0" b="0"/>
                      <wp:wrapNone/>
                      <wp:docPr id="642" name="Frame6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43" name="Frame6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44" name="Frame6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95935" cy="175260"/>
                      <wp:effectExtent l="0" t="0" r="0" b="0"/>
                      <wp:wrapNone/>
                      <wp:docPr id="645" name="Frame6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46"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33985" cy="175260"/>
                      <wp:effectExtent l="0" t="0" r="0" b="0"/>
                      <wp:wrapNone/>
                      <wp:docPr id="647" name="Frame6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591185" cy="175260"/>
                      <wp:effectExtent l="0" t="0" r="0" b="0"/>
                      <wp:wrapNone/>
                      <wp:docPr id="648" name="Frame6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7010" cy="175260"/>
                      <wp:effectExtent l="0" t="0" r="0" b="0"/>
                      <wp:wrapNone/>
                      <wp:docPr id="649" name="Frame6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33985" cy="175260"/>
                      <wp:effectExtent l="0" t="0" r="0" b="0"/>
                      <wp:wrapNone/>
                      <wp:docPr id="650" name="Frame6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95935" cy="175260"/>
                      <wp:effectExtent l="0" t="0" r="0" b="0"/>
                      <wp:wrapNone/>
                      <wp:docPr id="651" name="Frame6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2"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3"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591185" cy="175260"/>
                      <wp:effectExtent l="0" t="0" r="0" b="0"/>
                      <wp:wrapNone/>
                      <wp:docPr id="654" name="Frame6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6" name="Frame6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62610" cy="175260"/>
                      <wp:effectExtent l="0" t="0" r="0" b="0"/>
                      <wp:wrapNone/>
                      <wp:docPr id="657" name="Frame65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246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256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Tangible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Tangible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Tangible</w: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6,935,431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779,748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9,254,676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770,921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8,395,737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679,757</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54,873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7,218,384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967,790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9,626,739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897,761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8,636,134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734,630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904" w:name="Tc_pFUSPeSZIUOv8n6rytLapA_26_8"/>
      <w:bookmarkStart w:id="1905" w:name="Tc_cbgZONfqrUu1rbGzRgumSg_26_5"/>
      <w:bookmarkStart w:id="1906" w:name="Tc_Lu4a0wtplkKALktr6bw1vQ_26_2"/>
      <w:bookmarkStart w:id="1907" w:name="Tc_-JTeauxFU0SddXCIvIrg4w_26_0"/>
      <w:bookmarkStart w:id="1908" w:name="Tc_SD1C9QlR-0mfncjvMBiMbw_24_8"/>
      <w:bookmarkStart w:id="1909" w:name="Tc_zoe9oIeULUWKho0Q-x_pdA_24_5"/>
      <w:bookmarkStart w:id="1910" w:name="Tc_p6ZCkI1svUyK85CALzd4dg_24_2"/>
      <w:bookmarkStart w:id="1911" w:name="Tc_tCc_FFOtxkaRdvP9Jn7tCA_24_0"/>
      <w:bookmarkStart w:id="1912" w:name="Tc_6oMRSIGw_UCQVLRp5WizYQ_22_8"/>
      <w:bookmarkStart w:id="1913" w:name="Tc_gm0eAWjkQ0aK9y5C6qHqJw_22_5"/>
      <w:bookmarkStart w:id="1914" w:name="Tc_8Br7embU0kCK_r3s-ZhO9A_22_2"/>
      <w:bookmarkStart w:id="1915" w:name="Tc_dCZMS0QGyUS_R_q0Mpi31A_22_0"/>
      <w:bookmarkStart w:id="1916" w:name="Tc_bDzpLZ3iOkKDEeCCqe2pww_20_8"/>
      <w:bookmarkStart w:id="1917" w:name="Tc_kCMVKq54t0qYIAcEAtxZNA_20_5"/>
      <w:bookmarkStart w:id="1918" w:name="Tc_PDYMlgJe0UWnXmvPC6P7zA_20_2"/>
      <w:bookmarkStart w:id="1919" w:name="Tc_b2chR3SBAk2YwzpzunnC1g_20_0"/>
      <w:bookmarkStart w:id="1920" w:name="Tc_TXIoDnOOt02zlKurOahB_g_19_0"/>
      <w:bookmarkStart w:id="1921" w:name="Tc_oVSmZIlPf0SfmAg6OhXBOw_18_0"/>
      <w:bookmarkStart w:id="1922" w:name="Tc_tpq7b_hKM0S7YTAJrH3Aog_17_0"/>
      <w:bookmarkStart w:id="1923" w:name="Tc_yivuF96HnEmr0NXgQ95rXQ_16_8"/>
      <w:bookmarkStart w:id="1924" w:name="Tc_co7nBeePC0aT_Nzs8hnh_g_16_5"/>
      <w:bookmarkStart w:id="1925" w:name="Tc_NTPh-XQ7nke7qiiSgoLD9w_16_2"/>
      <w:bookmarkStart w:id="1926" w:name="Tc_BHrPD-DxnkWS2hDHGT8w4g_16_0"/>
      <w:bookmarkStart w:id="1927" w:name="Tc_5_dkESaFRUeDLm2eodR9HQ_15_0"/>
      <w:bookmarkStart w:id="1928" w:name="Tc_RcFdlP6BpUu_dRmDnrFG3w_13_8"/>
      <w:bookmarkStart w:id="1929" w:name="Tc_BuMHNvy4Q0GfPYF3yQFbUg_13_5"/>
      <w:bookmarkStart w:id="1930" w:name="Tc_NUP0LcPPvEC92a0RnSJSnA_13_2"/>
      <w:bookmarkStart w:id="1931" w:name="Tc_N9r7TqQ97EKlmPkGQCGAFw_13_0"/>
      <w:bookmarkStart w:id="1932" w:name="Tc_3KWglw8QuEareyEn4yZkSA_12_0"/>
      <w:bookmarkStart w:id="1933" w:name="Tc_58EapJtnBkedN2h4FMp_Qg_11_0"/>
      <w:bookmarkStart w:id="1934" w:name="Tc_csKctXz300GzySYKj01tyg_10_8"/>
      <w:bookmarkStart w:id="1935" w:name="Tc_0oBqSnsJsE-CCLakYj6tbg_10_5"/>
      <w:bookmarkStart w:id="1936" w:name="Tc_mqSezFakLUSJ1gISYtuqMg_10_2"/>
      <w:bookmarkStart w:id="1937" w:name="Tc__Hh9w7uClkSA585lP_3pLQ_10_0"/>
      <w:bookmarkStart w:id="1938" w:name="Tc_Hl6mON8y-kaIqcDXlbFbrw_9_0"/>
      <w:bookmarkStart w:id="1939" w:name="Tc_MOEg2cso3ECS0XsrEHrmAQ_7_8"/>
      <w:bookmarkStart w:id="1940" w:name="Tc_pBKF_vMB0E-sY6FYMy9U1w_7_5"/>
      <w:bookmarkStart w:id="1941" w:name="Tc_1HjRMbOVnkGEDGYXfli3eA_7_2"/>
      <w:bookmarkStart w:id="1942" w:name="Tc_at5ilinvOkyC6kmMn4_ZiA_7_0"/>
      <w:bookmarkStart w:id="1943" w:name="Tc_-7gPYTAJV0ur0d8pxuaorA_6_0"/>
      <w:bookmarkStart w:id="1944" w:name="Tc_X26ZXPEEfUa7H2vOF4Utvg_5_0"/>
      <w:bookmarkStart w:id="1945" w:name="Tc_cGHedEYP5E659tqOP45pOw_4_0"/>
      <w:bookmarkStart w:id="1946" w:name="Tc_OvyV_YekBUCToShEdkxUWQ_3_8"/>
      <w:bookmarkStart w:id="1947" w:name="Tc_iVwxZcV4NU2jFmpZyzfYGA_3_5"/>
      <w:bookmarkStart w:id="1948" w:name="Tc_4FXNJIdF7EeAC0Y_ksiyjA_3_2"/>
      <w:bookmarkStart w:id="1949" w:name="Tc_N-1zMz_1Mkec-3osG4e_8Q_3_0"/>
      <w:bookmarkStart w:id="1950" w:name="Tc_btPtP-cB5UWsE0k9Gx8Pww_2_0"/>
      <w:bookmarkStart w:id="1951" w:name="Tc_I0YBskxSi0C-dw6KrhouLg_1_8"/>
      <w:bookmarkStart w:id="1952" w:name="Tc_UqNZ-ESVnEC2W6EBMz8_aw_1_5"/>
      <w:bookmarkStart w:id="1953" w:name="Tc_r9v-1jVpJE2BuifuyZu15w_1_2"/>
      <w:bookmarkStart w:id="1954" w:name="_3669108f_8ac5_4137_9c03_0362e508fe7a"/>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r>
        <w:rPr>
          <w:rFonts w:ascii="Times New Roman;Times;serif" w:hAnsi="Times New Roman;Times;serif"/>
          <w:sz w:val="20"/>
        </w:rPr>
        <w:t>The following table presents, for the periods indicated, our disaggregated net sales (in thousands) by business unit for each segment.</w:t>
      </w:r>
    </w:p>
    <w:tbl>
      <w:tblPr>
        <w:tblW w:w="6370" w:type="dxa"/>
        <w:jc w:val="left"/>
        <w:tblInd w:w="0" w:type="dxa"/>
        <w:tblLayout w:type="fixed"/>
        <w:tblCellMar>
          <w:top w:w="0" w:type="dxa"/>
          <w:left w:w="0" w:type="dxa"/>
          <w:bottom w:w="0" w:type="dxa"/>
          <w:right w:w="0" w:type="dxa"/>
        </w:tblCellMar>
      </w:tblPr>
      <w:tblGrid>
        <w:gridCol w:w="1861"/>
        <w:gridCol w:w="326"/>
        <w:gridCol w:w="211"/>
        <w:gridCol w:w="931"/>
        <w:gridCol w:w="326"/>
        <w:gridCol w:w="211"/>
        <w:gridCol w:w="931"/>
        <w:gridCol w:w="326"/>
        <w:gridCol w:w="211"/>
        <w:gridCol w:w="103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181735" cy="175260"/>
                      <wp:effectExtent l="0" t="0" r="0" b="0"/>
                      <wp:wrapNone/>
                      <wp:docPr id="658" name="Frame658"/>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59"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33985" cy="175260"/>
                      <wp:effectExtent l="0" t="0" r="0" b="0"/>
                      <wp:wrapNone/>
                      <wp:docPr id="660" name="Frame6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591185" cy="175260"/>
                      <wp:effectExtent l="0" t="0" r="0" b="0"/>
                      <wp:wrapNone/>
                      <wp:docPr id="661" name="Frame6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62"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33985" cy="175260"/>
                      <wp:effectExtent l="0" t="0" r="0" b="0"/>
                      <wp:wrapNone/>
                      <wp:docPr id="663" name="Frame6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591185" cy="175260"/>
                      <wp:effectExtent l="0" t="0" r="0" b="0"/>
                      <wp:wrapNone/>
                      <wp:docPr id="664" name="Frame6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5" name="Frame6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6" name="Frame6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57860" cy="175260"/>
                      <wp:effectExtent l="0" t="0" r="0" b="0"/>
                      <wp:wrapNone/>
                      <wp:docPr id="667" name="Frame6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Retail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Deckorators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326,011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248,765</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ProWood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2,494,362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3,152,950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3,013,620</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UFP Edge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148,927</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Retail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2,886,515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3,650,639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3,418,337</w:t>
            </w:r>
          </w:p>
        </w:tc>
      </w:tr>
      <w:tr>
        <w:trPr/>
        <w:tc>
          <w:tcPr>
            <w:tcW w:w="18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8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Packaging</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18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Structural Packaging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1,225,204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1,554,857</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PalletOne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628,969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574,466</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Protective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18,819</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Packaging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2,394,681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2,148,142</w:t>
            </w:r>
          </w:p>
        </w:tc>
      </w:tr>
      <w:tr>
        <w:trPr/>
        <w:tc>
          <w:tcPr>
            <w:tcW w:w="18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Construction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Factory Built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718,773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1,098,905</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Site Built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977,129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1,361,607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1,190,393</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265,079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259,360</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Concrete Forming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149,776</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Construction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2,161,059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3,143,868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2,698,434</w:t>
            </w:r>
          </w:p>
        </w:tc>
      </w:tr>
      <w:tr>
        <w:trPr/>
        <w:tc>
          <w:tcPr>
            <w:tcW w:w="1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362,473</w:t>
            </w:r>
          </w:p>
        </w:tc>
      </w:tr>
      <w:tr>
        <w:trPr/>
        <w:tc>
          <w:tcPr>
            <w:tcW w:w="1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8,748</w:t>
            </w:r>
          </w:p>
        </w:tc>
      </w:tr>
      <w:tr>
        <w:trPr/>
        <w:tc>
          <w:tcPr>
            <w:tcW w:w="1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7,218,384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9,626,739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8,636,134</w:t>
            </w:r>
          </w:p>
        </w:tc>
      </w:tr>
    </w:tbl>
    <w:p>
      <w:pPr>
        <w:pStyle w:val="TextBody"/>
        <w:bidi w:val="0"/>
        <w:spacing w:before="120" w:after="240"/>
        <w:ind w:left="0" w:right="0" w:hanging="0"/>
        <w:jc w:val="left"/>
        <w:rPr>
          <w:rFonts w:ascii="Times New Roman;Times;serif" w:hAnsi="Times New Roman;Times;serif"/>
          <w:sz w:val="16"/>
        </w:rPr>
      </w:pPr>
      <w:r>
        <w:rPr>
          <w:rFonts w:ascii="Times New Roman;Times;serif" w:hAnsi="Times New Roman;Times;serif"/>
          <w:sz w:val="16"/>
        </w:rPr>
        <w:t xml:space="preserve">(1) Effective January 1, 2023, the Packaging segment established new business units as follows: Structural Packaging, PalletOne, and Protective Packaging Solutions. This change resulted in the transfer of net sales from the these geographic business units to Structural Packaging, PalletOne and Protective Packaging in 2023. Product codes have been transferred within these three business units during 2023, and prior year figures have been updated to reflect the change for comparability purposes.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955" w:name="Tc_f9qpPx5ILkyDWest5hPJUw_16_0"/>
      <w:bookmarkStart w:id="1956" w:name="Tc_VqW7khhf3ECJI-wEHClSoA_15_0"/>
      <w:bookmarkStart w:id="1957" w:name="Tc_nM3UiWUkr0-_soiKnFvX3Q_14_0"/>
      <w:bookmarkStart w:id="1958" w:name="Tc_Xm7xwGNrKU2SCxtGagtDzA_13_0"/>
      <w:bookmarkStart w:id="1959" w:name="Tc_u0baghK8TUChA7foCPSbZA_12_0"/>
      <w:bookmarkStart w:id="1960" w:name="Tc_-KFGEDttY0uF63OFmWiRNQ_11_0"/>
      <w:bookmarkStart w:id="1961" w:name="Tc_EiGXx03BVkycPQqmSvhENA_10_0"/>
      <w:bookmarkStart w:id="1962" w:name="Tc_v8x_EJ2Rk0uOQGBl2-6Utw_8_0"/>
      <w:bookmarkStart w:id="1963" w:name="Tc_DbXKOoWSx0OZ7g9HAIwVYQ_7_0"/>
      <w:bookmarkStart w:id="1964" w:name="Tc__lwCyF75tUmpLpfo4_BwAg_6_0"/>
      <w:bookmarkStart w:id="1965" w:name="Tc_XvOEab_6AESiNUDk73sMZw_5_0"/>
      <w:bookmarkStart w:id="1966" w:name="Tc_C38sosKsdECHk3QRSpVgAA_4_0"/>
      <w:bookmarkStart w:id="1967" w:name="Tc_B5XoVk-GC0uY8cQChk1grA_3_0"/>
      <w:bookmarkStart w:id="1968" w:name="Tc_ChF5xpK-j0Wd9rdgSNjvyA_2_0"/>
      <w:bookmarkStart w:id="1969" w:name="Tc_t7tvhcVRuEOwaKDLwZ75zg_1_8"/>
      <w:bookmarkStart w:id="1970" w:name="Tc_-CnKDt_qWUaOaeLFDgRnSw_1_5"/>
      <w:bookmarkStart w:id="1971" w:name="Tc_uQziIC_TnkiCSGn9eu3d-g_1_2"/>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Pr>
          <w:rFonts w:ascii="Times New Roman;Times;serif" w:hAnsi="Times New Roman;Times;serif"/>
          <w:sz w:val="20"/>
        </w:rPr>
        <w:t>The following table presents, for the periods indicated, our percentage of value-added and commodity-based sales to total net sales by segment.</w:t>
      </w:r>
    </w:p>
    <w:p>
      <w:pPr>
        <w:pStyle w:val="TextBody"/>
        <w:bidi w:val="0"/>
        <w:spacing w:before="0" w:after="0"/>
        <w:ind w:left="0" w:right="0" w:hanging="0"/>
        <w:jc w:val="left"/>
        <w:rPr/>
      </w:pPr>
      <w:r>
        <w:rPr/>
        <w:t>​</w:t>
      </w:r>
    </w:p>
    <w:tbl>
      <w:tblPr>
        <w:tblW w:w="4782" w:type="dxa"/>
        <w:jc w:val="left"/>
        <w:tblInd w:w="0" w:type="dxa"/>
        <w:tblLayout w:type="fixed"/>
        <w:tblCellMar>
          <w:top w:w="0" w:type="dxa"/>
          <w:left w:w="0" w:type="dxa"/>
          <w:bottom w:w="0" w:type="dxa"/>
          <w:right w:w="0" w:type="dxa"/>
        </w:tblCellMar>
      </w:tblPr>
      <w:tblGrid>
        <w:gridCol w:w="1696"/>
        <w:gridCol w:w="109"/>
        <w:gridCol w:w="109"/>
        <w:gridCol w:w="631"/>
        <w:gridCol w:w="326"/>
        <w:gridCol w:w="109"/>
        <w:gridCol w:w="631"/>
        <w:gridCol w:w="326"/>
        <w:gridCol w:w="109"/>
        <w:gridCol w:w="73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076960" cy="175260"/>
                      <wp:effectExtent l="0" t="0" r="0" b="0"/>
                      <wp:wrapNone/>
                      <wp:docPr id="668" name="Frame66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9215" cy="175260"/>
                      <wp:effectExtent l="0" t="0" r="0" b="0"/>
                      <wp:wrapNone/>
                      <wp:docPr id="669" name="Frame6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9215" cy="175260"/>
                      <wp:effectExtent l="0" t="0" r="0" b="0"/>
                      <wp:wrapNone/>
                      <wp:docPr id="670" name="Frame6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400685" cy="175260"/>
                      <wp:effectExtent l="0" t="0" r="0" b="0"/>
                      <wp:wrapNone/>
                      <wp:docPr id="671" name="Frame67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07010" cy="175260"/>
                      <wp:effectExtent l="0" t="0" r="0" b="0"/>
                      <wp:wrapNone/>
                      <wp:docPr id="672" name="Frame6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9215" cy="175260"/>
                      <wp:effectExtent l="0" t="0" r="0" b="0"/>
                      <wp:wrapNone/>
                      <wp:docPr id="673" name="Frame6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400685" cy="175260"/>
                      <wp:effectExtent l="0" t="0" r="0" b="0"/>
                      <wp:wrapNone/>
                      <wp:docPr id="674" name="Frame67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5" name="Frame6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9215" cy="175260"/>
                      <wp:effectExtent l="0" t="0" r="0" b="0"/>
                      <wp:wrapNone/>
                      <wp:docPr id="676" name="Frame6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467360" cy="175260"/>
                      <wp:effectExtent l="0" t="0" r="0" b="0"/>
                      <wp:wrapNone/>
                      <wp:docPr id="677" name="Frame6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40"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40"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45"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Value-Added</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16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Commodity-Based</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Packaging</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40.3%</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972" w:name="Tc_RWVuLvrWvEGU3p8AOdNgLg_8_0"/>
      <w:bookmarkStart w:id="1973" w:name="Tc_T7h3F_xbVEuUjv4yN18MQg_7_0"/>
      <w:bookmarkStart w:id="1974" w:name="Tc_oARpPmKNxkSWMSHGK_mMEg_6_0"/>
      <w:bookmarkStart w:id="1975" w:name="Tc_yrtnp6uI80-njjfkjRyvlA_5_0"/>
      <w:bookmarkStart w:id="1976" w:name="Tc_0hH4oIHuzkGxv8fHhDCDJw_4_0"/>
      <w:bookmarkStart w:id="1977" w:name="Tc__uizvzDWyECYRKWDyUF_pA_3_23"/>
      <w:bookmarkStart w:id="1978" w:name="Tc_SfEFW8dTMkK9SItK-kDQOg_3_20"/>
      <w:bookmarkStart w:id="1979" w:name="Tc_JKJhtDrcmEmLhZ4-sdY9Kg_3_17"/>
      <w:bookmarkStart w:id="1980" w:name="Tc_Z4-gLtHBm0G2j1uv2ACQbg_3_14"/>
      <w:bookmarkStart w:id="1981" w:name="Tc_EEplQGnD6EOV4DiOdkZoxA_3_11"/>
      <w:bookmarkStart w:id="1982" w:name="Tc_cZqCToGVZkCjuBD4XICWKw_3_8"/>
      <w:bookmarkStart w:id="1983" w:name="Tc_Xh4S08kWsEyDljzk1gjM1w_3_5"/>
      <w:bookmarkStart w:id="1984" w:name="Tc_zAQARP0w5EuQVN8DjtpoWA_3_2"/>
      <w:bookmarkStart w:id="1985" w:name="Tc_FcKVBYmQgUOnPk8QqabJsw_3_0"/>
      <w:bookmarkStart w:id="1986" w:name="Tc_nhNLRVEo3k6YsabdVVNZkQ_2_23"/>
      <w:bookmarkStart w:id="1987" w:name="Tc_FK3QuyYOkUymxPbaEifPew_2_20"/>
      <w:bookmarkStart w:id="1988" w:name="Tc_7Vkhhta9XE6w63pr3YJx4w_2_17"/>
      <w:bookmarkStart w:id="1989" w:name="Tc_hEyLj_qK7UWfFGZwnpOh0w_2_14"/>
      <w:bookmarkStart w:id="1990" w:name="Tc_9GtMvVU7Ekau6CJNSY46CA_2_11"/>
      <w:bookmarkStart w:id="1991" w:name="Tc_isdVg_wjXU2aX1fzrAO4YQ_2_8"/>
      <w:bookmarkStart w:id="1992" w:name="Tc_wTz3KYbv-UiDtn_jWgPeKw_2_5"/>
      <w:bookmarkStart w:id="1993" w:name="Tc_e0FkOzOKCkKbETViG3p_Fw_2_2"/>
      <w:bookmarkStart w:id="1994" w:name="Tc_cj3UohD4kEqYEx_ZOLUX8Q_1_20"/>
      <w:bookmarkStart w:id="1995" w:name="Tc_jBMXhil3VES4zPnpbi7I2w_1_14"/>
      <w:bookmarkStart w:id="1996" w:name="Tc_lhYVN2bLdUqmTy0sIgMakA_1_8"/>
      <w:bookmarkStart w:id="1997" w:name="Tc_oqaDT78AtUygmQfD09VusA_1_2"/>
      <w:bookmarkStart w:id="1998" w:name="_c346dd49_9b70_4696_a342_d86c65c6fcce"/>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r>
        <w:rPr>
          <w:rFonts w:ascii="Times New Roman;Times;serif" w:hAnsi="Times New Roman;Times;serif"/>
          <w:b/>
          <w:i w:val="false"/>
          <w:caps w:val="false"/>
          <w:smallCaps w:val="false"/>
          <w:sz w:val="20"/>
        </w:rPr>
        <w:t>N.</w:t>
      </w:r>
      <w:r>
        <w:rPr>
          <w:rFonts w:ascii="Times New Roman;Times;serif" w:hAnsi="Times New Roman;Times;serif"/>
          <w:b/>
          <w:sz w:val="20"/>
        </w:rPr>
        <w:t>QUARTERLY FINANCIAL INFORMATION (UNAUDITED)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selected financial information for all of the quarters, consisting of 52 weeks during the year ended December 30, 2023 and 53 weeks during the year ended December 31, 2022, (in thousands, except per share data):</w:t>
      </w:r>
    </w:p>
    <w:tbl>
      <w:tblPr>
        <w:tblW w:w="11730" w:type="dxa"/>
        <w:jc w:val="left"/>
        <w:tblInd w:w="0" w:type="dxa"/>
        <w:tblLayout w:type="fixed"/>
        <w:tblCellMar>
          <w:top w:w="0" w:type="dxa"/>
          <w:left w:w="0" w:type="dxa"/>
          <w:bottom w:w="0" w:type="dxa"/>
          <w:right w:w="0" w:type="dxa"/>
        </w:tblCellMar>
      </w:tblPr>
      <w:tblGrid>
        <w:gridCol w:w="901"/>
        <w:gridCol w:w="326"/>
        <w:gridCol w:w="196"/>
        <w:gridCol w:w="826"/>
        <w:gridCol w:w="326"/>
        <w:gridCol w:w="196"/>
        <w:gridCol w:w="826"/>
        <w:gridCol w:w="326"/>
        <w:gridCol w:w="196"/>
        <w:gridCol w:w="826"/>
        <w:gridCol w:w="326"/>
        <w:gridCol w:w="196"/>
        <w:gridCol w:w="826"/>
        <w:gridCol w:w="326"/>
        <w:gridCol w:w="196"/>
        <w:gridCol w:w="826"/>
        <w:gridCol w:w="326"/>
        <w:gridCol w:w="196"/>
        <w:gridCol w:w="826"/>
        <w:gridCol w:w="326"/>
        <w:gridCol w:w="196"/>
        <w:gridCol w:w="826"/>
        <w:gridCol w:w="326"/>
        <w:gridCol w:w="196"/>
        <w:gridCol w:w="871"/>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572135" cy="175260"/>
                      <wp:effectExtent l="0" t="0" r="0" b="0"/>
                      <wp:wrapNone/>
                      <wp:docPr id="678" name="Frame67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07010" cy="175260"/>
                      <wp:effectExtent l="0" t="0" r="0" b="0"/>
                      <wp:wrapNone/>
                      <wp:docPr id="679" name="Frame6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24460" cy="175260"/>
                      <wp:effectExtent l="0" t="0" r="0" b="0"/>
                      <wp:wrapNone/>
                      <wp:docPr id="680" name="Frame6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524510" cy="175260"/>
                      <wp:effectExtent l="0" t="0" r="0" b="0"/>
                      <wp:wrapNone/>
                      <wp:docPr id="681" name="Frame6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2" name="Frame6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24460" cy="175260"/>
                      <wp:effectExtent l="0" t="0" r="0" b="0"/>
                      <wp:wrapNone/>
                      <wp:docPr id="683" name="Frame6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524510" cy="175260"/>
                      <wp:effectExtent l="0" t="0" r="0" b="0"/>
                      <wp:wrapNone/>
                      <wp:docPr id="684" name="Frame6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5" name="Frame6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24460" cy="175260"/>
                      <wp:effectExtent l="0" t="0" r="0" b="0"/>
                      <wp:wrapNone/>
                      <wp:docPr id="686" name="Frame6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524510" cy="175260"/>
                      <wp:effectExtent l="0" t="0" r="0" b="0"/>
                      <wp:wrapNone/>
                      <wp:docPr id="687" name="Frame6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7010" cy="175260"/>
                      <wp:effectExtent l="0" t="0" r="0" b="0"/>
                      <wp:wrapNone/>
                      <wp:docPr id="688" name="Frame6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24460" cy="175260"/>
                      <wp:effectExtent l="0" t="0" r="0" b="0"/>
                      <wp:wrapNone/>
                      <wp:docPr id="689" name="Frame6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524510" cy="175260"/>
                      <wp:effectExtent l="0" t="0" r="0" b="0"/>
                      <wp:wrapNone/>
                      <wp:docPr id="690" name="Frame6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07010" cy="175260"/>
                      <wp:effectExtent l="0" t="0" r="0" b="0"/>
                      <wp:wrapNone/>
                      <wp:docPr id="691" name="Frame6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24460" cy="175260"/>
                      <wp:effectExtent l="0" t="0" r="0" b="0"/>
                      <wp:wrapNone/>
                      <wp:docPr id="692" name="Frame6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524510" cy="175260"/>
                      <wp:effectExtent l="0" t="0" r="0" b="0"/>
                      <wp:wrapNone/>
                      <wp:docPr id="693" name="Frame6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07010" cy="175260"/>
                      <wp:effectExtent l="0" t="0" r="0" b="0"/>
                      <wp:wrapNone/>
                      <wp:docPr id="694" name="Frame6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24460" cy="175260"/>
                      <wp:effectExtent l="0" t="0" r="0" b="0"/>
                      <wp:wrapNone/>
                      <wp:docPr id="695" name="Frame6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524510" cy="175260"/>
                      <wp:effectExtent l="0" t="0" r="0" b="0"/>
                      <wp:wrapNone/>
                      <wp:docPr id="696" name="Frame69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07010" cy="175260"/>
                      <wp:effectExtent l="0" t="0" r="0" b="0"/>
                      <wp:wrapNone/>
                      <wp:docPr id="697" name="Frame6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24460" cy="175260"/>
                      <wp:effectExtent l="0" t="0" r="0" b="0"/>
                      <wp:wrapNone/>
                      <wp:docPr id="698" name="Frame6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524510" cy="175260"/>
                      <wp:effectExtent l="0" t="0" r="0" b="0"/>
                      <wp:wrapNone/>
                      <wp:docPr id="699" name="Frame69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07010" cy="175260"/>
                      <wp:effectExtent l="0" t="0" r="0" b="0"/>
                      <wp:wrapNone/>
                      <wp:docPr id="700" name="Frame7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24460" cy="175260"/>
                      <wp:effectExtent l="0" t="0" r="0" b="0"/>
                      <wp:wrapNone/>
                      <wp:docPr id="701" name="Frame7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553085" cy="175260"/>
                      <wp:effectExtent l="0" t="0" r="0" b="0"/>
                      <wp:wrapNone/>
                      <wp:docPr id="702" name="Frame70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First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Second</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Third</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Fourth</w:t>
            </w:r>
          </w:p>
        </w:tc>
      </w:tr>
      <w:tr>
        <w:trPr/>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1,822,476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2,489,313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2,043,918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2,900,874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1,827,637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2,322,855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1,524,353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1,913,697</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358,329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478,363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503,452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364,400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450,176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296,142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357,470</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193,131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207,853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172,101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131,879</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controlling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189,703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150,761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203,118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167,241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132,589</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99" w:name="PRICERANGEOFCOMMONSTOCKANDDIVIDENDS_5875"/>
      <w:bookmarkStart w:id="2000" w:name="_2b51eafc_fff3_424d_9c0a_aac3d2c16d69"/>
      <w:bookmarkEnd w:id="1999"/>
      <w:bookmarkEnd w:id="2000"/>
      <w:r>
        <w:rPr>
          <w:rFonts w:ascii="Times New Roman;Times;serif" w:hAnsi="Times New Roman;Times;serif"/>
          <w:b/>
          <w:sz w:val="20"/>
        </w:rPr>
        <w:t>MARKET INFORMATION FOR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common stock trades on The Nasdaq Stock Market (“NASDAQ”) under the symbol UFPI. </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001" w:name="STOCKPERFORMANCEGRAPH_977661"/>
      <w:bookmarkStart w:id="2002" w:name="_718088ad_e55c_4637_af4e_4ad483ec0377"/>
      <w:bookmarkEnd w:id="2001"/>
      <w:bookmarkEnd w:id="2002"/>
      <w:r>
        <w:rPr>
          <w:rFonts w:ascii="Times New Roman;Times;serif" w:hAnsi="Times New Roman;Times;serif"/>
          <w:b/>
          <w:sz w:val="20"/>
        </w:rPr>
        <w:t>STOCK PERFORMANCE GRAPH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stock price performance graph compares the annual percentage change in the cumulative total return on our common stock with the cumulative total returns of companies comprising the NASDAQ US Benchmark TR index and an industry peer group we selected. The NASDAQ US Benchmark TR index replaces the NASDAQ Stock Market (US Companies) Index in this analysis and going forward, as the CRSP Index data is no longer accessible. The CRSP indexes has been included with data through 2020. The graph assumes an investment of $100 on December 29, 2018, and reinvestment of dividends in all cases.</w:t>
      </w:r>
    </w:p>
    <w:p>
      <w:pPr>
        <w:pStyle w:val="TextBody"/>
        <w:bidi w:val="0"/>
        <w:spacing w:before="0" w:after="240"/>
        <w:ind w:left="0" w:right="0" w:hanging="0"/>
        <w:jc w:val="center"/>
        <w:rPr/>
      </w:pPr>
      <w:r>
        <w:rPr/>
        <w:drawing>
          <wp:inline distT="0" distB="0" distL="0" distR="0">
            <wp:extent cx="6163310" cy="3270885"/>
            <wp:effectExtent l="0" t="0" r="0" b="0"/>
            <wp:docPr id="70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1" descr=""/>
                    <pic:cNvPicPr>
                      <a:picLocks noChangeAspect="1" noChangeArrowheads="1"/>
                    </pic:cNvPicPr>
                  </pic:nvPicPr>
                  <pic:blipFill>
                    <a:blip r:embed="rId9"/>
                    <a:stretch>
                      <a:fillRect/>
                    </a:stretch>
                  </pic:blipFill>
                  <pic:spPr bwMode="auto">
                    <a:xfrm>
                      <a:off x="0" y="0"/>
                      <a:ext cx="6163310" cy="3270885"/>
                    </a:xfrm>
                    <a:prstGeom prst="rect">
                      <a:avLst/>
                    </a:prstGeom>
                  </pic:spPr>
                </pic:pic>
              </a:graphicData>
            </a:graphic>
          </wp:inline>
        </w:drawing>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included in our self-determined industry peer group are as follows:</w:t>
      </w:r>
    </w:p>
    <w:tbl>
      <w:tblPr>
        <w:tblW w:w="6227" w:type="dxa"/>
        <w:jc w:val="left"/>
        <w:tblInd w:w="0" w:type="dxa"/>
        <w:tblLayout w:type="fixed"/>
        <w:tblCellMar>
          <w:top w:w="0" w:type="dxa"/>
          <w:left w:w="0" w:type="dxa"/>
          <w:bottom w:w="0" w:type="dxa"/>
          <w:right w:w="0" w:type="dxa"/>
        </w:tblCellMar>
      </w:tblPr>
      <w:tblGrid>
        <w:gridCol w:w="2881"/>
        <w:gridCol w:w="3346"/>
      </w:tblGrid>
      <w:tr>
        <w:trPr/>
        <w:tc>
          <w:tcPr>
            <w:tcW w:w="2881"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American Woodmark Corporation</w:t>
            </w:r>
          </w:p>
        </w:tc>
        <w:tc>
          <w:tcPr>
            <w:tcW w:w="334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Masco Corporation</w:t>
            </w:r>
          </w:p>
        </w:tc>
      </w:tr>
      <w:tr>
        <w:trPr/>
        <w:tc>
          <w:tcPr>
            <w:tcW w:w="28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Boise Cascade Company</w:t>
            </w:r>
          </w:p>
        </w:tc>
        <w:tc>
          <w:tcPr>
            <w:tcW w:w="334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Patrick Industries, Inc.</w:t>
            </w:r>
          </w:p>
        </w:tc>
      </w:tr>
      <w:tr>
        <w:trPr/>
        <w:tc>
          <w:tcPr>
            <w:tcW w:w="28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Builders FirstSource, Inc.</w:t>
            </w:r>
          </w:p>
        </w:tc>
        <w:tc>
          <w:tcPr>
            <w:tcW w:w="334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Simpson Manufacturing Company, Inc.</w:t>
            </w:r>
          </w:p>
        </w:tc>
      </w:tr>
      <w:tr>
        <w:trPr/>
        <w:tc>
          <w:tcPr>
            <w:tcW w:w="28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Gibraltar Industries, Inc.</w:t>
            </w:r>
          </w:p>
        </w:tc>
        <w:tc>
          <w:tcPr>
            <w:tcW w:w="334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Sonoco Products Company</w:t>
            </w:r>
          </w:p>
        </w:tc>
      </w:tr>
      <w:tr>
        <w:trPr/>
        <w:tc>
          <w:tcPr>
            <w:tcW w:w="28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Greif, Inc.</w:t>
            </w:r>
          </w:p>
        </w:tc>
        <w:tc>
          <w:tcPr>
            <w:tcW w:w="334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Trex Company, Inc.</w:t>
            </w:r>
          </w:p>
        </w:tc>
      </w:tr>
      <w:tr>
        <w:trPr/>
        <w:tc>
          <w:tcPr>
            <w:tcW w:w="28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Louisiana-Pacific Corporation</w:t>
            </w:r>
          </w:p>
        </w:tc>
        <w:tc>
          <w:tcPr>
            <w:tcW w:w="334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WestRock Company</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03" w:name="DirectorsandExecutiveOfficers_472146"/>
      <w:bookmarkStart w:id="2004" w:name="_74a822a9_a597_4d29_a0fd_5ae41673dd4b"/>
      <w:bookmarkEnd w:id="2003"/>
      <w:bookmarkEnd w:id="2004"/>
      <w:r>
        <w:rPr>
          <w:rFonts w:ascii="Times New Roman;Times;serif" w:hAnsi="Times New Roman;Times;serif"/>
          <w:b/>
          <w:sz w:val="20"/>
        </w:rPr>
        <w:t>DIRECTORS AND EXECUTIVE OFFICERS</w:t>
      </w:r>
    </w:p>
    <w:tbl>
      <w:tblPr>
        <w:tblW w:w="8582" w:type="dxa"/>
        <w:jc w:val="left"/>
        <w:tblInd w:w="0" w:type="dxa"/>
        <w:tblLayout w:type="fixed"/>
        <w:tblCellMar>
          <w:top w:w="0" w:type="dxa"/>
          <w:left w:w="0" w:type="dxa"/>
          <w:bottom w:w="0" w:type="dxa"/>
          <w:right w:w="0" w:type="dxa"/>
        </w:tblCellMar>
      </w:tblPr>
      <w:tblGrid>
        <w:gridCol w:w="4276"/>
        <w:gridCol w:w="4306"/>
      </w:tblGrid>
      <w:tr>
        <w:trPr/>
        <w:tc>
          <w:tcPr>
            <w:tcW w:w="427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BOARD OF DIRECTORS</w:t>
            </w:r>
          </w:p>
        </w:tc>
        <w:tc>
          <w:tcPr>
            <w:tcW w:w="430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SECTION 16 OFFICERS </w:t>
            </w:r>
          </w:p>
        </w:tc>
      </w:tr>
      <w:tr>
        <w:trPr/>
        <w:tc>
          <w:tcPr>
            <w:tcW w:w="427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J. Missad</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Chairman of the Board and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UFP Industries, Inc.</w:t>
            </w:r>
          </w:p>
        </w:tc>
        <w:tc>
          <w:tcPr>
            <w:tcW w:w="43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J. Missad</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427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William G. Currie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UFP Industries, Inc.</w:t>
            </w:r>
          </w:p>
        </w:tc>
        <w:tc>
          <w:tcPr>
            <w:tcW w:w="43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R. Cole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and Treasurer</w:t>
            </w:r>
          </w:p>
        </w:tc>
      </w:tr>
      <w:tr>
        <w:trPr/>
        <w:tc>
          <w:tcPr>
            <w:tcW w:w="427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W. Rhodes</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TWR Enterprises, Inc.</w:t>
            </w:r>
          </w:p>
        </w:tc>
        <w:tc>
          <w:tcPr>
            <w:tcW w:w="43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Patrick Benton</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UFP Construction, LLC</w:t>
            </w:r>
          </w:p>
        </w:tc>
      </w:tr>
      <w:tr>
        <w:trPr/>
        <w:tc>
          <w:tcPr>
            <w:tcW w:w="4276" w:type="dxa"/>
            <w:tcBorders/>
            <w:vAlign w:val="center"/>
          </w:tcPr>
          <w:p>
            <w:pPr>
              <w:pStyle w:val="TableContents"/>
              <w:bidi w:val="0"/>
              <w:spacing w:before="0" w:after="0"/>
              <w:ind w:left="0" w:right="0" w:hanging="0"/>
              <w:jc w:val="both"/>
              <w:rPr/>
            </w:pPr>
            <w:r>
              <w:rPr/>
              <w:t>​</w:t>
            </w:r>
          </w:p>
        </w:tc>
        <w:tc>
          <w:tcPr>
            <w:tcW w:w="4306" w:type="dxa"/>
            <w:tcBorders/>
            <w:vAlign w:val="center"/>
          </w:tcPr>
          <w:p>
            <w:pPr>
              <w:pStyle w:val="TableContents"/>
              <w:bidi w:val="0"/>
              <w:spacing w:before="0" w:after="0"/>
              <w:ind w:left="0" w:right="0" w:hanging="0"/>
              <w:jc w:val="both"/>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Bruce A. Merino</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UFP Industries, Inc.</w:t>
            </w:r>
          </w:p>
        </w:tc>
        <w:tc>
          <w:tcPr>
            <w:tcW w:w="43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A. Worthington</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UFP Packaging, LLC</w:t>
            </w:r>
          </w:p>
        </w:tc>
      </w:tr>
      <w:tr>
        <w:trPr/>
        <w:tc>
          <w:tcPr>
            <w:tcW w:w="4276" w:type="dxa"/>
            <w:tcBorders/>
            <w:vAlign w:val="center"/>
          </w:tcPr>
          <w:p>
            <w:pPr>
              <w:pStyle w:val="TableContents"/>
              <w:bidi w:val="0"/>
              <w:spacing w:before="0" w:after="0"/>
              <w:ind w:left="0" w:right="0" w:hanging="0"/>
              <w:jc w:val="both"/>
              <w:rPr/>
            </w:pPr>
            <w:r>
              <w:rPr/>
              <w:t>​</w:t>
            </w:r>
          </w:p>
        </w:tc>
        <w:tc>
          <w:tcPr>
            <w:tcW w:w="4306" w:type="dxa"/>
            <w:tcBorders/>
            <w:vAlign w:val="center"/>
          </w:tcPr>
          <w:p>
            <w:pPr>
              <w:pStyle w:val="TableContents"/>
              <w:bidi w:val="0"/>
              <w:spacing w:before="0" w:after="0"/>
              <w:ind w:left="0" w:right="0" w:hanging="0"/>
              <w:jc w:val="both"/>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Mary Tuuk Kuras</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c>
          <w:tcPr>
            <w:tcW w:w="43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William D. Schwartz, Jr.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Retail Solutions, LLC</w:t>
            </w:r>
          </w:p>
        </w:tc>
      </w:tr>
      <w:tr>
        <w:trPr/>
        <w:tc>
          <w:tcPr>
            <w:tcW w:w="4276" w:type="dxa"/>
            <w:tcBorders/>
            <w:vAlign w:val="center"/>
          </w:tcPr>
          <w:p>
            <w:pPr>
              <w:pStyle w:val="TableContents"/>
              <w:bidi w:val="0"/>
              <w:spacing w:before="0" w:after="0"/>
              <w:ind w:left="0" w:right="0" w:hanging="0"/>
              <w:jc w:val="both"/>
              <w:rPr/>
            </w:pPr>
            <w:r>
              <w:rPr/>
              <w:t>​</w:t>
            </w:r>
          </w:p>
        </w:tc>
        <w:tc>
          <w:tcPr>
            <w:tcW w:w="4306" w:type="dxa"/>
            <w:tcBorders/>
            <w:vAlign w:val="center"/>
          </w:tcPr>
          <w:p>
            <w:pPr>
              <w:pStyle w:val="TableContents"/>
              <w:bidi w:val="0"/>
              <w:spacing w:before="0" w:after="0"/>
              <w:ind w:left="0" w:right="0" w:hanging="0"/>
              <w:jc w:val="both"/>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Brian C. Walker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Partner-Strategic Leadership</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Huron Capital</w:t>
            </w:r>
          </w:p>
        </w:tc>
        <w:tc>
          <w:tcPr>
            <w:tcW w:w="43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A. Tutas</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Compliance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Counsel</w:t>
            </w:r>
          </w:p>
        </w:tc>
      </w:tr>
      <w:tr>
        <w:trPr/>
        <w:tc>
          <w:tcPr>
            <w:tcW w:w="4276" w:type="dxa"/>
            <w:tcBorders/>
            <w:vAlign w:val="center"/>
          </w:tcPr>
          <w:p>
            <w:pPr>
              <w:pStyle w:val="TableContents"/>
              <w:bidi w:val="0"/>
              <w:spacing w:before="0" w:after="0"/>
              <w:ind w:left="0" w:right="0" w:hanging="0"/>
              <w:jc w:val="both"/>
              <w:rPr/>
            </w:pPr>
            <w:r>
              <w:rPr/>
              <w:t>​</w:t>
            </w:r>
          </w:p>
        </w:tc>
        <w:tc>
          <w:tcPr>
            <w:tcW w:w="4306" w:type="dxa"/>
            <w:tcBorders/>
            <w:vAlign w:val="center"/>
          </w:tcPr>
          <w:p>
            <w:pPr>
              <w:pStyle w:val="TableContents"/>
              <w:bidi w:val="0"/>
              <w:spacing w:before="0" w:after="0"/>
              <w:ind w:left="0" w:right="0" w:hanging="0"/>
              <w:jc w:val="both"/>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G. Wooldridge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Partner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Varnum, LLP</w:t>
            </w:r>
          </w:p>
        </w:tc>
        <w:tc>
          <w:tcPr>
            <w:tcW w:w="4306" w:type="dxa"/>
            <w:tcBorders/>
            <w:vAlign w:val="center"/>
          </w:tcPr>
          <w:p>
            <w:pPr>
              <w:pStyle w:val="TableContents"/>
              <w:bidi w:val="0"/>
              <w:spacing w:before="0" w:after="0"/>
              <w:ind w:left="0" w:right="0" w:hanging="0"/>
              <w:jc w:val="both"/>
              <w:rPr/>
            </w:pPr>
            <w:r>
              <w:rPr/>
              <w:t>​</w:t>
            </w:r>
          </w:p>
        </w:tc>
      </w:tr>
      <w:tr>
        <w:trPr/>
        <w:tc>
          <w:tcPr>
            <w:tcW w:w="4276" w:type="dxa"/>
            <w:tcBorders/>
            <w:vAlign w:val="center"/>
          </w:tcPr>
          <w:p>
            <w:pPr>
              <w:pStyle w:val="TableContents"/>
              <w:bidi w:val="0"/>
              <w:spacing w:before="0" w:after="0"/>
              <w:ind w:left="0" w:right="0" w:hanging="0"/>
              <w:jc w:val="both"/>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Joan A. Budden</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Former President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Priority Health</w:t>
            </w:r>
          </w:p>
        </w:tc>
        <w:tc>
          <w:tcPr>
            <w:tcW w:w="4306" w:type="dxa"/>
            <w:tcBorders/>
            <w:vAlign w:val="center"/>
          </w:tcPr>
          <w:p>
            <w:pPr>
              <w:pStyle w:val="TableContents"/>
              <w:bidi w:val="0"/>
              <w:spacing w:before="0" w:after="0"/>
              <w:ind w:left="0" w:right="0" w:hanging="0"/>
              <w:jc w:val="both"/>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Benjamin J. McLean</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Ruan Transportation Management Systems, Inc.</w:t>
            </w:r>
          </w:p>
        </w:tc>
        <w:tc>
          <w:tcPr>
            <w:tcW w:w="430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05" w:name="_00c086b5_247c_4d3e_9463_8cbf582b0031"/>
      <w:bookmarkStart w:id="2006" w:name="ShareholderInformation_580747"/>
      <w:bookmarkEnd w:id="2005"/>
      <w:bookmarkEnd w:id="2006"/>
      <w:r>
        <w:rPr>
          <w:rFonts w:ascii="Times New Roman;Times;serif" w:hAnsi="Times New Roman;Times;serif"/>
          <w:b/>
          <w:sz w:val="20"/>
        </w:rPr>
        <w:t>SHAREHOLDER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2024 Annual Shareholder’s Meeting of UFP Industries, Inc. will be held at 8:30 a.m. on April 24, 2024</w:t>
      </w:r>
      <w:r>
        <w:rPr>
          <w:rFonts w:ascii="Times New Roman;Times;serif" w:hAnsi="Times New Roman;Times;serif"/>
          <w:sz w:val="20"/>
          <w:shd w:fill="FFFFFF" w:val="clear"/>
        </w:rPr>
        <w:t>, at 2880 East Beltline Lane NE, Grand Rapids, MI 49525.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of our stock are traded under the symbol UFPI on the NASDAQ Stock Market. Our 10-K report, filed with the Securities and Exchange Commission, will be provided free of charge to any shareholder upon written request. For more information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Relations Department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2801 East Beltline 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Rapids, MI 49525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(616) 364-6161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Web:  www.ufpi.com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COUNSEL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Varnum,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Grand Rapids, MI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Deloitte &amp; Touche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Grand Rapids, MI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AGENT/SHAREHOLDER INQUIRIES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American Stock Transfer &amp; Trust Company serves as the transfer agent for the Corporation. Inquiries relating to stock transfers, changes of ownership, lost or stolen stock certificates, changes of address, and dividend payments should be addressed to:</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American Stock Transfer &amp; Trust Co.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6201 15th Ave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Brooklyn, NY 11219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Telephone:  (800) 937-5449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UFP INDUSTRIES®, INC., CORPORATE HEADQUARTERS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2801 East Beltline 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Rapids, MI 49525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(616) 364-6161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Facsimile:  (616) 364-5558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0"/>
        <w:ind w:left="0" w:right="0" w:hanging="0"/>
        <w:jc w:val="right"/>
        <w:rPr>
          <w:rFonts w:ascii="Times New Roman;Times;serif" w:hAnsi="Times New Roman;Times;serif"/>
          <w:b/>
          <w:sz w:val="24"/>
        </w:rPr>
      </w:pPr>
      <w:bookmarkStart w:id="2007" w:name="ufpi-20231230xex21.htm"/>
      <w:bookmarkStart w:id="2008" w:name="ksufpi20231230xex21"/>
      <w:bookmarkEnd w:id="2007"/>
      <w:bookmarkEnd w:id="2008"/>
      <w:r>
        <w:rPr>
          <w:rFonts w:ascii="Times New Roman;Times;serif" w:hAnsi="Times New Roman;Times;serif"/>
          <w:b/>
          <w:sz w:val="24"/>
        </w:rPr>
        <w:t>EXHIBIT 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REGISTRANT'S SUBSIDIARIES AND AFFILIATES</w:t>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2946"/>
        <w:gridCol w:w="109"/>
        <w:gridCol w:w="1529"/>
        <w:gridCol w:w="109"/>
        <w:gridCol w:w="3845"/>
        <w:gridCol w:w="109"/>
        <w:gridCol w:w="1558"/>
      </w:tblGrid>
      <w:tr>
        <w:trPr/>
        <w:tc>
          <w:tcPr>
            <w:tcW w:w="2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870710" cy="175260"/>
                      <wp:effectExtent l="0" t="0" r="0" b="0"/>
                      <wp:wrapNone/>
                      <wp:docPr id="704" name="Frame703"/>
                      <a:graphic xmlns:a="http://schemas.openxmlformats.org/drawingml/2006/main">
                        <a:graphicData uri="http://schemas.microsoft.com/office/word/2010/wordprocessingShape">
                          <wps:wsp>
                            <wps:cNvSpPr txBox="1"/>
                            <wps:spPr>
                              <a:xfrm>
                                <a:off x="0" y="0"/>
                                <a:ext cx="187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9215" cy="175260"/>
                      <wp:effectExtent l="0" t="0" r="0" b="0"/>
                      <wp:wrapNone/>
                      <wp:docPr id="705" name="Frame7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970915" cy="175260"/>
                      <wp:effectExtent l="0" t="0" r="0" b="0"/>
                      <wp:wrapNone/>
                      <wp:docPr id="706" name="Frame705"/>
                      <a:graphic xmlns:a="http://schemas.openxmlformats.org/drawingml/2006/main">
                        <a:graphicData uri="http://schemas.microsoft.com/office/word/2010/wordprocessingShape">
                          <wps:wsp>
                            <wps:cNvSpPr txBox="1"/>
                            <wps:spPr>
                              <a:xfrm>
                                <a:off x="0" y="0"/>
                                <a:ext cx="970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9215" cy="175260"/>
                      <wp:effectExtent l="0" t="0" r="0" b="0"/>
                      <wp:wrapNone/>
                      <wp:docPr id="707" name="Frame7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441575" cy="175260"/>
                      <wp:effectExtent l="0" t="0" r="0" b="0"/>
                      <wp:wrapNone/>
                      <wp:docPr id="708" name="Frame707"/>
                      <a:graphic xmlns:a="http://schemas.openxmlformats.org/drawingml/2006/main">
                        <a:graphicData uri="http://schemas.microsoft.com/office/word/2010/wordprocessingShape">
                          <wps:wsp>
                            <wps:cNvSpPr txBox="1"/>
                            <wps:spPr>
                              <a:xfrm>
                                <a:off x="0" y="0"/>
                                <a:ext cx="2441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9215" cy="175260"/>
                      <wp:effectExtent l="0" t="0" r="0" b="0"/>
                      <wp:wrapNone/>
                      <wp:docPr id="709" name="Frame7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989330" cy="175260"/>
                      <wp:effectExtent l="0" t="0" r="0" b="0"/>
                      <wp:wrapNone/>
                      <wp:docPr id="710" name="Frame709"/>
                      <a:graphic xmlns:a="http://schemas.openxmlformats.org/drawingml/2006/main">
                        <a:graphicData uri="http://schemas.microsoft.com/office/word/2010/wordprocessingShape">
                          <wps:wsp>
                            <wps:cNvSpPr txBox="1"/>
                            <wps:spPr>
                              <a:xfrm>
                                <a:off x="0" y="0"/>
                                <a:ext cx="989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11032 Tidewater Trail,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center"/>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Eastern Division, Inc.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234 Springs Rd.,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center"/>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Eatonton,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2875 Needmore Rd.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Edge,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621 Hall St.,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Elizabeth City,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A1 Mfg. S. de R.L. de C.V.</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Elkwood,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Advantage Label &amp; Packaging,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Factory Built,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Aljoma Holding Company,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Financial Services, Inc.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Aljoma Lumber,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Folkston,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Ardellis Insurance Ltd.</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Bermuda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Franklinton,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Caliper Building Systems,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Gainesville,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Deckorators, Inc.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Gear,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Dempsey Wood Products,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Global Holdings Limited</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Kingdom</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Eovations,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Gordon,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Ficus Pax</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Grand Rapids,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Forestal Universal SA de CV</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Grandview,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Idaho Western,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Idaho</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Granger,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(China) Display System Co., Ltd.</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China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Haleyville,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(India) Display Private Ltd.</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Hamilton,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Amsterdam B.V.</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Netherlands</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Hampton Holding Company,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Asia Fixtures Limited</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China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Harrisonville,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Asia Trading Limited</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Chhina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Hartford,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Wisconsin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Chicago,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Hillsboro,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Corporation</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Industrial,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Corporation London Limited</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Kingdom</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Industries, Inc.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Holdings, Inc.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International Employment Services,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Mexico, S. de R.L. de C.V.</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International,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idX Shanghai Trading Company Ltd.</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China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Janesville,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Innov8 Fund I,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Kyle,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Job service Middle East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Arab Emirates</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Lafayette,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Landura,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Texas</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Lansing,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Metaworld Technologies,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Londonderry,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Norpal S. de R.L. de C.V.</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Magna,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Atlantic Framing,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McMinnville,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P1 Catawba Development Company,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Carolina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Mexico Embalaje y Distribution, S. de R.L. de C. V.</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Manufacturing of Texas,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Texas</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Mid-Atlantic,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Acquisition of Texas,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Middle East Packaging FZE</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Arab Emirates</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Alabama,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Alabama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Middle East Wood Trading- Sole Proprietorship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Arab Emirates</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Florida,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Milwaukee,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Indiana Transportation,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Indiana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Minneota,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Indiana,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Indiana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Morristown,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Maine, Inc.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Maine</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Moultrie,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Mobile,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Alabama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NAC,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NE Texas,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Nappanee,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North Carolina,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Carolina</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New London,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Texas Holdings, Inc.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New Waverly,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Texas, LP</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Texas</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New Windsor,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Virginia,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Virginia</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New York,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Wisconsin Manufacturing, LLC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Wisconsin</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Orlando,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of Wisconsin, Inc.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Wisconsin</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Packaging, LLC</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PalletOne,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Palets y Embalajes, S. de R.L. de C.V.</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Performance Formulation Solutions, LLC</w:t>
            </w:r>
          </w:p>
        </w:tc>
        <w:tc>
          <w:tcPr>
            <w:tcW w:w="109"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Illinois</w:t>
            </w:r>
          </w:p>
        </w:tc>
        <w:tc>
          <w:tcPr>
            <w:tcW w:w="109" w:type="dxa"/>
            <w:tcBorders/>
            <w:shd w:fill="CCEEFF" w:val="clear"/>
            <w:vAlign w:val="center"/>
          </w:tcPr>
          <w:p>
            <w:pPr>
              <w:pStyle w:val="TableContents"/>
              <w:bidi w:val="0"/>
              <w:spacing w:before="0" w:after="0"/>
              <w:ind w:left="0" w:right="0" w:hanging="0"/>
              <w:jc w:val="left"/>
              <w:rPr/>
            </w:pPr>
            <w:r>
              <w:rPr/>
              <w:t>​</w:t>
            </w:r>
          </w:p>
        </w:tc>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Palets y Embalajes, S.L.</w:t>
            </w:r>
          </w:p>
        </w:tc>
        <w:tc>
          <w:tcPr>
            <w:tcW w:w="109" w:type="dxa"/>
            <w:tcBorders/>
            <w:shd w:fill="CCEEFF" w:val="clear"/>
            <w:vAlign w:val="center"/>
          </w:tcPr>
          <w:p>
            <w:pPr>
              <w:pStyle w:val="TableContents"/>
              <w:bidi w:val="0"/>
              <w:spacing w:before="0" w:after="0"/>
              <w:ind w:left="0" w:right="0" w:hanging="0"/>
              <w:jc w:val="left"/>
              <w:rPr/>
            </w:pPr>
            <w:r>
              <w:rPr/>
              <w:t>​</w:t>
            </w:r>
          </w:p>
        </w:tc>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Spain</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Pinelli Lumber, Inc.</w:t>
            </w:r>
          </w:p>
        </w:tc>
        <w:tc>
          <w:tcPr>
            <w:tcW w:w="109"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Texas</w:t>
            </w:r>
          </w:p>
        </w:tc>
        <w:tc>
          <w:tcPr>
            <w:tcW w:w="109"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Palm Beach, LLC</w:t>
            </w:r>
          </w:p>
        </w:tc>
        <w:tc>
          <w:tcPr>
            <w:tcW w:w="109" w:type="dxa"/>
            <w:tcBorders/>
            <w:vAlign w:val="center"/>
          </w:tcPr>
          <w:p>
            <w:pPr>
              <w:pStyle w:val="TableContents"/>
              <w:bidi w:val="0"/>
              <w:spacing w:before="0" w:after="0"/>
              <w:ind w:left="0" w:right="0" w:hanging="0"/>
              <w:jc w:val="left"/>
              <w:rPr/>
            </w:pPr>
            <w:r>
              <w:rPr/>
              <w:t>​</w:t>
            </w:r>
          </w:p>
        </w:tc>
        <w:tc>
          <w:tcPr>
            <w:tcW w:w="15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bl>
    <w:p>
      <w:pPr>
        <w:pStyle w:val="HorizontalLine"/>
        <w:pBdr>
          <w:bottom w:val="double" w:sz="2" w:space="0" w:color="808080"/>
        </w:pBdr>
        <w:bidi w:val="0"/>
        <w:spacing w:before="0" w:after="283"/>
        <w:jc w:val="left"/>
        <w:rPr/>
      </w:pPr>
      <w:r>
        <w:rPr/>
      </w:r>
    </w:p>
    <w:tbl>
      <w:tblPr>
        <w:tblW w:w="9691" w:type="dxa"/>
        <w:jc w:val="left"/>
        <w:tblInd w:w="0" w:type="dxa"/>
        <w:tblLayout w:type="fixed"/>
        <w:tblCellMar>
          <w:top w:w="0" w:type="dxa"/>
          <w:left w:w="0" w:type="dxa"/>
          <w:bottom w:w="0" w:type="dxa"/>
          <w:right w:w="0" w:type="dxa"/>
        </w:tblCellMar>
      </w:tblPr>
      <w:tblGrid>
        <w:gridCol w:w="3856"/>
        <w:gridCol w:w="109"/>
        <w:gridCol w:w="946"/>
        <w:gridCol w:w="109"/>
        <w:gridCol w:w="3736"/>
        <w:gridCol w:w="109"/>
        <w:gridCol w:w="826"/>
      </w:tblGrid>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Pinelli Universal Chile S.A.</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Parker,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Pinelli Universal TKT, S de R.L. de C.V.</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Protective Packaging,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Pinelli Universal, S de R.L. de C.V.</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Purchasing, Inc.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 Distribution,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Puerto Rico</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Rancho Cucamonga,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Prowood,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Ranson,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Shawnlee Construction,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Real Estate,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Shepardville Construction,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Retail,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Store Fixtures Canada Holdings, Inc.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Riverside,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Sunbelt Acquisition Florida II,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RMS,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Sunbelt Acquistion Corp.</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Rockingham,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Sunbelt Acqusition Alabama III,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Alabama</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Rockwell,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Sunbelt Forest Georgia,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Georgia</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Saginaw,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Sunbelt Forest Products Alabama,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Salisbury,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Sunbelt Forest Products Corporation</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San Antonio,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SunOne Logistics,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Georgia</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Sauk Rapids,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UBEECO Group Pty Ltd</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Australia</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Schertz,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Tibasa Universal Forest Products S. de R.L. de C.V.</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Shawnee,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Tresstar,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Shelf 2,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Triangle Systems, Inc.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New York</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Site Built,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Mexico Holdings, S. de R.L.de CV</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Stafford,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Ashburn,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Stockertown,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Atlantic Division,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Structural Packaging,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Auburndale,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Tampa,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Aurora,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Thomaston,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Australia Pty Ltd</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Australia</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Thornton,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Australia Real Estate Pty Ltd</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Australia</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Transportation, Inc.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Barnesville,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Union City,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Belchertown,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Ventures II, Inc.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Berlin,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Warranty Corporation</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Biscoe,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Warrens,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Blanchester,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Washington,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Bonner,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Western Division, Inc.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Caldwell,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White Bear Lake,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Cameron,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Windsor, LLC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Canada, Inc.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Canada</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Woodburn,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Chandler,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Ultra Aluminum Manufacturing, Inc.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Chicago,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Lumber &amp; Reman,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Alabama</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Concrete Forming Solutions, Inc.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Universal Forest Products de Mexico S.A. de C.V.</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Construction,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Universal Forest Products Texas,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Corrugated,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Universal Showcase ULC</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Canada</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Craft and Hobby,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Upshur Forest Products,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Dallas,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Wadpack Pvt. Ltd</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India</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Distribution, LLC</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Yard &amp; Home, LLC</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UFP Eagan, LLC</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Michigan</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09" w:name="ufpi-20231230xex23.htm"/>
      <w:bookmarkStart w:id="2010" w:name="ksufpi20231230xex23"/>
      <w:bookmarkEnd w:id="2009"/>
      <w:bookmarkEnd w:id="2010"/>
      <w:r>
        <w:rPr>
          <w:rFonts w:ascii="Times New Roman;Times;serif" w:hAnsi="Times New Roman;Times;serif"/>
          <w:b/>
          <w:sz w:val="20"/>
        </w:rPr>
        <w:t>Exhibit 23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Registration Statement Nos. 333-60630, 333-150345, 333-156596, and 333-274461 on Form S-8 of our reports dated February 28, 2024, relating to the consolidated financial statements of UFP Industries, Inc. and subsidiaries (the “Company”), and the effectiveness of the Company’s internal control over financial reporting appearing in this Annual Report on Form 10-K for the year ended December 30,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Rapids, Michigan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28, 2024</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11" w:name="ufpi-20231230xex31da.htm"/>
      <w:bookmarkStart w:id="2012" w:name="ksufpi20231230xex31da"/>
      <w:bookmarkEnd w:id="2011"/>
      <w:bookmarkEnd w:id="2012"/>
      <w:r>
        <w:rPr/>
        <w:t>​</w:t>
      </w:r>
      <w:r>
        <w:br w:type="page"/>
      </w:r>
    </w:p>
    <w:p>
      <w:pPr>
        <w:pStyle w:val="TextBody"/>
        <w:bidi w:val="0"/>
        <w:spacing w:before="0" w:after="180"/>
        <w:ind w:left="0" w:right="0" w:hanging="0"/>
        <w:jc w:val="right"/>
        <w:rPr>
          <w:rFonts w:ascii="Times New Roman;Times;serif" w:hAnsi="Times New Roman;Times;serif"/>
          <w:b/>
          <w:sz w:val="20"/>
        </w:rPr>
      </w:pPr>
      <w:r>
        <w:rPr>
          <w:rFonts w:ascii="Times New Roman;Times;serif" w:hAnsi="Times New Roman;Times;serif"/>
          <w:b/>
          <w:sz w:val="20"/>
        </w:rPr>
        <w:t>Exhibit 31(a)</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 Matthew J. Missad, certify that:</w:t>
      </w:r>
    </w:p>
    <w:p>
      <w:pPr>
        <w:pStyle w:val="TextBody"/>
        <w:pBdr/>
        <w:bidi w:val="0"/>
        <w:spacing w:before="0" w:after="180"/>
        <w:ind w:left="0" w:right="0" w:hanging="720"/>
        <w:jc w:val="left"/>
        <w:rPr>
          <w:rFonts w:ascii="Times New Roman;Times;serif" w:hAnsi="Times New Roman;Times;serif"/>
          <w:sz w:val="20"/>
        </w:rPr>
      </w:pPr>
      <w:r>
        <w:rPr>
          <w:rFonts w:ascii="Times New Roman;Times;serif" w:hAnsi="Times New Roman;Times;serif"/>
          <w:sz w:val="20"/>
        </w:rPr>
        <w:t>1.           I have reviewed this report on Form 10-K of UFP Industries, Inc.;</w:t>
      </w:r>
    </w:p>
    <w:p>
      <w:pPr>
        <w:pStyle w:val="TextBody"/>
        <w:pBdr/>
        <w:bidi w:val="0"/>
        <w:spacing w:before="0" w:after="18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18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18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18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18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18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18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18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pBdr/>
        <w:bidi w:val="0"/>
        <w:spacing w:before="0" w:after="18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672" w:type="dxa"/>
        <w:jc w:val="center"/>
        <w:tblInd w:w="0" w:type="dxa"/>
        <w:tblLayout w:type="fixed"/>
        <w:tblCellMar>
          <w:top w:w="0" w:type="dxa"/>
          <w:left w:w="0" w:type="dxa"/>
          <w:bottom w:w="0" w:type="dxa"/>
          <w:right w:w="0" w:type="dxa"/>
        </w:tblCellMar>
      </w:tblPr>
      <w:tblGrid>
        <w:gridCol w:w="556"/>
        <w:gridCol w:w="1591"/>
        <w:gridCol w:w="109"/>
        <w:gridCol w:w="241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28, 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Matthew J. Missad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J. Missad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013" w:name="ufpi-20231230xex31db.htm"/>
      <w:bookmarkStart w:id="2014" w:name="ksufpi20231230xex31db"/>
      <w:bookmarkEnd w:id="2013"/>
      <w:bookmarkEnd w:id="2014"/>
      <w:r>
        <w:rPr>
          <w:rFonts w:ascii="Times New Roman;Times;serif" w:hAnsi="Times New Roman;Times;serif"/>
          <w:b/>
          <w:sz w:val="20"/>
        </w:rPr>
        <w:t>Exhibit 31(b)</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Michael R. Cole, certify that:</w:t>
      </w:r>
    </w:p>
    <w:p>
      <w:pPr>
        <w:pStyle w:val="TextBody"/>
        <w:pBdr/>
        <w:bidi w:val="0"/>
        <w:spacing w:before="0" w:after="200"/>
        <w:ind w:left="0" w:right="0" w:hanging="720"/>
        <w:jc w:val="left"/>
        <w:rPr>
          <w:rFonts w:ascii="Times New Roman;Times;serif" w:hAnsi="Times New Roman;Times;serif"/>
          <w:sz w:val="20"/>
        </w:rPr>
      </w:pPr>
      <w:r>
        <w:rPr>
          <w:rFonts w:ascii="Times New Roman;Times;serif" w:hAnsi="Times New Roman;Times;serif"/>
          <w:sz w:val="20"/>
        </w:rPr>
        <w:t>1.           I have reviewed this report on Form 10-K of UFP Industries, Inc.;</w:t>
      </w:r>
    </w:p>
    <w:p>
      <w:pPr>
        <w:pStyle w:val="TextBody"/>
        <w:pBdr/>
        <w:bidi w:val="0"/>
        <w:spacing w:before="0" w:after="20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0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0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0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897" w:type="dxa"/>
        <w:jc w:val="center"/>
        <w:tblInd w:w="0" w:type="dxa"/>
        <w:tblLayout w:type="fixed"/>
        <w:tblCellMar>
          <w:top w:w="0" w:type="dxa"/>
          <w:left w:w="0" w:type="dxa"/>
          <w:bottom w:w="0" w:type="dxa"/>
          <w:right w:w="0" w:type="dxa"/>
        </w:tblCellMar>
      </w:tblPr>
      <w:tblGrid>
        <w:gridCol w:w="556"/>
        <w:gridCol w:w="1591"/>
        <w:gridCol w:w="109"/>
        <w:gridCol w:w="2641"/>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28, 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Michael R. Cole</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 and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15" w:name="ufpi-20231230xex32da.htm"/>
      <w:bookmarkStart w:id="2016" w:name="ksufpi20231230xex32da"/>
      <w:bookmarkEnd w:id="2015"/>
      <w:bookmarkEnd w:id="2016"/>
      <w:r>
        <w:rPr>
          <w:rFonts w:ascii="Times New Roman;Times;serif" w:hAnsi="Times New Roman;Times;serif"/>
          <w:b/>
          <w:sz w:val="20"/>
        </w:rPr>
        <w:t>Exhibit 32(a)</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Section 906 of the Sarbanes-Oxley Act of 2002 (18 U.S.C. 1350):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Matthew J. Missad, Chief Executive Officer of UFP Industries, Inc., certify, to the best of my knowledge and belief, pursuant to Section 906 of the Sarbanes-Oxley Act of 2002 (18 U.S.C. 1350) that: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The report on Form 10-K for the year ended December 30, 2023, which this statement accompanies, fully complies with requirements of Section 13(a) or 15(d) of the Securities Exchange Act of 1934;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The information contained in this report on Form 10-K for the period ended December 30, 2023 fairly presents, in all material respects, the financial condition and results of operations of Universal Forest Products, Inc.</w:t>
      </w:r>
    </w:p>
    <w:tbl>
      <w:tblPr>
        <w:tblW w:w="5078" w:type="dxa"/>
        <w:jc w:val="center"/>
        <w:tblInd w:w="0" w:type="dxa"/>
        <w:tblLayout w:type="fixed"/>
        <w:tblCellMar>
          <w:top w:w="0" w:type="dxa"/>
          <w:left w:w="0" w:type="dxa"/>
          <w:bottom w:w="0" w:type="dxa"/>
          <w:right w:w="0" w:type="dxa"/>
        </w:tblCellMar>
      </w:tblPr>
      <w:tblGrid>
        <w:gridCol w:w="556"/>
        <w:gridCol w:w="1591"/>
        <w:gridCol w:w="109"/>
        <w:gridCol w:w="406"/>
        <w:gridCol w:w="241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2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UFP INDUSTRIES, INC.</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28, 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Missad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Missad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17" w:name="ufpi-20231230xex32db.htm"/>
      <w:bookmarkStart w:id="2018" w:name="ksufpi20231230xex32db"/>
      <w:bookmarkEnd w:id="2017"/>
      <w:bookmarkEnd w:id="2018"/>
      <w:r>
        <w:rPr>
          <w:rFonts w:ascii="Times New Roman;Times;serif" w:hAnsi="Times New Roman;Times;serif"/>
          <w:b/>
          <w:sz w:val="20"/>
        </w:rPr>
        <w:t>Exhibit 32(b)</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Section 906 of the Sarbanes-Oxley Act of 2002 (18 U.S.C. 1350):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Michael R. Cole, Chief Financial Officer of UFP Industries, Inc., certify, to the best of my knowledge and belief, pursuant to Section 906 of the Sarbanes-Oxley Act of 2002 (18 U.S.C. 1350) that: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The report on Form 10-K for the period ended December 30, 2023, which this statement accompanies, fully complies with requirements of Section 13(a) or 15(d) of the Securities Exchange Act of 1934;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The information contained in this report on Form 10-K for the period ended December 30, 2023 fairly presents, in all material respects, the financial condition and results of operations of UFP Industries, Inc.</w:t>
      </w:r>
    </w:p>
    <w:tbl>
      <w:tblPr>
        <w:tblW w:w="5303" w:type="dxa"/>
        <w:jc w:val="center"/>
        <w:tblInd w:w="0" w:type="dxa"/>
        <w:tblLayout w:type="fixed"/>
        <w:tblCellMar>
          <w:top w:w="0" w:type="dxa"/>
          <w:left w:w="0" w:type="dxa"/>
          <w:bottom w:w="0" w:type="dxa"/>
          <w:right w:w="0" w:type="dxa"/>
        </w:tblCellMar>
      </w:tblPr>
      <w:tblGrid>
        <w:gridCol w:w="556"/>
        <w:gridCol w:w="1591"/>
        <w:gridCol w:w="109"/>
        <w:gridCol w:w="406"/>
        <w:gridCol w:w="2641"/>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Cole</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2019" w:name="ufpi-20231230xex97.htm"/>
      <w:bookmarkStart w:id="2020" w:name="ksufpi20231230xex97"/>
      <w:bookmarkEnd w:id="2019"/>
      <w:bookmarkEnd w:id="2020"/>
      <w:r>
        <w:rPr>
          <w:rFonts w:ascii="Times New Roman;Times;serif" w:hAnsi="Times New Roman;Times;serif"/>
          <w:b/>
          <w:sz w:val="24"/>
        </w:rPr>
        <w:t>Exhibit 97</w:t>
      </w:r>
      <w:r>
        <w:br w:type="page"/>
      </w:r>
    </w:p>
    <w:p>
      <w:pPr>
        <w:pStyle w:val="TextBody"/>
        <w:bidi w:val="0"/>
        <w:spacing w:lineRule="auto" w:line="571" w:before="0" w:after="0"/>
        <w:ind w:left="0" w:right="0" w:hanging="0"/>
        <w:jc w:val="center"/>
        <w:rPr>
          <w:rFonts w:ascii="Times New Roman;Times;serif" w:hAnsi="Times New Roman;Times;serif"/>
          <w:b/>
          <w:sz w:val="24"/>
        </w:rPr>
      </w:pPr>
      <w:r>
        <w:rPr>
          <w:rFonts w:ascii="Times New Roman;Times;serif" w:hAnsi="Times New Roman;Times;serif"/>
          <w:b/>
          <w:sz w:val="24"/>
        </w:rPr>
        <w:t>UFP INDUSTRIES, INC. ["the Company"]</w:t>
      </w:r>
    </w:p>
    <w:p>
      <w:pPr>
        <w:pStyle w:val="TextBody"/>
        <w:bidi w:val="0"/>
        <w:spacing w:lineRule="auto" w:line="571" w:before="0" w:after="0"/>
        <w:ind w:left="0" w:right="0" w:hanging="0"/>
        <w:jc w:val="center"/>
        <w:rPr>
          <w:rFonts w:ascii="Times New Roman;Times;serif" w:hAnsi="Times New Roman;Times;serif"/>
          <w:b/>
          <w:sz w:val="24"/>
        </w:rPr>
      </w:pPr>
      <w:r>
        <w:rPr>
          <w:rFonts w:ascii="Times New Roman;Times;serif" w:hAnsi="Times New Roman;Times;serif"/>
          <w:b/>
          <w:sz w:val="24"/>
        </w:rPr>
        <w:t>CLAWBACK POLICY</w:t>
      </w:r>
    </w:p>
    <w:p>
      <w:pPr>
        <w:pStyle w:val="TextBody"/>
        <w:bidi w:val="0"/>
        <w:spacing w:before="0" w:after="0"/>
        <w:ind w:left="0" w:right="0" w:hanging="0"/>
        <w:jc w:val="both"/>
        <w:rPr>
          <w:rFonts w:ascii="Times New Roman Bold" w:hAnsi="Times New Roman Bold"/>
          <w:b/>
          <w:sz w:val="24"/>
        </w:rPr>
      </w:pPr>
      <w:bookmarkStart w:id="2021" w:name="main"/>
      <w:bookmarkEnd w:id="2021"/>
      <w:r>
        <w:rPr>
          <w:rFonts w:ascii="Times New Roman Bold" w:hAnsi="Times New Roman Bold"/>
          <w:b/>
          <w:sz w:val="24"/>
        </w:rPr>
        <w:t>INTRODUCTION</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This Clawback Policy (the "</w:t>
      </w:r>
      <w:r>
        <w:rPr>
          <w:rFonts w:ascii="Times New Roman;Times;serif" w:hAnsi="Times New Roman;Times;serif"/>
          <w:b/>
          <w:sz w:val="24"/>
        </w:rPr>
        <w:t>Policy</w:t>
      </w:r>
      <w:r>
        <w:rPr>
          <w:rFonts w:ascii="Times New Roman;Times;serif" w:hAnsi="Times New Roman;Times;serif"/>
          <w:sz w:val="24"/>
        </w:rPr>
        <w:t>") is intended to comply with Section 10D of the Securities Exchange Act of 1934 (the "</w:t>
      </w:r>
      <w:r>
        <w:rPr>
          <w:rFonts w:ascii="Times New Roman;Times;serif" w:hAnsi="Times New Roman;Times;serif"/>
          <w:b/>
          <w:sz w:val="24"/>
        </w:rPr>
        <w:t>Exchange Act</w:t>
      </w:r>
      <w:r>
        <w:rPr>
          <w:rFonts w:ascii="Times New Roman;Times;serif" w:hAnsi="Times New Roman;Times;serif"/>
          <w:sz w:val="24"/>
        </w:rPr>
        <w:t>"), as well as Nasdaq Listing Rule 5608 (the "</w:t>
      </w:r>
      <w:r>
        <w:rPr>
          <w:rFonts w:ascii="Times New Roman;Times;serif" w:hAnsi="Times New Roman;Times;serif"/>
          <w:b/>
          <w:sz w:val="24"/>
        </w:rPr>
        <w:t>Listing Standard</w:t>
      </w:r>
      <w:r>
        <w:rPr>
          <w:rFonts w:ascii="Times New Roman;Times;serif" w:hAnsi="Times New Roman;Times;serif"/>
          <w:sz w:val="24"/>
        </w:rPr>
        <w:t>") and Section 304 of the Sarbanes-Oxley Act of 2002, and provides for the recoupment of certain compensation from Executive Officers in the event of a Restatement (as defined herein) or Improper Conduct (as defined herein).</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RECOUPMENT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lineRule="auto" w:line="285" w:before="240" w:after="120"/>
              <w:jc w:val="both"/>
              <w:rPr>
                <w:rFonts w:ascii="Times New Roman;Times;serif" w:hAnsi="Times New Roman;Times;serif"/>
                <w:sz w:val="24"/>
              </w:rPr>
            </w:pPr>
            <w:r>
              <w:rPr>
                <w:rFonts w:ascii="Times New Roman;Times;serif" w:hAnsi="Times New Roman;Times;serif"/>
                <w:sz w:val="24"/>
              </w:rPr>
              <w:t>(a)</w:t>
            </w:r>
          </w:p>
        </w:tc>
        <w:tc>
          <w:tcPr>
            <w:tcW w:w="9975" w:type="dxa"/>
            <w:tcBorders/>
            <w:vAlign w:val="center"/>
          </w:tcPr>
          <w:p>
            <w:pPr>
              <w:pStyle w:val="TableContents"/>
              <w:bidi w:val="0"/>
              <w:spacing w:lineRule="auto" w:line="285" w:before="240" w:after="120"/>
              <w:jc w:val="both"/>
              <w:rPr>
                <w:rFonts w:ascii="Times New Roman;Times;serif" w:hAnsi="Times New Roman;Times;serif"/>
                <w:sz w:val="24"/>
              </w:rPr>
            </w:pPr>
            <w:r>
              <w:rPr>
                <w:rFonts w:ascii="Times New Roman;Times;serif" w:hAnsi="Times New Roman;Times;serif"/>
                <w:sz w:val="24"/>
                <w:u w:val="single"/>
              </w:rPr>
              <w:t>Mandatory Recoupment</w:t>
            </w:r>
            <w:r>
              <w:rPr>
                <w:rFonts w:ascii="Times New Roman;Times;serif" w:hAnsi="Times New Roman;Times;serif"/>
                <w:sz w:val="24"/>
              </w:rPr>
              <w:t>.  If the Company is required to prepare a Restatement, the Company shall promptly recoup the amount of any Erroneous Awarded Compensation received by any Executive Officer during the Applicable Period.</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lineRule="auto" w:line="288" w:before="124" w:after="0"/>
              <w:jc w:val="both"/>
              <w:rPr>
                <w:rFonts w:ascii="Times New Roman;Times;serif" w:hAnsi="Times New Roman;Times;serif"/>
                <w:sz w:val="24"/>
              </w:rPr>
            </w:pPr>
            <w:r>
              <w:rPr>
                <w:rFonts w:ascii="Times New Roman;Times;serif" w:hAnsi="Times New Roman;Times;serif"/>
                <w:sz w:val="24"/>
              </w:rPr>
              <w:t>(b)</w:t>
            </w:r>
          </w:p>
        </w:tc>
        <w:tc>
          <w:tcPr>
            <w:tcW w:w="9974" w:type="dxa"/>
            <w:tcBorders/>
            <w:vAlign w:val="center"/>
          </w:tcPr>
          <w:p>
            <w:pPr>
              <w:pStyle w:val="TableContents"/>
              <w:bidi w:val="0"/>
              <w:spacing w:lineRule="auto" w:line="288" w:before="124" w:after="0"/>
              <w:jc w:val="both"/>
              <w:rPr>
                <w:rFonts w:ascii="Times New Roman;Times;serif" w:hAnsi="Times New Roman;Times;serif"/>
                <w:sz w:val="24"/>
              </w:rPr>
            </w:pPr>
            <w:r>
              <w:rPr>
                <w:rFonts w:ascii="Times New Roman;Times;serif" w:hAnsi="Times New Roman;Times;serif"/>
                <w:sz w:val="24"/>
                <w:u w:val="single"/>
              </w:rPr>
              <w:t>Discretionary Recoupment</w:t>
            </w:r>
            <w:r>
              <w:rPr>
                <w:rFonts w:ascii="Times New Roman;Times;serif" w:hAnsi="Times New Roman;Times;serif"/>
                <w:sz w:val="24"/>
              </w:rPr>
              <w:t>.  If any person who is or was an Executive Officer has engaged in Improper Conduct that either has resulted in, or could reasonably be expected to result in, an Adverse Effect, then the Board may, in its sole discretion, after evaluating the associated costs and benefits, seek to recover all or any portion of the Recoverable Incentive paid to any such Executive Officer during the Applicable Period.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288" w:before="124" w:after="0"/>
              <w:jc w:val="both"/>
              <w:rPr>
                <w:rFonts w:ascii="Times New Roman;Times;serif" w:hAnsi="Times New Roman;Times;serif"/>
                <w:sz w:val="24"/>
              </w:rPr>
            </w:pPr>
            <w:r>
              <w:rPr>
                <w:rFonts w:ascii="Times New Roman;Times;serif" w:hAnsi="Times New Roman;Times;serif"/>
                <w:sz w:val="24"/>
              </w:rPr>
              <w:t>(c)</w:t>
            </w:r>
          </w:p>
        </w:tc>
        <w:tc>
          <w:tcPr>
            <w:tcW w:w="9987" w:type="dxa"/>
            <w:tcBorders/>
            <w:vAlign w:val="center"/>
          </w:tcPr>
          <w:p>
            <w:pPr>
              <w:pStyle w:val="TableContents"/>
              <w:bidi w:val="0"/>
              <w:spacing w:lineRule="auto" w:line="288" w:before="124" w:after="0"/>
              <w:jc w:val="both"/>
              <w:rPr>
                <w:rFonts w:ascii="Times New Roman;Times;serif" w:hAnsi="Times New Roman;Times;serif"/>
                <w:sz w:val="24"/>
              </w:rPr>
            </w:pPr>
            <w:r>
              <w:rPr>
                <w:rFonts w:ascii="Times New Roman;Times;serif" w:hAnsi="Times New Roman;Times;serif"/>
                <w:sz w:val="24"/>
                <w:u w:val="single"/>
              </w:rPr>
              <w:t>Discretionary Recoupment; Further Actions</w:t>
            </w:r>
            <w:r>
              <w:rPr>
                <w:rFonts w:ascii="Times New Roman;Times;serif" w:hAnsi="Times New Roman;Times;serif"/>
                <w:sz w:val="24"/>
              </w:rPr>
              <w:t>.  In addition, the Board may, in its sole discretion and in the reasonable exercise of its business judgment, determine whether and to what extent additional action is appropriate to address the circumstances surrounding such Improper Conduct so as to minimize the likelihood of any recurrence and to impose such other discipline as it deems appropriate.</w:t>
            </w:r>
          </w:p>
        </w:tc>
      </w:tr>
    </w:tbl>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 Bold" w:hAnsi="Times New Roman Bold"/>
          <w:sz w:val="24"/>
          <w:u w:val="single"/>
        </w:rPr>
      </w:pPr>
      <w:r>
        <w:rPr>
          <w:rFonts w:ascii="Times New Roman Bold" w:hAnsi="Times New Roman Bold"/>
          <w:sz w:val="24"/>
          <w:u w:val="single"/>
        </w:rPr>
        <w:t>DEFINITIONS</w:t>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purposes of this Policy, the following terms shall have the following meanings:</w:t>
      </w:r>
    </w:p>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Adverse Effect</w:t>
            </w:r>
            <w:r>
              <w:rPr>
                <w:rFonts w:ascii="Times New Roman;Times;serif" w:hAnsi="Times New Roman;Times;serif"/>
                <w:b w:val="false"/>
                <w:i w:val="false"/>
                <w:caps w:val="false"/>
                <w:smallCaps w:val="false"/>
                <w:sz w:val="24"/>
              </w:rPr>
              <w:t>" means any significant adverse impact on the reputation of, or a significant adverse economic consequence for, the Company or any of its subsidiaries.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Applicable Period</w:t>
            </w:r>
            <w:r>
              <w:rPr>
                <w:rFonts w:ascii="Times New Roman;Times;serif" w:hAnsi="Times New Roman;Times;serif"/>
                <w:b w:val="false"/>
                <w:i w:val="false"/>
                <w:caps w:val="false"/>
                <w:smallCaps w:val="false"/>
                <w:sz w:val="24"/>
              </w:rPr>
              <w:t>" means (i) in the case of any Restatement, the three-year period preceding the date on which the Company is required to prepare the Restatement and (ii) in the case of any Improper Conduct, the three-year period preceding the date of the Improper Conduct, as determined by the Board. The date on which the Company is required to prepare a Restatement is the earlier to occur of (1) the date the Board concludes, or reasonably should have concluded, that the Company is required to prepare a Restatement or (2) the date a court, regulator or other legally authorized body directs the Company to prepare a Restatement, in each case regardless of if or when the restated financial statements are filed.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Board</w:t>
            </w:r>
            <w:r>
              <w:rPr>
                <w:rFonts w:ascii="Times New Roman;Times;serif" w:hAnsi="Times New Roman;Times;serif"/>
                <w:b w:val="false"/>
                <w:i w:val="false"/>
                <w:caps w:val="false"/>
                <w:smallCaps w:val="false"/>
                <w:sz w:val="24"/>
              </w:rPr>
              <w:t>" means the Board of Directors, the Compensation Committee of the Board of Directors or such other committee of the Board of Directors that, at the relevant time, has authority for making determinations as to the compensation of Executive Officers.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Erroneously Awarded Compensation</w:t>
            </w:r>
            <w:r>
              <w:rPr>
                <w:rFonts w:ascii="Times New Roman;Times;serif" w:hAnsi="Times New Roman;Times;serif"/>
                <w:b w:val="false"/>
                <w:i w:val="false"/>
                <w:caps w:val="false"/>
                <w:smallCaps w:val="false"/>
                <w:sz w:val="24"/>
              </w:rPr>
              <w:t>" means the amount of Performance-Based Compensation received by the Executive Officer on or after October 2, 2023, that exceeds the amount of Performance-Based Compensation that would have been received by the Executive Officer had it been determined based upon the restated amounts.  In addition, Erroneously Awarded Compensation shall be determined by the Board without regard to any taxes paid by the Executive Officer with respect to any Erroneously Awarded Compensation.</w:t>
            </w:r>
          </w:p>
        </w:tc>
        <w:tc>
          <w:tcPr>
            <w:tcW w:w="23" w:type="dxa"/>
            <w:tcBorders/>
            <w:vAlign w:val="center"/>
          </w:tcPr>
          <w:p>
            <w:pPr>
              <w:pStyle w:val="TableContents"/>
              <w:bidi w:val="0"/>
              <w:spacing w:before="0" w:after="283"/>
              <w:jc w:val="left"/>
              <w:rPr>
                <w:sz w:val="4"/>
                <w:szCs w:val="4"/>
              </w:rPr>
            </w:pPr>
            <w:r>
              <w:rPr>
                <w:sz w:val="4"/>
                <w:szCs w:val="4"/>
              </w:rPr>
            </w:r>
          </w:p>
        </w:tc>
      </w:tr>
    </w:tbl>
    <w:tbl>
      <w:tblPr>
        <w:tblW w:w="7323" w:type="dxa"/>
        <w:jc w:val="left"/>
        <w:tblInd w:w="0" w:type="dxa"/>
        <w:tblLayout w:type="fixed"/>
        <w:tblCellMar>
          <w:top w:w="0" w:type="dxa"/>
          <w:left w:w="0" w:type="dxa"/>
          <w:bottom w:w="0" w:type="dxa"/>
          <w:right w:w="0" w:type="dxa"/>
        </w:tblCellMar>
      </w:tblPr>
      <w:tblGrid>
        <w:gridCol w:w="170"/>
        <w:gridCol w:w="7130"/>
        <w:gridCol w:w="23"/>
      </w:tblGrid>
      <w:tr>
        <w:trPr/>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Exchange Act</w:t>
            </w:r>
            <w:r>
              <w:rPr>
                <w:rFonts w:ascii="Times New Roman;Times;serif" w:hAnsi="Times New Roman;Times;serif"/>
                <w:b w:val="false"/>
                <w:i w:val="false"/>
                <w:caps w:val="false"/>
                <w:smallCaps w:val="false"/>
                <w:sz w:val="24"/>
              </w:rPr>
              <w:t>" means the Securities Exchange Act of 1934, as amended.</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Executive Officer</w:t>
            </w:r>
            <w:r>
              <w:rPr>
                <w:rFonts w:ascii="Times New Roman;Times;serif" w:hAnsi="Times New Roman;Times;serif"/>
                <w:b w:val="false"/>
                <w:i w:val="false"/>
                <w:caps w:val="false"/>
                <w:smallCaps w:val="false"/>
                <w:sz w:val="24"/>
              </w:rPr>
              <w:t>" means any person who is or was during the Applicable Period an executive officer of the Company, as determined pursuant to Rule 3b-7 promulgated under the Exchange Act (or any successor rule).</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Improper Conduct</w:t>
            </w:r>
            <w:r>
              <w:rPr>
                <w:rFonts w:ascii="Times New Roman;Times;serif" w:hAnsi="Times New Roman;Times;serif"/>
                <w:b w:val="false"/>
                <w:i w:val="false"/>
                <w:caps w:val="false"/>
                <w:smallCaps w:val="false"/>
                <w:sz w:val="24"/>
              </w:rPr>
              <w:t>" means an Executive Officer's willful misconduct (including, but not limited to, fraud, bribery or other illegal acts) or gross negligence, which, in either case, includes any failure to report properly, or to take appropriate remedial action with respect to, such misconduct or gross negligence by another person.</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Incentive Compensation</w:t>
            </w:r>
            <w:r>
              <w:rPr>
                <w:rFonts w:ascii="Times New Roman;Times;serif" w:hAnsi="Times New Roman;Times;serif"/>
                <w:b w:val="false"/>
                <w:i w:val="false"/>
                <w:caps w:val="false"/>
                <w:smallCaps w:val="false"/>
                <w:sz w:val="24"/>
              </w:rPr>
              <w:t>" means any compensation paid or payable under the Company's annual incentive plan or program and/or Long Term Incentive Plan or any successor plan, respectively.</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Performance-Based Compensation</w:t>
            </w:r>
            <w:r>
              <w:rPr>
                <w:rFonts w:ascii="Times New Roman;Times;serif" w:hAnsi="Times New Roman;Times;serif"/>
                <w:b w:val="false"/>
                <w:i w:val="false"/>
                <w:caps w:val="false"/>
                <w:smallCaps w:val="false"/>
                <w:sz w:val="24"/>
              </w:rPr>
              <w:t>" means any Incentive Compensation that is granted, earned or vested based wholly or in part upon the attainment of a financial reporting measure.</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Recoverable Incentive</w:t>
            </w:r>
            <w:r>
              <w:rPr>
                <w:rFonts w:ascii="Times New Roman;Times;serif" w:hAnsi="Times New Roman;Times;serif"/>
                <w:b w:val="false"/>
                <w:i w:val="false"/>
                <w:caps w:val="false"/>
                <w:smallCaps w:val="false"/>
                <w:sz w:val="24"/>
              </w:rPr>
              <w:t>" means the amount of any Incentive Compensation paid to or in respect of an Executive Officer during the Applicable Period that, in the case of any Improper Conduct, the Board determines, in its sole discretion, to be appropriate in light of the scope and nature of the Improper Conduct.</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0"/>
        <w:gridCol w:w="10012"/>
        <w:gridCol w:w="23"/>
      </w:tblGrid>
      <w:tr>
        <w:trPr/>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Restatement</w:t>
            </w:r>
            <w:r>
              <w:rPr>
                <w:rFonts w:ascii="Times New Roman;Times;serif" w:hAnsi="Times New Roman;Times;serif"/>
                <w:b w:val="false"/>
                <w:i w:val="false"/>
                <w:caps w:val="false"/>
                <w:smallCaps w:val="false"/>
                <w:sz w:val="24"/>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tc>
        <w:tc>
          <w:tcPr>
            <w:tcW w:w="23"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0" w:type="dxa"/>
          <w:left w:w="0" w:type="dxa"/>
          <w:bottom w:w="0" w:type="dxa"/>
          <w:right w:w="0" w:type="dxa"/>
        </w:tblCellMar>
      </w:tblPr>
      <w:tblGrid>
        <w:gridCol w:w="170"/>
        <w:gridCol w:w="5405"/>
        <w:gridCol w:w="23"/>
      </w:tblGrid>
      <w:tr>
        <w:trPr/>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t>
            </w:r>
            <w:r>
              <w:rPr>
                <w:rFonts w:ascii="Times New Roman;Times;serif" w:hAnsi="Times New Roman;Times;serif"/>
                <w:b/>
                <w:i w:val="false"/>
                <w:caps w:val="false"/>
                <w:smallCaps w:val="false"/>
                <w:sz w:val="24"/>
              </w:rPr>
              <w:t>SEC</w:t>
            </w:r>
            <w:r>
              <w:rPr>
                <w:rFonts w:ascii="Times New Roman;Times;serif" w:hAnsi="Times New Roman;Times;serif"/>
                <w:b w:val="false"/>
                <w:i w:val="false"/>
                <w:caps w:val="false"/>
                <w:smallCaps w:val="false"/>
                <w:sz w:val="24"/>
              </w:rPr>
              <w:t>" means the Securities and Exchange Commission.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METHOD OF RECOUPMENT</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The Board will determine, in its sole discretion, the method for recouping any Recoverable Incentive or Erroneously Awarded Compensation which may include, without limitation:</w:t>
      </w:r>
    </w:p>
    <w:tbl>
      <w:tblPr>
        <w:tblW w:w="7270" w:type="dxa"/>
        <w:jc w:val="left"/>
        <w:tblInd w:w="0" w:type="dxa"/>
        <w:tblLayout w:type="fixed"/>
        <w:tblCellMar>
          <w:top w:w="0" w:type="dxa"/>
          <w:left w:w="0" w:type="dxa"/>
          <w:bottom w:w="0" w:type="dxa"/>
          <w:right w:w="0" w:type="dxa"/>
        </w:tblCellMar>
      </w:tblPr>
      <w:tblGrid>
        <w:gridCol w:w="275"/>
        <w:gridCol w:w="6995"/>
      </w:tblGrid>
      <w:tr>
        <w:trPr/>
        <w:tc>
          <w:tcPr>
            <w:tcW w:w="275"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(a)</w:t>
            </w:r>
          </w:p>
        </w:tc>
        <w:tc>
          <w:tcPr>
            <w:tcW w:w="6995"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requiring reimbursement of cash Incentive Compensation previously paid;</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(b)</w:t>
            </w:r>
          </w:p>
        </w:tc>
        <w:tc>
          <w:tcPr>
            <w:tcW w:w="9950"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seeking recovery of any gain realized on the vesting, exercise, settlement, sale, transfer or other disposition of any equity-based awards under the Company's Long Term Incentive Plan;</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(c)</w:t>
            </w:r>
          </w:p>
        </w:tc>
        <w:tc>
          <w:tcPr>
            <w:tcW w:w="9937"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offsetting the recouped amount from any compensation otherwise owed by the Company to the Executive Officer;</w:t>
            </w:r>
          </w:p>
        </w:tc>
      </w:tr>
    </w:tbl>
    <w:tbl>
      <w:tblPr>
        <w:tblW w:w="6340" w:type="dxa"/>
        <w:jc w:val="left"/>
        <w:tblInd w:w="0" w:type="dxa"/>
        <w:tblLayout w:type="fixed"/>
        <w:tblCellMar>
          <w:top w:w="0" w:type="dxa"/>
          <w:left w:w="0" w:type="dxa"/>
          <w:bottom w:w="0" w:type="dxa"/>
          <w:right w:w="0" w:type="dxa"/>
        </w:tblCellMar>
      </w:tblPr>
      <w:tblGrid>
        <w:gridCol w:w="290"/>
        <w:gridCol w:w="6050"/>
      </w:tblGrid>
      <w:tr>
        <w:trPr/>
        <w:tc>
          <w:tcPr>
            <w:tcW w:w="290"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(d)</w:t>
            </w:r>
          </w:p>
        </w:tc>
        <w:tc>
          <w:tcPr>
            <w:tcW w:w="6050"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cancelling outstanding vested or unvested equity awards; and/or</w:t>
            </w:r>
          </w:p>
        </w:tc>
      </w:tr>
    </w:tbl>
    <w:tbl>
      <w:tblPr>
        <w:tblW w:w="9040" w:type="dxa"/>
        <w:jc w:val="left"/>
        <w:tblInd w:w="0" w:type="dxa"/>
        <w:tblLayout w:type="fixed"/>
        <w:tblCellMar>
          <w:top w:w="0" w:type="dxa"/>
          <w:left w:w="0" w:type="dxa"/>
          <w:bottom w:w="0" w:type="dxa"/>
          <w:right w:w="0" w:type="dxa"/>
        </w:tblCellMar>
      </w:tblPr>
      <w:tblGrid>
        <w:gridCol w:w="275"/>
        <w:gridCol w:w="8765"/>
      </w:tblGrid>
      <w:tr>
        <w:trPr/>
        <w:tc>
          <w:tcPr>
            <w:tcW w:w="275"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(e)</w:t>
            </w:r>
          </w:p>
        </w:tc>
        <w:tc>
          <w:tcPr>
            <w:tcW w:w="8765" w:type="dxa"/>
            <w:tcBorders/>
            <w:vAlign w:val="center"/>
          </w:tcPr>
          <w:p>
            <w:pPr>
              <w:pStyle w:val="TableContents"/>
              <w:bidi w:val="0"/>
              <w:spacing w:before="240" w:after="120"/>
              <w:jc w:val="both"/>
              <w:rPr>
                <w:rFonts w:ascii="Times New Roman;Times;serif" w:hAnsi="Times New Roman;Times;serif"/>
                <w:sz w:val="24"/>
              </w:rPr>
            </w:pPr>
            <w:r>
              <w:rPr>
                <w:rFonts w:ascii="Times New Roman;Times;serif" w:hAnsi="Times New Roman;Times;serif"/>
                <w:sz w:val="24"/>
              </w:rPr>
              <w:t>taking any other remedial and recovery action permitted by law, as determined by the Board.</w:t>
            </w:r>
          </w:p>
        </w:tc>
      </w:tr>
    </w:tbl>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NO INDEMNIFICATION</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The Company shall not indemnify any Executive Officer against the loss of any Recoverable Incentive or Erroneously Awarded Compensation.</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DISCLOSURE</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The Company shall disclose to its shareholders no later than the filing of the next following proxy statement the actions taken or the decision not to take action with regard to recovery or non-recovery, as the case may be, of Recoverable Incentive or Erroneously Awarded Compensation (including reporting the aggregate amounts recovered) related to any Restatement or to any Improper Conduct, so long as such event has been previously disclosed in the Company's filings with the SEC.</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EFFECTIVE DATE</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This Amended and Restated Policy shall be effective as of the date it is adopted by the Board (the "</w:t>
      </w:r>
      <w:r>
        <w:rPr>
          <w:rFonts w:ascii="Times New Roman;Times;serif" w:hAnsi="Times New Roman;Times;serif"/>
          <w:b/>
          <w:sz w:val="24"/>
        </w:rPr>
        <w:t>Effective Date</w:t>
      </w:r>
      <w:r>
        <w:rPr>
          <w:rFonts w:ascii="Times New Roman;Times;serif" w:hAnsi="Times New Roman;Times;serif"/>
          <w:sz w:val="24"/>
        </w:rPr>
        <w:t>") and shall apply to Incentive Compensation that is approved, awarded or granted to Executive Officers on, after or prior to that date, as well as any Performance-Based Compensation received after October 2, 2023.</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OTHER RECOUPMENT RIGHTS</w:t>
      </w:r>
    </w:p>
    <w:p>
      <w:pPr>
        <w:pStyle w:val="TextBody"/>
        <w:bidi w:val="0"/>
        <w:spacing w:before="240" w:after="0"/>
        <w:ind w:left="0" w:right="0" w:hanging="0"/>
        <w:jc w:val="both"/>
        <w:rPr>
          <w:rFonts w:ascii="Times New Roman;Times;serif" w:hAnsi="Times New Roman;Times;serif"/>
          <w:sz w:val="24"/>
        </w:rPr>
      </w:pPr>
      <w:r>
        <w:rPr>
          <w:rFonts w:ascii="Times New Roman;Times;serif" w:hAnsi="Times New Roman;Times;serif"/>
          <w:sz w:val="24"/>
        </w:rPr>
        <w:t xml:space="preserve">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ADMINISTRATION; INTERPRETATION</w:t>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This Policy shall be administered by the Board or, if so designated by the Board, the Compensation Committee, in which case references herein to the Board shall be deemed references to the Compensation Committee. Any determinations made by the Board shall be final and binding. The Board is authorized to interpret and construe this Policy and to make all determinations necessary, appropriate or advisable for the administration of this Policy. </w:t>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AMENDMENT; TERMINATION</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The Board may amend this Policy from time to time in its discretion and shall amend this Policy as it deems necessary to reflect the rules and regulations adopted by the Securities and Exchange Commission under Section 10D of the Exchange Act and to comply with the Listing Standard.</w:t>
      </w:r>
    </w:p>
    <w:p>
      <w:pPr>
        <w:pStyle w:val="TextBody"/>
        <w:bidi w:val="0"/>
        <w:spacing w:before="240" w:after="120"/>
        <w:ind w:left="0" w:right="0" w:hanging="0"/>
        <w:jc w:val="both"/>
        <w:rPr>
          <w:rFonts w:ascii="Times New Roman;Times;serif" w:hAnsi="Times New Roman;Times;serif"/>
          <w:b/>
          <w:sz w:val="24"/>
        </w:rPr>
      </w:pPr>
      <w:r>
        <w:rPr>
          <w:rFonts w:ascii="Times New Roman;Times;serif" w:hAnsi="Times New Roman;Times;serif"/>
          <w:b/>
          <w:sz w:val="24"/>
        </w:rPr>
        <w:t>IMPRACTICABILITY</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 xml:space="preserve">The Board shall recover any Erroneously Awarded Compensation or Recoverable Incentive in accordance with this Policy unless such recovery would be impracticable, as determined by the Board in accordance with Rule 10D-1 of the Exchange Act and the Listing Standard. </w:t>
      </w:r>
    </w:p>
    <w:p>
      <w:pPr>
        <w:pStyle w:val="TextBody"/>
        <w:bidi w:val="0"/>
        <w:spacing w:before="0" w:after="0"/>
        <w:ind w:left="0" w:right="0" w:hanging="0"/>
        <w:jc w:val="both"/>
        <w:rPr>
          <w:rFonts w:ascii="Times New Roman Bold" w:hAnsi="Times New Roman Bold"/>
          <w:b/>
          <w:sz w:val="24"/>
        </w:rPr>
      </w:pPr>
      <w:r>
        <w:rPr>
          <w:rFonts w:ascii="Times New Roman Bold" w:hAnsi="Times New Roman Bold"/>
          <w:b/>
          <w:sz w:val="24"/>
        </w:rPr>
        <w:t>SUCCESSORS</w:t>
      </w:r>
    </w:p>
    <w:p>
      <w:pPr>
        <w:pStyle w:val="TextBody"/>
        <w:bidi w:val="0"/>
        <w:spacing w:before="240" w:after="120"/>
        <w:ind w:left="0" w:right="0" w:hanging="0"/>
        <w:jc w:val="both"/>
        <w:rPr>
          <w:rFonts w:ascii="Times New Roman;Times;serif" w:hAnsi="Times New Roman;Times;serif"/>
          <w:sz w:val="24"/>
        </w:rPr>
      </w:pPr>
      <w:r>
        <w:rPr>
          <w:rFonts w:ascii="Times New Roman;Times;serif" w:hAnsi="Times New Roman;Times;serif"/>
          <w:sz w:val="24"/>
        </w:rPr>
        <w:t>This Policy shall be binding and enforceable against all Executive Officers and their respective beneficiaries, heirs, executors, administrators or other legal representatives.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10444710_6</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Calibri">
    <w:altName w:val="Helvetica"/>
    <w:charset w:val="01"/>
    <w:family w:val="auto"/>
    <w:pitch w:val="default"/>
  </w:font>
  <w:font w:name="Times New Roman">
    <w:charset w:val="01"/>
    <w:family w:val="auto"/>
    <w:pitch w:val="default"/>
  </w:font>
  <w:font w:name="Arial">
    <w:altName w:val="Helvetica"/>
    <w:charset w:val="01"/>
    <w:family w:val="auto"/>
    <w:pitch w:val="default"/>
  </w:font>
  <w:font w:name="Courier New">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2767/000091276717000010/ufpi-20170425ex310598b54.htm" TargetMode="External"/><Relationship Id="rId3" Type="http://schemas.openxmlformats.org/officeDocument/2006/relationships/hyperlink" Target="http://www.sec.gov/Archives/edgar/data/912767/000091276717000007/ufpi-20161231xexhibit3b.htm" TargetMode="External"/><Relationship Id="rId4" Type="http://schemas.openxmlformats.org/officeDocument/2006/relationships/hyperlink" Target="https://www.sec.gov/Archives/edgar/data/912767/000091276718000029/ufpi-20181102xex10.htm" TargetMode="External"/><Relationship Id="rId5" Type="http://schemas.openxmlformats.org/officeDocument/2006/relationships/hyperlink" Target="https://www.sec.gov/Archives/edgar/data/912767/000155837021005886/ufpi-20210327xex10da.htm" TargetMode="External"/><Relationship Id="rId6" Type="http://schemas.openxmlformats.org/officeDocument/2006/relationships/hyperlink" Target="https://www.sec.gov/Archives/edgar/data/912767/000155837021005886/ufpi-20210327xex10da.htm" TargetMode="External"/><Relationship Id="rId7" Type="http://schemas.openxmlformats.org/officeDocument/2006/relationships/hyperlink" Target="https://www.sec.gov/Archives/edgar/data/912767/000091276722000041/ufpi-20221206xex10.htm" TargetMode="External"/><Relationship Id="rId8" Type="http://schemas.openxmlformats.org/officeDocument/2006/relationships/hyperlink" Target="https://www.sec.gov/Archives/edgar/data/912767/000091276722000041/ufpi-20221206xex10.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73342</Words>
  <Characters>399464</Characters>
  <CharactersWithSpaces>475919</CharactersWithSpaces>
  <Paragraphs>14181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